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333-249558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 DATED JANUARY 12, 2021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Proxy Statement/Prospectus dated December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323215</wp:posOffset>
            </wp:positionV>
            <wp:extent cx="1714500"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Prospectus Supplement No. 1, dated January 12, 2021 (this “Supplement”), updates and supplements the proxy statement/prospectus dated December 11, 2020 (the “Proxy Statement/Prospectus”). Clover Health Investments, Corp. (“Clover Health”), which was then known as Social Capital Hedosophia Holdings Corp. III, filed the Proxy Statement/Prospectus with the Securities and Exchange Commission as part of a registration statement on Form S-4 (Registration No. 333-249558).</w:t>
      </w:r>
    </w:p>
    <w:p>
      <w:pPr>
        <w:spacing w:after="0" w:line="180"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purpose of this Supplement is to update and supplement the information in the Proxy Statement/Prospectus with information contained in Clover Health’s Current Report on Form 8-K filed with the Securities and Exchange Commission on January 12, 2021 (the “Report”). The Report is attached to, and forms a part of, this Supplement.</w:t>
      </w:r>
    </w:p>
    <w:p>
      <w:pPr>
        <w:spacing w:after="0" w:line="17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Supplement should be read in conjunction with the Proxy Statement/Prospectus. The information in the Report modifies and supersedes, in part, the information in the Proxy Statement/Prospectus, including the annexes thereto. Any information in the Proxy Statement/Prospectus, including the annexes thereto, that is modified or superseded by the information in the Report shall not be deemed to constitute a part of the Proxy Statement/Prospectus except as modified or superseded by this Supplement. If there is any inconsistency between any information in the Proxy Statement/Prospectus and this Supplement, you should rely on the information in this Supplement.</w:t>
      </w:r>
    </w:p>
    <w:p>
      <w:pPr>
        <w:spacing w:after="0" w:line="18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Supplement is not complete without, and may not be delivered or utilized except in connection with, the Proxy Statement/Prospectus, including any supplements and amendments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read carefully and in their entirety this Supplement and the Proxy Statement/Prospectus and all accompanying annexes and exhibits. You should review and consider carefully the matters discussed under the heading “Risk Factors” beginning on page 39 of the Proxy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and state securities regulators have not approved or disapproved these securities, or determined if the Proxy Statement/Prospectus or this Supplement is truthful or complete. Any representation to the contrary is a criminal offense.</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001-39252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48"/>
        </w:trPr>
        <w:tc>
          <w:tcPr>
            <w:tcW w:w="3700" w:type="dxa"/>
            <w:vAlign w:val="bottom"/>
          </w:tcPr>
          <w:p>
            <w:pPr>
              <w:jc w:val="center"/>
              <w:ind w:right="1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70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725 Cool Springs Boulevard, Suite 320,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0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90"/>
        </w:trPr>
        <w:tc>
          <w:tcPr>
            <w:tcW w:w="3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432-2133</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317 University Ave, Suite 200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Palo Alto, California 94301</w:t>
      </w:r>
    </w:p>
    <w:p>
      <w:pPr>
        <w:spacing w:after="0" w:line="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0"/>
          <w:szCs w:val="20"/>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CLOV</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CLOVW</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exercisable for one Class A Common Stock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Introductory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 and Mergers</w:t>
      </w:r>
    </w:p>
    <w:p>
      <w:pPr>
        <w:spacing w:after="0" w:line="12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5, 2020, Social Capital Hedosophia Holdings Corp. III, a Cayman Islands exempted company limited by shares (“SCH”), entered into an Agreement and Plan of Merger (the “Merger Agreement”) with Clover Health Investments, Corp., a Delaware corporation (“Clover”), and Asclepius Merger Sub Inc., a Delaware corporation and a direct wholly owned subsidiary of SCH (“Merger Sub”).</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7, 2021, as contemplated by the Merger Agreement and described in the section titled “Domestication Proposal” beginning on page 157 of the final prospectus and definitive proxy statement, dated December 11, 2020 (the “Proxy Statement/Prospectus”) and filed with the Securities and Exchange Commission (the “SEC”), 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continues as a Delaware corporation, changing its name to “Clover Health Investments, Corp.” (the “Domestication”).</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January 7, 2021, as contemplated by the Merger Agreement and described in the section titled “BCA Proposal” beginning on page 107 of the Proxy Statement/Prospectus, Clover Health Investments, Corp. (“Clover Health”) consummated the merger transactions contemplated by the Merger Agreement, whereby (i) (x) Merger Sub merged with and into Clover, the separate corporate existence of Merger Sub ceased and Clover became the surviving corporation and a wholly owned subsidiary of Clover Health (the “First Merger”) and (y) Clover merged with and into Clover Health, the separate corporate existence of Clover ceased and Clover Health became the surviving corporation (together with the First Merger, the “Mergers”, and collectively with the “Domestication,” the “Transactions”) and (ii) as a result of the Mergers, among other things, (i) all outstanding shares of common stock of Clover immediately prior to the effective time of the First Merger were cancelled in exchange for the right to receive, at the election of the holders thereof (except with respect to the shares held by entities controlled by Vivek Garipalli and the holders of convertible securities previously issued by Clover to certain holders who will receive only shares of Class B Common Stock, par value $0.0001 per share, of Clover Health (“Class B Common Stock”), which will be entitled to 10 votes per share), an amount in cash, shares of Class B Common Stock, or a combination thereof, as adjusted in accordance with the Merger Agreement, which equaled in the aggregate $499,751,044.75 in cash and 260,965,701 shares of Class B Common Stock (at a deemed value of $10.00 per share); (ii) shares of Clover held by entities controlled by Vivek Garipalli and the holders of the convertible securities immediately prior to the effective time of the First Merger were cancelled in exchange for the right to receive shares of Clover Health Class B Common Stock based on an Exchange Ratio (as defined in the Merger Agreement) of 2.0681; and (iii) all shares of Clover Common Stock reserved in respect of Clover stock options and restricted stock units (“RSUs”) outstanding as of immediately prior to the effective time of the First Merger, were converted, based on the Exchange Ratio, into awards based on shares of Clover Health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9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consummation of the Transactions (the “Closing”), (i) each issued and outstanding Class A ordinary shares, par value $0.0001 per share, of SCH (“SCH Class A ordinary shares”) converted automatically, on a one-for-one basis, into a share of Class A Common Stock, par value $0.0001 per share, of Clover Health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cancelled and the holder thereof is entitled to one share of Class A Common Stock and one-third of one Warrant.</w:t>
      </w:r>
    </w:p>
    <w:p>
      <w:pPr>
        <w:sectPr>
          <w:pgSz w:w="11900" w:h="16838" w:orient="portrait"/>
          <w:cols w:equalWidth="0" w:num="1">
            <w:col w:w="10980"/>
          </w:cols>
          <w:pgMar w:left="440" w:top="266" w:right="479" w:bottom="1440" w:gutter="0" w:footer="0" w:header="0"/>
        </w:sectPr>
      </w:pPr>
    </w:p>
    <w:bookmarkStart w:id="3" w:name="page4"/>
    <w:bookmarkEnd w:id="3"/>
    <w:p>
      <w:pPr>
        <w:jc w:val="both"/>
        <w:ind w:right="6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description of the Transactions does not purport to be complete and is qualified in its entirety by the full text of the Merger Agreement and amendment thereto, which are attached hereto as Exhibits 2.1 and 2.1(a), respectively, and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agreements (the “Subscription Agreements”) entered into on October 5, 2020, by and among SCH and certain investors (collectively, the “PIPE Investors”), Clover Health issued and sold to the PIPE Investors (substantially concurrently with the consummation of the Mergers) an aggregate of 40,000,000 shares of Class A Common Stock for an aggregate purchase price equal to $400 million (the “PIPE Investment”), of which 15,500,000 shares were purchased by affiliates of SCH Sponsor III LLC (the “Sponsor”, and collectively, the “Sponsor Related PIPE Investors”).</w:t>
      </w:r>
    </w:p>
    <w:p>
      <w:pPr>
        <w:spacing w:after="0" w:line="183" w:lineRule="exact"/>
        <w:rPr>
          <w:sz w:val="20"/>
          <w:szCs w:val="20"/>
          <w:color w:val="auto"/>
        </w:rPr>
      </w:pPr>
    </w:p>
    <w:p>
      <w:pPr>
        <w:ind w:right="300" w:firstLine="440"/>
        <w:spacing w:after="0" w:line="257" w:lineRule="auto"/>
        <w:rPr>
          <w:sz w:val="20"/>
          <w:szCs w:val="20"/>
          <w:color w:val="auto"/>
        </w:rPr>
      </w:pPr>
      <w:r>
        <w:rPr>
          <w:rFonts w:ascii="Times New Roman" w:cs="Times New Roman" w:eastAsia="Times New Roman" w:hAnsi="Times New Roman"/>
          <w:sz w:val="18"/>
          <w:szCs w:val="18"/>
          <w:color w:val="auto"/>
        </w:rPr>
        <w:t>The Transactions and PIPE Investment were approved by the Company’s shareholders at an extraordinary general meeting of the Company’s shareholders held on January 6, 2021 (the “Special Meeting”). Prior to and in connection with the Special Meeting, holders of 24,892 shares of SCH Class A ordinary shares (including those that underlie the SCH units) that were registered pursuant to the Registration Statements on Form S-1</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(333-236776 and 333-237777) and the shares of Class A Common Stock issued as a matter of law upon the conversion thereof on the effective date of the Domestication (the “Public Shares”) exercised their right to redeem those shares for cash at a price of $10.0141613 per share, for an aggregate of $248,955.25. The per share redemption price of $10.0141613 for public shareholders electing redemption was paid out of the Company’s trust account, which after taking into account the redemptions, had a balance immediately prior to the Closing of $827,868,299.90, which cash balance was used to pay the $499,751,044.75 cash component of the merger consideration.</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Immediately after giving effect to the Transactions and the PIPE Investment, there were 143,475,108 shares of Class A Common Stock, 260,965,701 Class B Common Stock and 38,533,271 Warrants outstanding. Upon the consummation of the Transactions, SCH’s ordinary shares, warrants and units ceased trading on the New York Stock Exchange, and Clover Health’s Class A Common Stock and Warrants were listed to trade on The Nasdaq Global Select Market under the symbols “CLOV,” and “CLOVW,” respectively. Immediately after giving effect to the Transactions and the PIPE Investment, (1) SCH’s public stockholders owned approximately 20.5% of the outstanding Clover Health Common Stock and approximately 3.0% of the voting power of Clover Health Common Stock, (2) Clover Health stockholders (without taking into account any public shares held by Clover Health stockholders prior to the consummation of the Transactions) owned approximately 64.5% of the outstanding Clover Health Common Stock, and approximately 94.8% of the voting power of Clover Health Common Stock, (3) the Sponsor and related parties (including the Sponsor Related PIPE Investors) collectively owned approximately 9.0% of the outstanding Clover Health Common Stock and approximately 1.3% of the voting power of Clover Health Common Stock and (4) the Third Party PIPE Investors owned approximately 6.1% of the outstanding Clover Health Common Stock and approximately 0.9% of the voting power of Clover Health Common Stock.</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Current Report on Form 8-K to “we,” “us,” “our” and the “Company” refer to Clover Health and its subsidiaries.</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on January 7, 2021, Clover Health, the Sponsor, SCH’s independent directors, certain stockholders of Clover and the other parties thereto entered into an Amended and Restated Registration Rights Agreement (the “Registration Rights Agreement”), pursuant to which Clover Health agreed to register for resale, pursuant to Rule 415 under the Securities Act, certain shares of Clover Health Common Stock and other equity securities of Clover Health that are held by the parties thereto from time to time.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Additionally, the Registration Rights Agreement contains certain restrictions on transfer with respect to the shares of Clover Health Common Stock held by the Sponsor and certain stockholders of Clover immediately following the Closing (not including the shares of Clover Health Class A Common Stock issued in the PIPE Investment pursuant to the terms of the Subscription Agreements) (the “Lock-up Shares”), including a lock-up of such shares in each case ending on the earlier of (i) the date that is 180 days after the Closing Date and (ii) (a) for 33.33% of the Lock-up Shares held by each of the parties thereto (and their respective permitted transferees), the date which the last reported sale price of Clover Health Class A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Clover Health Class A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w:t>
      </w:r>
    </w:p>
    <w:p>
      <w:pPr>
        <w:spacing w:after="0" w:line="19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Rights Agreement amends and restates the registration rights agreement that was entered into by SCH, Sponsor and the other parties thereto in connection with SCH’s initial public offering. The Registration Rights Agreement will terminate on the earlier of (i) the tenth anniversary of the date of the Registration Rights Agreement or (ii) with respect to any party thereto, on the date that such party no longer holds any Registrable Securities (as defined therein).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a copy of which is attached hereto as Exhibit 10.1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Company entered into indemnification agreements with each of its directors and executive officers. These indemnification agreements provide the directors and executive officers with contractual rights to indemnification and advancement for certain expenses, including attorneys’ fees, judgments, fines and settlement amounts incurred by a director or executive officer in any action or proceeding arising out of their services as one of the Company’s directors or executive officers.</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reference to the full text of the form of indemnification agreement, a copy of which is attached hereto as Exhibit 10.2 and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2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set forth in the “Introductory Note” above is incorporated by reference into this Item 2.01. The material terms and conditions of the Merger Agreement are described in the section titled “</w:t>
      </w:r>
      <w:hyperlink r:id="rId25">
        <w:r>
          <w:rPr>
            <w:rFonts w:ascii="Times New Roman" w:cs="Times New Roman" w:eastAsia="Times New Roman" w:hAnsi="Times New Roman"/>
            <w:sz w:val="18"/>
            <w:szCs w:val="18"/>
            <w:u w:val="single" w:color="auto"/>
            <w:color w:val="0000EE"/>
          </w:rPr>
          <w:t>BCA Proposal—The Merger Agreement</w:t>
        </w:r>
      </w:hyperlink>
      <w:r>
        <w:rPr>
          <w:rFonts w:ascii="Times New Roman" w:cs="Times New Roman" w:eastAsia="Times New Roman" w:hAnsi="Times New Roman"/>
          <w:sz w:val="18"/>
          <w:szCs w:val="18"/>
          <w:color w:val="auto"/>
        </w:rPr>
        <w:t>” beginning on page 107 of the Proxy Statement/Prospectus, which is incorporated herein by reference.</w:t>
      </w:r>
    </w:p>
    <w:p>
      <w:pPr>
        <w:sectPr>
          <w:pgSz w:w="11900" w:h="16838" w:orient="portrait"/>
          <w:cols w:equalWidth="0" w:num="1">
            <w:col w:w="11000"/>
          </w:cols>
          <w:pgMar w:left="440" w:top="266" w:right="459" w:bottom="1440" w:gutter="0" w:footer="0" w:header="0"/>
        </w:sectPr>
      </w:pPr>
    </w:p>
    <w:bookmarkStart w:id="5" w:name="page6"/>
    <w:bookmarkEnd w:id="5"/>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January 7, 2021, the Company issued a press release announcing the Closing. The press release is attached hereto as Exhibit 99.2 and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Item 2.01(f) of Form 8-K states that if the predecessor registrant was a “shell company” (as such term is defined in Rule 12b-2 under the Securities Exchange Act of 1934, as amended (the “Exchange Act”)), as the Company was immediately before the Transactions, then the registrant must disclose the information that would be required if the registrant were filing a general form for registration of securities on Form 10. As a result of the consummation of the Transactions, and as discussed below in Item 5.06 of this Current Report on Form 8-K, the Company has ceased to be a shell company. Accordingly, the Company is providing the information below that would be included in a Form 10 if the Company were to file a Form 10. Please note that the information provided below relates to the Company as the Combined Company after the consummation of the Transactions, unless otherwise specifically indicated or the context otherwise requires.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firstLine="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Current Report on Form 8-K (“Report”), or some of the information incorporated herein by reference, contains forward-looking statements. All statements contained in or incorporated by reference into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w:t>
      </w:r>
      <w:hyperlink r:id="rId27">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beginning on page 39 of the Proxy Statement/Prospectus, which is incorporated herein by reference.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or incorporated by reference in this Report may not occur and actual results could differ materially and adversely from those anticipated or implied in the forward-looking statements. Forward-looking statements contained in or incorporated by reference in this Report include, but are not limited to, statements about:</w:t>
      </w:r>
    </w:p>
    <w:p>
      <w:pPr>
        <w:spacing w:after="0" w:line="10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results of operations, financial condition and cash flows;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which may be affected by, among other things, competition and our ability to manage our growth following the Business Combination;</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the listing of our Class A Common Stock and our public warrants on Nasdaq following the Business Combination;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the Clover Assistant platform, including our ability to utilize the platform to manage medical costs of our members;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expansion of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member base and provider network;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adoption and use of the Clover Assistant;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uncertainties related to the global COVID-19 pandemic on our business, results of operations, and financial condition;</w:t>
      </w:r>
    </w:p>
    <w:p>
      <w:pPr>
        <w:sectPr>
          <w:pgSz w:w="11900" w:h="16838" w:orient="portrait"/>
          <w:cols w:equalWidth="0" w:num="1">
            <w:col w:w="11000"/>
          </w:cols>
          <w:pgMar w:left="440" w:top="270" w:right="459" w:bottom="1440" w:gutter="0" w:footer="0" w:header="0"/>
        </w:sectPr>
      </w:pPr>
    </w:p>
    <w:bookmarkStart w:id="6" w:name="page7"/>
    <w:bookmarkEnd w:id="6"/>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ability to maintain, protect and enhance our intellectual property; and</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societal and economic impact of the COVID-19 pandemic, and geopolitical uncertainty and instability.</w:t>
      </w:r>
    </w:p>
    <w:p>
      <w:pPr>
        <w:spacing w:after="0" w:line="162"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Report or in the documents incorporated by reference in this Report.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1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is described in the Proxy Statement/Prospectus in the section titled “</w:t>
      </w:r>
      <w:hyperlink r:id="rId29">
        <w:r>
          <w:rPr>
            <w:rFonts w:ascii="Times New Roman" w:cs="Times New Roman" w:eastAsia="Times New Roman" w:hAnsi="Times New Roman"/>
            <w:sz w:val="18"/>
            <w:szCs w:val="18"/>
            <w:u w:val="single" w:color="auto"/>
            <w:color w:val="0000EE"/>
          </w:rPr>
          <w:t>Information about Clover</w:t>
        </w:r>
      </w:hyperlink>
      <w:r>
        <w:rPr>
          <w:rFonts w:ascii="Times New Roman" w:cs="Times New Roman" w:eastAsia="Times New Roman" w:hAnsi="Times New Roman"/>
          <w:sz w:val="18"/>
          <w:szCs w:val="18"/>
          <w:color w:val="auto"/>
        </w:rPr>
        <w:t>” beginning on page 250,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16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Company’s business are described in the Proxy Statement/Prospectus in the section titled “</w:t>
      </w:r>
      <w:hyperlink r:id="rId27">
        <w:r>
          <w:rPr>
            <w:rFonts w:ascii="Times New Roman" w:cs="Times New Roman" w:eastAsia="Times New Roman" w:hAnsi="Times New Roman"/>
            <w:sz w:val="18"/>
            <w:szCs w:val="18"/>
            <w:u w:val="single" w:color="auto"/>
            <w:color w:val="0000EE"/>
          </w:rPr>
          <w:t>Risk Factors</w:t>
        </w:r>
      </w:hyperlink>
      <w:r>
        <w:rPr>
          <w:rFonts w:ascii="Times New Roman" w:cs="Times New Roman" w:eastAsia="Times New Roman" w:hAnsi="Times New Roman"/>
          <w:sz w:val="18"/>
          <w:szCs w:val="18"/>
          <w:color w:val="auto"/>
        </w:rPr>
        <w:t>” beginning on page 39,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condensed financial statements of Clover Health and subsidiaries as of September 30, 2020 (unaudited) and for the nine months period ended September 30, 2019 and September 30, 2020 (unaudited) and the consolidated financial statements of Clover Health and subsidiaries as of December 31, 2019 and 2018 and for each of the two years in the period ended December 31, 2019 are set forth in the Proxy Statement/Prospectus beginning on page F-1 and are incorporated herein by reference.</w:t>
      </w:r>
    </w:p>
    <w:p>
      <w:pPr>
        <w:spacing w:after="0" w:line="180"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of SCH and Clover as of September 30, 2020 and for the year ended December 31, 2019 and the nine months ended September 30, 2020 is set forth in Exhibit 99.1 hereto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900" w:firstLine="440"/>
        <w:spacing w:after="0" w:line="312" w:lineRule="auto"/>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auto"/>
          </w:rPr>
          <w:t>Reference is made to the disclosure contained in the Proxy Statement/Prospectus beginning on page 273 in the section titled “</w:t>
        </w:r>
        <w:r>
          <w:rPr>
            <w:rFonts w:ascii="Times New Roman" w:cs="Times New Roman" w:eastAsia="Times New Roman" w:hAnsi="Times New Roman"/>
            <w:sz w:val="17"/>
            <w:szCs w:val="17"/>
            <w:u w:val="single" w:color="auto"/>
            <w:color w:val="0000EE"/>
          </w:rPr>
          <w:t>Clover’s</w:t>
        </w:r>
      </w:hyperlink>
      <w:r>
        <w:rPr>
          <w:rFonts w:ascii="Times New Roman" w:cs="Times New Roman" w:eastAsia="Times New Roman" w:hAnsi="Times New Roman"/>
          <w:sz w:val="17"/>
          <w:szCs w:val="17"/>
          <w:color w:val="auto"/>
        </w:rPr>
        <w:t xml:space="preserve"> </w:t>
      </w:r>
      <w:hyperlink r:id="rId30">
        <w:r>
          <w:rPr>
            <w:rFonts w:ascii="Times New Roman" w:cs="Times New Roman" w:eastAsia="Times New Roman" w:hAnsi="Times New Roman"/>
            <w:sz w:val="17"/>
            <w:szCs w:val="17"/>
            <w:u w:val="single" w:color="auto"/>
            <w:color w:val="0000EE"/>
          </w:rPr>
          <w:t>Management’s Discussion and Analysis of Financial Condition and Results of Operations,</w:t>
        </w:r>
        <w:r>
          <w:rPr>
            <w:rFonts w:ascii="Times New Roman" w:cs="Times New Roman" w:eastAsia="Times New Roman" w:hAnsi="Times New Roman"/>
            <w:sz w:val="17"/>
            <w:szCs w:val="17"/>
            <w:color w:val="000000"/>
          </w:rPr>
          <w:t>” which is incorporated herein by reference.</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40" w:firstLine="440"/>
        <w:spacing w:after="0" w:line="266" w:lineRule="auto"/>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auto"/>
          </w:rPr>
          <w:t>Reference is made to the disclosure contained in the Proxy Statement/Prospectus beginning on page 308 in the section titled “</w:t>
        </w:r>
        <w:r>
          <w:rPr>
            <w:rFonts w:ascii="Times New Roman" w:cs="Times New Roman" w:eastAsia="Times New Roman" w:hAnsi="Times New Roman"/>
            <w:sz w:val="18"/>
            <w:szCs w:val="18"/>
            <w:u w:val="single" w:color="auto"/>
            <w:color w:val="0000EE"/>
          </w:rPr>
          <w:t>Clover’s</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Management’s Discussion and Analysis of Financial Condition and Results of Operations—Quantitative and Qualitative Disclosures about Market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Risk,</w:t>
        </w:r>
        <w:r>
          <w:rPr>
            <w:rFonts w:ascii="Times New Roman" w:cs="Times New Roman" w:eastAsia="Times New Roman" w:hAnsi="Times New Roman"/>
            <w:sz w:val="18"/>
            <w:szCs w:val="18"/>
            <w:color w:val="000000"/>
          </w:rPr>
          <w:t>” which is incorporated herein by reference.</w:t>
        </w:r>
      </w:hyperlink>
    </w:p>
    <w:p>
      <w:pPr>
        <w:spacing w:after="0" w:line="2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21" w:lineRule="exact"/>
        <w:rPr>
          <w:rFonts w:ascii="Times New Roman" w:cs="Times New Roman" w:eastAsia="Times New Roman" w:hAnsi="Times New Roman"/>
          <w:sz w:val="18"/>
          <w:szCs w:val="18"/>
          <w:color w:val="auto"/>
        </w:rPr>
      </w:pPr>
    </w:p>
    <w:p>
      <w:pPr>
        <w:ind w:right="3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facilities are described in the Proxy Statement/Prospectus in the section titled “</w:t>
      </w:r>
      <w:hyperlink r:id="rId29">
        <w:r>
          <w:rPr>
            <w:rFonts w:ascii="Times New Roman" w:cs="Times New Roman" w:eastAsia="Times New Roman" w:hAnsi="Times New Roman"/>
            <w:sz w:val="18"/>
            <w:szCs w:val="18"/>
            <w:u w:val="single" w:color="auto"/>
            <w:color w:val="0000EE"/>
          </w:rPr>
          <w:t>Information About Clover—Our Facilities</w:t>
        </w:r>
      </w:hyperlink>
      <w:r>
        <w:rPr>
          <w:rFonts w:ascii="Times New Roman" w:cs="Times New Roman" w:eastAsia="Times New Roman" w:hAnsi="Times New Roman"/>
          <w:sz w:val="18"/>
          <w:szCs w:val="18"/>
          <w:color w:val="auto"/>
        </w:rPr>
        <w:t>” on page 267 and is incorporated herein by reference.</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Ownership of Certain Beneficial Owners and Management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the Common Stock of the Company upon the Closing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112" w:lineRule="exact"/>
        <w:rPr>
          <w:sz w:val="20"/>
          <w:szCs w:val="20"/>
          <w:color w:val="auto"/>
        </w:rPr>
      </w:pPr>
    </w:p>
    <w:p>
      <w:pPr>
        <w:ind w:left="964" w:right="40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the Company to be the beneficial owner of more than 5% of the Common Stock of the Company upon the Closing;</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directors upon the Closing;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upon the Closing;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of the Company as a group upon the Closing.</w:t>
      </w:r>
    </w:p>
    <w:p>
      <w:pPr>
        <w:spacing w:after="0" w:line="225"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and warrants that are currently exercisable or exercisable within 60 days of the Closing Date and all shares of our Common Stock issuable pursuant to restricted stock units that will vest within 60 days of the Closing Date, are deemed to be outstanding and to be beneficially owned by the person holding the stock options, warrants or restricted stock units for the purpose of computing the percentage ownership of that person, but are not treated as outstanding for the purpose of computing the percentage ownership of any other person.</w:t>
      </w:r>
    </w:p>
    <w:p>
      <w:pPr>
        <w:spacing w:after="0" w:line="189"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The percentage ownership of the Common Stock is based on 143,475,108 shares of Class A Common Stock and 260,965,701 shares of Class B Common Stock outstanding as of the Closing Date. Unless otherwise indicated, the address of each beneficial owner listed in the table below is c/o Clover Health Investments, Corp., 725 Cool Springs Blvd, Suite 320, Franklin, Tennessee 37067.</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3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 of Class B</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7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80" w:type="dxa"/>
            <w:vAlign w:val="bottom"/>
            <w:gridSpan w:val="2"/>
            <w:vMerge w:val="continue"/>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of Total Voting</w:t>
            </w:r>
          </w:p>
        </w:tc>
        <w:tc>
          <w:tcPr>
            <w:tcW w:w="0" w:type="dxa"/>
            <w:vAlign w:val="bottom"/>
          </w:tcPr>
          <w:p>
            <w:pPr>
              <w:spacing w:after="0"/>
              <w:rPr>
                <w:sz w:val="1"/>
                <w:szCs w:val="1"/>
                <w:color w:val="auto"/>
              </w:rPr>
            </w:pPr>
          </w:p>
        </w:tc>
      </w:tr>
      <w:tr>
        <w:trPr>
          <w:trHeight w:val="146"/>
        </w:trPr>
        <w:tc>
          <w:tcPr>
            <w:tcW w:w="3660" w:type="dxa"/>
            <w:vAlign w:val="bottom"/>
            <w:gridSpan w:val="2"/>
            <w:vMerge w:val="continue"/>
          </w:tcPr>
          <w:p>
            <w:pPr>
              <w:spacing w:after="0"/>
              <w:rPr>
                <w:sz w:val="12"/>
                <w:szCs w:val="12"/>
                <w:color w:val="auto"/>
              </w:rPr>
            </w:pPr>
          </w:p>
        </w:tc>
        <w:tc>
          <w:tcPr>
            <w:tcW w:w="17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gridSpan w:val="2"/>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8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380" w:type="dxa"/>
            <w:vAlign w:val="bottom"/>
            <w:gridSpan w:val="2"/>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580" w:type="dxa"/>
            <w:vAlign w:val="bottom"/>
          </w:tcPr>
          <w:p>
            <w:pPr>
              <w:spacing w:after="0"/>
              <w:rPr>
                <w:sz w:val="15"/>
                <w:szCs w:val="15"/>
                <w:color w:val="auto"/>
              </w:rPr>
            </w:pP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Holders</w:t>
            </w:r>
          </w:p>
        </w:tc>
        <w:tc>
          <w:tcPr>
            <w:tcW w:w="12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 Sponsor III LLC</w:t>
            </w:r>
            <w:r>
              <w:rPr>
                <w:rFonts w:ascii="Times New Roman" w:cs="Times New Roman" w:eastAsia="Times New Roman" w:hAnsi="Times New Roman"/>
                <w:sz w:val="15"/>
                <w:szCs w:val="15"/>
                <w:color w:val="auto"/>
              </w:rPr>
              <w:t>(1)</w:t>
            </w: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20,500,000</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ChaChaCha SPAC C LLC</w:t>
            </w:r>
            <w:r>
              <w:rPr>
                <w:rFonts w:ascii="Times New Roman" w:cs="Times New Roman" w:eastAsia="Times New Roman" w:hAnsi="Times New Roman"/>
                <w:sz w:val="15"/>
                <w:szCs w:val="15"/>
                <w:color w:val="auto"/>
              </w:rPr>
              <w:t>(2)</w:t>
            </w:r>
          </w:p>
        </w:tc>
        <w:tc>
          <w:tcPr>
            <w:tcW w:w="1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10,000,000</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Chamath Palihapitiya</w:t>
            </w:r>
            <w:r>
              <w:rPr>
                <w:rFonts w:ascii="Times New Roman" w:cs="Times New Roman" w:eastAsia="Times New Roman" w:hAnsi="Times New Roman"/>
                <w:sz w:val="15"/>
                <w:szCs w:val="15"/>
                <w:color w:val="auto"/>
              </w:rPr>
              <w:t>(1)(2)(3)</w:t>
            </w: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30,500,000</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21.3</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284,891</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Ian Osborne </w:t>
            </w:r>
            <w:r>
              <w:rPr>
                <w:rFonts w:ascii="Times New Roman" w:cs="Times New Roman" w:eastAsia="Times New Roman" w:hAnsi="Times New Roman"/>
                <w:sz w:val="15"/>
                <w:szCs w:val="15"/>
                <w:color w:val="auto"/>
              </w:rPr>
              <w:t>(1)(4)</w:t>
            </w:r>
          </w:p>
        </w:tc>
        <w:tc>
          <w:tcPr>
            <w:tcW w:w="1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25,500,000</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17.8</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Vivek Garipalli</w:t>
            </w:r>
            <w:r>
              <w:rPr>
                <w:rFonts w:ascii="Times New Roman" w:cs="Times New Roman" w:eastAsia="Times New Roman" w:hAnsi="Times New Roman"/>
                <w:sz w:val="15"/>
                <w:szCs w:val="15"/>
                <w:color w:val="auto"/>
              </w:rPr>
              <w:t>(5)</w:t>
            </w:r>
          </w:p>
        </w:tc>
        <w:tc>
          <w:tcPr>
            <w:tcW w:w="1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83,584,543</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Greenoaks Capital and affiliated entities</w:t>
            </w:r>
            <w:r>
              <w:rPr>
                <w:rFonts w:ascii="Times New Roman" w:cs="Times New Roman" w:eastAsia="Times New Roman" w:hAnsi="Times New Roman"/>
                <w:sz w:val="15"/>
                <w:szCs w:val="15"/>
                <w:color w:val="auto"/>
              </w:rPr>
              <w:t>(6)</w:t>
            </w:r>
          </w:p>
        </w:tc>
        <w:tc>
          <w:tcPr>
            <w:tcW w:w="17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96,331,338</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36.9%</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Vivek Garipalli</w:t>
            </w:r>
            <w:r>
              <w:rPr>
                <w:rFonts w:ascii="Times New Roman" w:cs="Times New Roman" w:eastAsia="Times New Roman" w:hAnsi="Times New Roman"/>
                <w:sz w:val="15"/>
                <w:szCs w:val="15"/>
                <w:color w:val="auto"/>
              </w:rPr>
              <w:t>(5)</w:t>
            </w:r>
          </w:p>
        </w:tc>
        <w:tc>
          <w:tcPr>
            <w:tcW w:w="17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83,584,543</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Toy</w:t>
            </w:r>
            <w:r>
              <w:rPr>
                <w:rFonts w:ascii="Times New Roman" w:cs="Times New Roman" w:eastAsia="Times New Roman" w:hAnsi="Times New Roman"/>
                <w:sz w:val="15"/>
                <w:szCs w:val="15"/>
                <w:color w:val="auto"/>
              </w:rPr>
              <w:t>(7)</w:t>
            </w:r>
          </w:p>
        </w:tc>
        <w:tc>
          <w:tcPr>
            <w:tcW w:w="1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12,790,323</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Gia Lee</w:t>
            </w:r>
            <w:r>
              <w:rPr>
                <w:rFonts w:ascii="Times New Roman" w:cs="Times New Roman" w:eastAsia="Times New Roman" w:hAnsi="Times New Roman"/>
                <w:sz w:val="15"/>
                <w:szCs w:val="15"/>
                <w:color w:val="auto"/>
              </w:rPr>
              <w:t>(7)</w:t>
            </w:r>
          </w:p>
        </w:tc>
        <w:tc>
          <w:tcPr>
            <w:tcW w:w="17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1,144,978</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Chelsea Clinton</w:t>
            </w:r>
            <w:r>
              <w:rPr>
                <w:rFonts w:ascii="Times New Roman" w:cs="Times New Roman" w:eastAsia="Times New Roman" w:hAnsi="Times New Roman"/>
                <w:sz w:val="15"/>
                <w:szCs w:val="15"/>
                <w:color w:val="auto"/>
              </w:rPr>
              <w:t>(7)</w:t>
            </w:r>
          </w:p>
        </w:tc>
        <w:tc>
          <w:tcPr>
            <w:tcW w:w="1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685,690</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Shapiro</w:t>
            </w:r>
          </w:p>
        </w:tc>
        <w:tc>
          <w:tcPr>
            <w:tcW w:w="17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15"/>
                <w:szCs w:val="15"/>
                <w:color w:val="auto"/>
              </w:rPr>
              <w:t>(8)</w:t>
            </w:r>
          </w:p>
        </w:tc>
        <w:tc>
          <w:tcPr>
            <w:tcW w:w="1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2,565,954</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executive officers as a</w:t>
            </w: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group (8 individuals)</w:t>
            </w:r>
            <w:r>
              <w:rPr>
                <w:rFonts w:ascii="Times New Roman" w:cs="Times New Roman" w:eastAsia="Times New Roman" w:hAnsi="Times New Roman"/>
                <w:sz w:val="15"/>
                <w:szCs w:val="15"/>
                <w:color w:val="auto"/>
              </w:rPr>
              <w:t>(9)</w:t>
            </w:r>
          </w:p>
        </w:tc>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10,931,019</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Class A common stock and Class B common stock, as a</w:t>
      </w:r>
    </w:p>
    <w:p>
      <w:pPr>
        <w:spacing w:after="0" w:line="9" w:lineRule="exact"/>
        <w:rPr>
          <w:sz w:val="20"/>
          <w:szCs w:val="20"/>
          <w:color w:val="auto"/>
        </w:rPr>
      </w:pPr>
    </w:p>
    <w:p>
      <w:pPr>
        <w:ind w:left="424" w:right="80"/>
        <w:spacing w:after="0" w:line="265" w:lineRule="auto"/>
        <w:rPr>
          <w:sz w:val="20"/>
          <w:szCs w:val="20"/>
          <w:color w:val="auto"/>
        </w:rPr>
      </w:pPr>
      <w:r>
        <w:rPr>
          <w:rFonts w:ascii="Times New Roman" w:cs="Times New Roman" w:eastAsia="Times New Roman" w:hAnsi="Times New Roman"/>
          <w:sz w:val="17"/>
          <w:szCs w:val="17"/>
          <w:color w:val="auto"/>
        </w:rPr>
        <w:t>single class. Each share of Class B common stock is entitled to ten votes per share and each share of Class A common stock is entitled to one vote per share. For more information about the voting rights of Common Stock, see the section below titled “Description of Registrant’s Securities.”</w:t>
      </w:r>
    </w:p>
    <w:p>
      <w:pPr>
        <w:ind w:left="424" w:right="26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Palihapitiya and Osborne may be deemed to beneficially own shares held by SCH Sponsor III LLC by virtue of their shared voting and investment control over SCH Sponsor III LLC. The address of SCH Sponsor III LLC is 317 University Ave, Suite 200, Palo Alto, CA 94301.</w:t>
      </w:r>
    </w:p>
    <w:p>
      <w:pPr>
        <w:ind w:left="424" w:right="20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w:t>
      </w:r>
    </w:p>
    <w:p>
      <w:pPr>
        <w:sectPr>
          <w:pgSz w:w="11900" w:h="16838" w:orient="portrait"/>
          <w:cols w:equalWidth="0" w:num="1">
            <w:col w:w="11024"/>
          </w:cols>
          <w:pgMar w:left="436" w:top="266" w:right="439" w:bottom="1440" w:gutter="0" w:footer="0" w:header="0"/>
        </w:sectPr>
      </w:pPr>
    </w:p>
    <w:bookmarkStart w:id="8" w:name="page9"/>
    <w:bookmarkEnd w:id="8"/>
    <w:p>
      <w:pPr>
        <w:ind w:left="424" w:right="4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Consists of (i) 20,500,000 shares of Class A common stock held by SCH Sponsor III LLC, (ii) 10,000,000 shares of Class A common stock held by ChaChaCha SPAC C LLC, and (iii) 284,891 shares of Class B common stock held by The Social + Capital Partnership III, L.P. for itself and as nominee for The Social + Capital Partnership Principals Fund III, L.P. (“Social Capital Partnership III”). Mr. Palihapitiya may be deemed to beneficially own the shares held by Social Capital Partnership III by virtue of his shared voting and investment control over Social Capital Partnership III. The address of Mr. Palihapitiya and each of these entities is 317 University Ave, Suite 200, Palo Alto, CA 94301.</w:t>
      </w:r>
    </w:p>
    <w:p>
      <w:pPr>
        <w:spacing w:after="0" w:line="3"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20,500,000 shares of Class A common stock held by SCH Sponsor III LLC and (ii) 5,000,000 shares of Class A common stock held by Hedosophia Public Investments Limited. Mr. Osborne serves as a member of the board of directors of Hedosophia Public Investments Limited and as such, has shared voting and dispositive power with respect to the shares held by Hedosophia Public Investments Limited and may be deemed to beneficially own the shares held by Hedosophia Public Investments Limited. The address of Mr. Osborne and SCH Sponsor III LLC is 317 University Ave, Suite 200, Palo Alto, CA 94301 and the address of Hedosophia Public Investments Limited is Trafalgar Court, Les Banques, St Peter Fort, Guernsey G41 3QL.</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Garipalli serves as the sole manager of Caesar Ventures, Caesar Clover, NJ Healthcare and Titus Ventures, respectively. Therefore,</w:t>
      </w:r>
    </w:p>
    <w:p>
      <w:pPr>
        <w:spacing w:after="0" w:line="9" w:lineRule="exact"/>
        <w:rPr>
          <w:rFonts w:ascii="Times New Roman" w:cs="Times New Roman" w:eastAsia="Times New Roman" w:hAnsi="Times New Roman"/>
          <w:sz w:val="18"/>
          <w:szCs w:val="18"/>
          <w:color w:val="auto"/>
        </w:rPr>
      </w:pPr>
    </w:p>
    <w:p>
      <w:pPr>
        <w:ind w:left="424" w:right="4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Garipalli may be deemed to share voting power and dispositive power over the shares held by these entities. The address of each of these entities is 11 Colts Gait Lane, Colts Neck, NJ 07722.</w:t>
      </w: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4,018,431 shares of Class B common stock held of record by an affiliate of Greenoaks Capital Partners LLC (“Greenoaks Capital”), (ii) 3,085,306 shares of Class B common stock held of record by an affiliate of Greenoaks Capital, (iii) 8,678,540 shares of Class B common stock held of record by an affiliate of Greenoaks Capital, (iv) 2,716,239 shares of Class B common stock held of record by an affiliate of Greenoaks Capital, (v) 12,036,311 shares of Class B common stock held of record by an affiliate of Greenoaks Capital, (vi) 26,058,782 shares of Class B common stock held of record by an affiliate of Greenoaks Capital, (vii) 29,803,297 shares of Class B common stock held of record by an affiliate of Greenoaks Capital, and (viii) 9,934,432 shares of Class B common stock held of record by an affiliate of Greenoaks Capital. Benjamin Peretz is a Managing Member of the general partner of each of the entities affiliated with Greenoaks Capital. Therefore, Mr. Peretz may be deemed to share voting power and dispositive power over the shares held by these entities. The principal business address of each of these entities is 535 Pacific Avenue, 4th Floor, San Francisco, California 94133.</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Class B common stock issuable upon the exercise of options exercisable within 60 days of the Closing Date.</w:t>
      </w:r>
    </w:p>
    <w:p>
      <w:pPr>
        <w:spacing w:after="0" w:line="9"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15,780,522 shares of Class B common stock issuable upon exercise of options exercisable within 60 days of the Closing Date.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121" w:lineRule="exact"/>
        <w:rPr>
          <w:sz w:val="20"/>
          <w:szCs w:val="20"/>
          <w:color w:val="auto"/>
        </w:rPr>
      </w:pPr>
    </w:p>
    <w:p>
      <w:pPr>
        <w:ind w:left="4" w:right="22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the Company’s directors and executive officers after the Closing are described in the Proxy Statement/Prospectus in the sections titled “</w:t>
      </w:r>
      <w:hyperlink r:id="rId34">
        <w:r>
          <w:rPr>
            <w:rFonts w:ascii="Times New Roman" w:cs="Times New Roman" w:eastAsia="Times New Roman" w:hAnsi="Times New Roman"/>
            <w:sz w:val="18"/>
            <w:szCs w:val="18"/>
            <w:u w:val="single" w:color="auto"/>
            <w:color w:val="0000EE"/>
          </w:rPr>
          <w:t>Director Election Proposal</w:t>
        </w:r>
      </w:hyperlink>
      <w:r>
        <w:rPr>
          <w:rFonts w:ascii="Times New Roman" w:cs="Times New Roman" w:eastAsia="Times New Roman" w:hAnsi="Times New Roman"/>
          <w:sz w:val="18"/>
          <w:szCs w:val="18"/>
          <w:color w:val="auto"/>
        </w:rPr>
        <w:t>” beginning on page 174 and “</w:t>
      </w:r>
      <w:hyperlink r:id="rId35">
        <w:r>
          <w:rPr>
            <w:rFonts w:ascii="Times New Roman" w:cs="Times New Roman" w:eastAsia="Times New Roman" w:hAnsi="Times New Roman"/>
            <w:sz w:val="18"/>
            <w:szCs w:val="18"/>
            <w:u w:val="single" w:color="auto"/>
            <w:color w:val="0000EE"/>
          </w:rPr>
          <w:t>Management of Clover Health Following the Business Combination</w:t>
        </w:r>
      </w:hyperlink>
      <w:r>
        <w:rPr>
          <w:rFonts w:ascii="Times New Roman" w:cs="Times New Roman" w:eastAsia="Times New Roman" w:hAnsi="Times New Roman"/>
          <w:sz w:val="18"/>
          <w:szCs w:val="18"/>
          <w:color w:val="auto"/>
        </w:rPr>
        <w:t>” beginning on page 308, which information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ind w:left="4" w:firstLine="440"/>
        <w:spacing w:after="0" w:line="266" w:lineRule="auto"/>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auto"/>
          </w:rPr>
          <w:t>The compensation of the Company’s directors is described in the Proxy Statement/Prospectus in the sections titled “</w:t>
        </w:r>
        <w:r>
          <w:rPr>
            <w:rFonts w:ascii="Times New Roman" w:cs="Times New Roman" w:eastAsia="Times New Roman" w:hAnsi="Times New Roman"/>
            <w:sz w:val="18"/>
            <w:szCs w:val="18"/>
            <w:u w:val="single" w:color="auto"/>
            <w:color w:val="0000EE"/>
          </w:rPr>
          <w:t>Executive Compensation—</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Director Compensation</w:t>
        </w:r>
        <w:r>
          <w:rPr>
            <w:rFonts w:ascii="Times New Roman" w:cs="Times New Roman" w:eastAsia="Times New Roman" w:hAnsi="Times New Roman"/>
            <w:sz w:val="18"/>
            <w:szCs w:val="18"/>
            <w:color w:val="000000"/>
          </w:rPr>
          <w:t>” beginning on page 321 and “</w:t>
        </w:r>
        <w:r>
          <w:rPr>
            <w:rFonts w:ascii="Times New Roman" w:cs="Times New Roman" w:eastAsia="Times New Roman" w:hAnsi="Times New Roman"/>
            <w:sz w:val="18"/>
            <w:szCs w:val="18"/>
            <w:u w:val="single" w:color="auto"/>
            <w:color w:val="0000EE"/>
          </w:rPr>
          <w:t>Executive Compensation—Non-Employee Director Compensation Policy</w:t>
        </w:r>
        <w:r>
          <w:rPr>
            <w:rFonts w:ascii="Times New Roman" w:cs="Times New Roman" w:eastAsia="Times New Roman" w:hAnsi="Times New Roman"/>
            <w:sz w:val="18"/>
            <w:szCs w:val="18"/>
            <w:color w:val="000000"/>
          </w:rPr>
          <w:t xml:space="preserve">” beginning on page </w:t>
        </w:r>
      </w:hyperlink>
      <w:r>
        <w:rPr>
          <w:rFonts w:ascii="Times New Roman" w:cs="Times New Roman" w:eastAsia="Times New Roman" w:hAnsi="Times New Roman"/>
          <w:sz w:val="18"/>
          <w:szCs w:val="18"/>
          <w:color w:val="0000EE"/>
        </w:rPr>
        <w:t xml:space="preserve">321, </w:t>
      </w:r>
      <w:r>
        <w:rPr>
          <w:rFonts w:ascii="Times New Roman" w:cs="Times New Roman" w:eastAsia="Times New Roman" w:hAnsi="Times New Roman"/>
          <w:sz w:val="18"/>
          <w:szCs w:val="18"/>
          <w:color w:val="000000"/>
        </w:rPr>
        <w:t>which information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Exhibit 99.3 hereto and is incorporated by reference herein.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Transactions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Exhibit 99.4 hereto and is incorporated by reference herein.</w:t>
      </w:r>
    </w:p>
    <w:p>
      <w:pPr>
        <w:sectPr>
          <w:pgSz w:w="11900" w:h="16838" w:orient="portrait"/>
          <w:cols w:equalWidth="0" w:num="1">
            <w:col w:w="11004"/>
          </w:cols>
          <w:pgMar w:left="436"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Proceedings</w:t>
      </w:r>
    </w:p>
    <w:p>
      <w:pPr>
        <w:spacing w:after="0" w:line="121" w:lineRule="exact"/>
        <w:rPr>
          <w:sz w:val="20"/>
          <w:szCs w:val="20"/>
          <w:color w:val="auto"/>
        </w:rPr>
      </w:pPr>
    </w:p>
    <w:p>
      <w:pPr>
        <w:ind w:right="8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disclosure regarding legal proceedings of the Company in the section of the Proxy Statement/Prospectus titled “</w:t>
      </w:r>
      <w:hyperlink r:id="rId29">
        <w:r>
          <w:rPr>
            <w:rFonts w:ascii="Times New Roman" w:cs="Times New Roman" w:eastAsia="Times New Roman" w:hAnsi="Times New Roman"/>
            <w:sz w:val="18"/>
            <w:szCs w:val="18"/>
            <w:u w:val="single" w:color="auto"/>
            <w:color w:val="0000EE"/>
          </w:rPr>
          <w:t>Information about Clover—Legal Proceedings</w:t>
        </w:r>
      </w:hyperlink>
      <w:r>
        <w:rPr>
          <w:rFonts w:ascii="Times New Roman" w:cs="Times New Roman" w:eastAsia="Times New Roman" w:hAnsi="Times New Roman"/>
          <w:sz w:val="18"/>
          <w:szCs w:val="18"/>
          <w:color w:val="auto"/>
        </w:rPr>
        <w:t>” beginning on page 267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the SCH’s publicly traded units, Class A ordinary shares and public warrants were listed on the New York Stock Exchange under the symbols “IPOC.U,” “IPOC.” and “IPOC.W,” respectively. The units automatically separated into their component securities upon the Closing and, as a result, no longer trade as a separate security. Upon the Closing, SCH’s ordinary shares, warrants and units ceased trading on the New York Stock Exchange, and the Company’s Class A Common Stock and Warrants were listed on The Nasdaq Global Select Market under the symbols “CLOV,” and “CLOVW,” respectively.</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not paid any cash dividends on shares of its Class A Common Stock to date. The payment of any cash dividends in the future will be dependent upon the Company’s revenues and earnings, if any, capital requirements and general financial condition. The payment of any dividends will be within the discretion of the Company’s board of directors.</w:t>
      </w:r>
    </w:p>
    <w:p>
      <w:pPr>
        <w:spacing w:after="0" w:line="176" w:lineRule="exact"/>
        <w:rPr>
          <w:sz w:val="20"/>
          <w:szCs w:val="20"/>
          <w:color w:val="auto"/>
        </w:rPr>
      </w:pPr>
    </w:p>
    <w:p>
      <w:pPr>
        <w:ind w:right="74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respecting SCH’s Class A ordinary shares, warrants and units and related stockholder matters are described in the Proxy Statement/Prospectus in the section titled “</w:t>
      </w:r>
      <w:hyperlink r:id="rId38">
        <w:r>
          <w:rPr>
            <w:rFonts w:ascii="Times New Roman" w:cs="Times New Roman" w:eastAsia="Times New Roman" w:hAnsi="Times New Roman"/>
            <w:sz w:val="18"/>
            <w:szCs w:val="18"/>
            <w:u w:val="single" w:color="auto"/>
            <w:color w:val="0000EE"/>
          </w:rPr>
          <w:t>Market Price and Dividend Information</w:t>
        </w:r>
      </w:hyperlink>
      <w:r>
        <w:rPr>
          <w:rFonts w:ascii="Times New Roman" w:cs="Times New Roman" w:eastAsia="Times New Roman" w:hAnsi="Times New Roman"/>
          <w:sz w:val="18"/>
          <w:szCs w:val="18"/>
          <w:color w:val="auto"/>
        </w:rPr>
        <w:t>” on page 38 and such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set forth under Item 3.02 of this Report concerning the issuance and sale by the Company of certain unregistered securities,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Registrant’s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Exhibit 4.5 hereto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19" w:lineRule="exact"/>
        <w:rPr>
          <w:sz w:val="20"/>
          <w:szCs w:val="20"/>
          <w:color w:val="auto"/>
        </w:rPr>
      </w:pPr>
    </w:p>
    <w:p>
      <w:pPr>
        <w:ind w:right="820" w:firstLine="440"/>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set forth in Item 1.01 of this Report under the section titled “</w:t>
      </w: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which is incorporated herein by reference.</w:t>
      </w:r>
    </w:p>
    <w:p>
      <w:pPr>
        <w:spacing w:after="0" w:line="160" w:lineRule="exact"/>
        <w:rPr>
          <w:sz w:val="20"/>
          <w:szCs w:val="20"/>
          <w:color w:val="auto"/>
        </w:rPr>
      </w:pPr>
    </w:p>
    <w:p>
      <w:pPr>
        <w:ind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information about indemnification of the Company’s directors and officers is set forth in the Proxy Statement/Prospectus in the section titled “</w:t>
      </w:r>
      <w:hyperlink r:id="rId39">
        <w:r>
          <w:rPr>
            <w:rFonts w:ascii="Times New Roman" w:cs="Times New Roman" w:eastAsia="Times New Roman" w:hAnsi="Times New Roman"/>
            <w:sz w:val="18"/>
            <w:szCs w:val="18"/>
            <w:u w:val="single" w:color="auto"/>
            <w:color w:val="0000EE"/>
          </w:rPr>
          <w:t>Description of Clover Health Securities—Limitations on Liability and Indemnification of Officers and Directors</w:t>
        </w:r>
      </w:hyperlink>
      <w:r>
        <w:rPr>
          <w:rFonts w:ascii="Times New Roman" w:cs="Times New Roman" w:eastAsia="Times New Roman" w:hAnsi="Times New Roman"/>
          <w:sz w:val="18"/>
          <w:szCs w:val="18"/>
          <w:color w:val="auto"/>
        </w:rPr>
        <w:t>” on page 344, which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disclosure set forth in Item 9.01 of this Report concerning the financial statements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4.01 of this Report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9.01 of this Report is incorporated herein by reference.</w:t>
      </w:r>
    </w:p>
    <w:p>
      <w:pPr>
        <w:sectPr>
          <w:pgSz w:w="11900" w:h="16838" w:orient="portrait"/>
          <w:cols w:equalWidth="0" w:num="1">
            <w:col w:w="11020"/>
          </w:cols>
          <w:pgMar w:left="440" w:top="266" w:right="439" w:bottom="1440" w:gutter="0" w:footer="0" w:header="0"/>
        </w:sectPr>
      </w:pPr>
    </w:p>
    <w:bookmarkStart w:id="10" w:name="page11"/>
    <w:bookmarkEnd w:id="1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disclosure set forth in the “Introductory Note” of this Report under the section titled “Subscription Agreements” is incorporated by reference into this Item 3.02.</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issued in the PIPE Investment have not been registered under the Securities Act, in reliance on the exemption from registration provided by Section 4(a)(2) thereof.</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set forth under Item 5.03 of this Report is incorporated herein by reference.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January 7, 2021, the Audit Committee of the Company’s Board of Directors dismissed Marcum LLP (“Marcum”), SCH’s independent registered public accounting firm prior to the Transactions, effective following the completion of the Company’s audit for the year ended December 31, 2020, which consists only of the accounts of SCH, the special purpose acquisition company prior to the Transaction.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report of Marcum on SCH’s financial statements as of December 31, 2019, and for the period from October 18, 2019 (inception) through December 31, 2019, did not contain an adverse opinion or a disclaimer of opinion, and were not qualified or modified as to uncertainties, audit scope or accounting principles, except for an explanatory paragraph in such report regarding substantial doubt about the Company’s ability to continue as a going concern.</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During the period from October 18, 2019 (inception) through December 31, 2019, and the subsequent period through January 7, 2021, there were no disagreements with Marcum on any matter of accounting principles or practices, financial statement disclosure, or auditing scope or procedure, which disagreements, if not resolved to the satisfaction of Marcum, would have caused it to make a reference to the subject matter of the disagreement in connection with its report covering such period. In addition, no “reportable events,” as defined in Item 304(a)(1)(v) of Regulation S-K, occurred within the period of Marcum’s engagement and the subsequent period through January 7, 2021.</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provided Marcum with a copy of the foregoing disclosures prior to the filing of this Current Report and requested that Marcum furnish a letter addressed to the SEC stating, which is attached hereto as Exhibit 16.1, stating whether it agrees with such disclosures, and, if not, stating the respects in which is does not agree.</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January 7, 2021, the Audit Committee of the Board approved the engagement of Ernst &amp; Young LLP (“EY”) as the Company’s independent registered public accounting firm to audit the Company’s consolidated financial statements for the year ended December 31, 2021. EY served as the independent registered public accounting firm of Clover prior to the Transactions.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set forth in the “Introductory Note” above and in Item 2.01 of this Report is incorporated herein by reference.</w:t>
      </w:r>
    </w:p>
    <w:p>
      <w:pPr>
        <w:spacing w:after="0" w:line="370" w:lineRule="exact"/>
        <w:rPr>
          <w:sz w:val="20"/>
          <w:szCs w:val="20"/>
          <w:color w:val="auto"/>
        </w:rPr>
      </w:pPr>
    </w:p>
    <w:p>
      <w:pPr>
        <w:ind w:left="1080" w:right="106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disclosure set forth in Item 2.01 of this Report under the sections entitled “Directors and Executive Officers,” “Director Compensation” and “Executive Compensation”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21"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Upon the consummation of the Transactions, and in accordance with the terms of the Merger Agreement, each executive officer of SCH ceased serving in such capacities, and Chamath Palihapitiya, Ian Osborne, Jacqueline D. Reses and James Ryans ceased serving on SCH’s board of directors.</w:t>
      </w:r>
    </w:p>
    <w:p>
      <w:pPr>
        <w:sectPr>
          <w:pgSz w:w="11900" w:h="16838" w:orient="portrait"/>
          <w:cols w:equalWidth="0" w:num="1">
            <w:col w:w="10960"/>
          </w:cols>
          <w:pgMar w:left="440" w:top="266" w:right="499" w:bottom="1440" w:gutter="0" w:footer="0" w:header="0"/>
        </w:sectPr>
      </w:pPr>
    </w:p>
    <w:bookmarkStart w:id="11" w:name="page12"/>
    <w:bookmarkEnd w:id="11"/>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Vivek Garipalli, Andrew Toy, Chelsea Clinton, Lee A. Shapiro and Nathaniel S. Turner were appointed as directors of Clover Health, to serve until the end of their respective terms and until their successors are elected and qualified. Vivek Garipalli, Lee A. Shapiro and Nathaniel S. Turner were appointed to serve on Clover Health’s audit committee with Mr. Shapiro serving as the chair and qualifying as an audit committee financial expert, as such term is defined in Item 407(d)(5) of Regulation S-K.</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Vivek Garipalli was appointed as Clover Health’s Chief Executive Officer, Andrew Toy was appointed as Clover Health’s President and Chief Technology Officer, Joseph Wagner was appointed as Clover Health’s Chief Financial Officer, Gia Lee was appointed as Clover Health’s General Counsel and Secretary, and Jamie L. Reynoso was appointed as Clover Health’s Chief Operating Officer.</w:t>
      </w:r>
    </w:p>
    <w:p>
      <w:pPr>
        <w:spacing w:after="0" w:line="176" w:lineRule="exact"/>
        <w:rPr>
          <w:sz w:val="20"/>
          <w:szCs w:val="20"/>
          <w:color w:val="auto"/>
        </w:rPr>
      </w:pPr>
    </w:p>
    <w:p>
      <w:pPr>
        <w:jc w:val="both"/>
        <w:ind w:right="26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also made to the disclosure in the Proxy Statement/Prospectus in the section titled “</w:t>
      </w:r>
      <w:hyperlink r:id="rId34">
        <w:r>
          <w:rPr>
            <w:rFonts w:ascii="Times New Roman" w:cs="Times New Roman" w:eastAsia="Times New Roman" w:hAnsi="Times New Roman"/>
            <w:sz w:val="18"/>
            <w:szCs w:val="18"/>
            <w:u w:val="single" w:color="auto"/>
            <w:color w:val="0000EE"/>
          </w:rPr>
          <w:t>Director Election Proposal</w:t>
        </w:r>
      </w:hyperlink>
      <w:r>
        <w:rPr>
          <w:rFonts w:ascii="Times New Roman" w:cs="Times New Roman" w:eastAsia="Times New Roman" w:hAnsi="Times New Roman"/>
          <w:sz w:val="18"/>
          <w:szCs w:val="18"/>
          <w:color w:val="auto"/>
        </w:rPr>
        <w:t>” beginning on page 174 and “</w:t>
      </w:r>
      <w:hyperlink r:id="rId35">
        <w:r>
          <w:rPr>
            <w:rFonts w:ascii="Times New Roman" w:cs="Times New Roman" w:eastAsia="Times New Roman" w:hAnsi="Times New Roman"/>
            <w:sz w:val="18"/>
            <w:szCs w:val="18"/>
            <w:u w:val="single" w:color="auto"/>
            <w:color w:val="0000EE"/>
          </w:rPr>
          <w:t>Management of Clover Health Following the Business Combination</w:t>
        </w:r>
      </w:hyperlink>
      <w:r>
        <w:rPr>
          <w:rFonts w:ascii="Times New Roman" w:cs="Times New Roman" w:eastAsia="Times New Roman" w:hAnsi="Times New Roman"/>
          <w:sz w:val="18"/>
          <w:szCs w:val="18"/>
          <w:color w:val="auto"/>
        </w:rPr>
        <w:t>” beginning on page 308 for biographical information about each of the directors and officers, which disclosure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for Directors</w:t>
      </w:r>
    </w:p>
    <w:p>
      <w:pPr>
        <w:spacing w:after="0" w:line="121" w:lineRule="exact"/>
        <w:rPr>
          <w:sz w:val="20"/>
          <w:szCs w:val="20"/>
          <w:color w:val="auto"/>
        </w:rPr>
      </w:pPr>
    </w:p>
    <w:p>
      <w:pPr>
        <w:ind w:right="8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Clover Health’s board of directors approved a compensation program for Clover Health’s non-employee directors who are determined not to be affiliated with Clover Health (the “Non-Employee Director Compensation Policy”). Pursuant to the terms of the Non-Employee Director Compensation Policy, non-employee directors are eligible to receive fixed annual cash retainer fees as well as long-term equity compensation awards for their service on Clover Health’s board of directors. Additional fixed annual cash retainer fees are paid to non-employee directors for committee membership and chairperson service. A description of the Non-Employee Director Compensation Policy is included in the Proxy Statement/Prospectus in the section titled “</w:t>
      </w:r>
      <w:hyperlink r:id="rId36">
        <w:r>
          <w:rPr>
            <w:rFonts w:ascii="Times New Roman" w:cs="Times New Roman" w:eastAsia="Times New Roman" w:hAnsi="Times New Roman"/>
            <w:sz w:val="18"/>
            <w:szCs w:val="18"/>
            <w:u w:val="single" w:color="auto"/>
            <w:color w:val="0000EE"/>
          </w:rPr>
          <w:t>Executive Compensation – Non-Employee Director Compensation Policy</w:t>
        </w:r>
      </w:hyperlink>
      <w:r>
        <w:rPr>
          <w:rFonts w:ascii="Times New Roman" w:cs="Times New Roman" w:eastAsia="Times New Roman" w:hAnsi="Times New Roman"/>
          <w:sz w:val="18"/>
          <w:szCs w:val="18"/>
          <w:color w:val="auto"/>
        </w:rPr>
        <w:t>” beginning on page 321, which is incorporated herein by reference. The foregoing description of the Non-Employee Director Compensation Policy does not purport to be complete and is qualified in its entirety by the full text of the Non-Employee Director Compensation Policy, which is attached hereto as Exhibit 10.8 to this Report and is incorporated herein by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for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Under the 2014 Equity Incentive Plan (the “2014 Plan”)</w:t>
      </w:r>
    </w:p>
    <w:p>
      <w:pPr>
        <w:spacing w:after="0" w:line="11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Clover’s board of directors granted the following stock awards under the 2014 Plan, effective immediately prior to the Closing to Mr. Garipalli and Mr. Toy (the “Pre-Closing Founder Grants”).</w:t>
      </w:r>
    </w:p>
    <w:p>
      <w:pPr>
        <w:spacing w:after="0" w:line="67" w:lineRule="exact"/>
        <w:rPr>
          <w:sz w:val="20"/>
          <w:szCs w:val="20"/>
          <w:color w:val="auto"/>
        </w:rPr>
      </w:pPr>
    </w:p>
    <w:p>
      <w:pPr>
        <w:ind w:left="960" w:right="5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Garipalli Performance-Based Award – Clover granted Mr. Garipalli performance-based RSUs covering 7,164,581 shares of Class B Common Stock, which will vest and become settled by satisfying each of the following two conditions:</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Garipalli’s continued service to us as our CEO, Co-CEO or Executive Chairman through each vesting date; and</w:t>
      </w:r>
    </w:p>
    <w:p>
      <w:pPr>
        <w:spacing w:after="0" w:line="67" w:lineRule="exact"/>
        <w:rPr>
          <w:rFonts w:ascii="Times New Roman" w:cs="Times New Roman" w:eastAsia="Times New Roman" w:hAnsi="Times New Roman"/>
          <w:sz w:val="18"/>
          <w:szCs w:val="18"/>
          <w:color w:val="auto"/>
        </w:rPr>
      </w:pPr>
    </w:p>
    <w:p>
      <w:pPr>
        <w:ind w:left="1420" w:hanging="439"/>
        <w:spacing w:after="0" w:line="289" w:lineRule="auto"/>
        <w:tabs>
          <w:tab w:leader="none" w:pos="14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63" w:lineRule="exact"/>
        <w:rPr>
          <w:rFonts w:ascii="Times New Roman" w:cs="Times New Roman" w:eastAsia="Times New Roman" w:hAnsi="Times New Roman"/>
          <w:sz w:val="17"/>
          <w:szCs w:val="17"/>
          <w:color w:val="auto"/>
        </w:rPr>
      </w:pPr>
    </w:p>
    <w:p>
      <w:pPr>
        <w:ind w:left="960" w:right="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Toy Performance-Based Award – Clover granted Mr. Toy performance-based RSUs covering 3,582,291 shares of Class B Common Stock, which will vest and become settled by satisfying each of the following two conditions:</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Toy’s continued service to us through each vesting date; and</w:t>
      </w:r>
    </w:p>
    <w:p>
      <w:pPr>
        <w:spacing w:after="0" w:line="67" w:lineRule="exact"/>
        <w:rPr>
          <w:rFonts w:ascii="Times New Roman" w:cs="Times New Roman" w:eastAsia="Times New Roman" w:hAnsi="Times New Roman"/>
          <w:sz w:val="18"/>
          <w:szCs w:val="18"/>
          <w:color w:val="auto"/>
        </w:rPr>
      </w:pPr>
    </w:p>
    <w:p>
      <w:pPr>
        <w:ind w:left="1420" w:right="100" w:hanging="439"/>
        <w:spacing w:after="0" w:line="312" w:lineRule="auto"/>
        <w:tabs>
          <w:tab w:leader="none" w:pos="14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ectPr>
          <w:pgSz w:w="11900" w:h="16838" w:orient="portrait"/>
          <w:cols w:equalWidth="0" w:num="1">
            <w:col w:w="11020"/>
          </w:cols>
          <w:pgMar w:left="440" w:top="270" w:right="439" w:bottom="1440" w:gutter="0" w:footer="0" w:header="0"/>
        </w:sectPr>
      </w:pPr>
    </w:p>
    <w:bookmarkStart w:id="12" w:name="page13"/>
    <w:bookmarkEnd w:id="12"/>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upon a change in control as defined in the 2014 Plan (which did not include the Transactions),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are also subject to the terms and conditions of the employment agreements that Mr. Garipalli and Mr. Toy entered into with Clover Health as discussed in the section below entitled “Employment Agreements”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Agreement with Vivek Garipalli</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Garipalli, which was assumed by Clover Health, pursuant to which Mr. Garipalli serves as our Chief Executive Officer and reports directly to our board of directors. Mr. Garipalli’s employment under the employment agreement is at-will.</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we granted Mr. Garipalli two RSU awards under the Management Incentive Plan, effective as of the date of the Closing, which collectively cover 22,284,655 shares of Class B Common Stock, as described in more detail below (together, the “Garipalli Management Plan RSUs”).</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Mr. Garipalli’s employment agreement:</w:t>
      </w:r>
    </w:p>
    <w:p>
      <w:pPr>
        <w:spacing w:after="0" w:line="117" w:lineRule="exact"/>
        <w:rPr>
          <w:sz w:val="20"/>
          <w:szCs w:val="20"/>
          <w:color w:val="auto"/>
        </w:rPr>
      </w:pPr>
    </w:p>
    <w:p>
      <w:pPr>
        <w:ind w:left="980" w:right="40"/>
        <w:spacing w:after="0" w:line="254" w:lineRule="auto"/>
        <w:rPr>
          <w:sz w:val="20"/>
          <w:szCs w:val="20"/>
          <w:color w:val="auto"/>
        </w:rPr>
      </w:pPr>
      <w:r>
        <w:rPr>
          <w:rFonts w:ascii="Times New Roman" w:cs="Times New Roman" w:eastAsia="Times New Roman" w:hAnsi="Times New Roman"/>
          <w:sz w:val="18"/>
          <w:szCs w:val="18"/>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 (iv) 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84" w:lineRule="exact"/>
        <w:rPr>
          <w:sz w:val="20"/>
          <w:szCs w:val="20"/>
          <w:color w:val="auto"/>
        </w:rPr>
      </w:pPr>
    </w:p>
    <w:p>
      <w:pPr>
        <w:ind w:left="980" w:right="240"/>
        <w:spacing w:after="0" w:line="270" w:lineRule="auto"/>
        <w:rPr>
          <w:sz w:val="20"/>
          <w:szCs w:val="20"/>
          <w:color w:val="auto"/>
        </w:rPr>
      </w:pPr>
      <w:r>
        <w:rPr>
          <w:rFonts w:ascii="Times New Roman" w:cs="Times New Roman" w:eastAsia="Times New Roman" w:hAnsi="Times New Roman"/>
          <w:sz w:val="17"/>
          <w:szCs w:val="17"/>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 situated executive officers), provided, that a reduction of less than 10 percent will not be considered material,</w:t>
      </w:r>
    </w:p>
    <w:p>
      <w:pPr>
        <w:spacing w:after="0" w:line="3" w:lineRule="exact"/>
        <w:rPr>
          <w:sz w:val="20"/>
          <w:szCs w:val="20"/>
          <w:color w:val="auto"/>
        </w:rPr>
      </w:pPr>
    </w:p>
    <w:p>
      <w:pPr>
        <w:ind w:left="980" w:right="60" w:firstLine="7"/>
        <w:spacing w:after="0" w:line="255"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ectPr>
          <w:pgSz w:w="11900" w:h="16838" w:orient="portrait"/>
          <w:cols w:equalWidth="0" w:num="1">
            <w:col w:w="11000"/>
          </w:cols>
          <w:pgMar w:left="440" w:top="270"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with Andrew Toy</w:t>
      </w:r>
    </w:p>
    <w:p>
      <w:pPr>
        <w:spacing w:after="0" w:line="117"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Toy, which was assumed by Clover Health, pursuant to which Mr. Toy serves as our President and Chief Technology Officer and reports directly to Mr. Garipalli. Mr. Toy’s employment under the employment agreement is at-will.</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 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employment agreement, we granted Mr. Toy, an RSU award under the Management Incentive Plan, effective as of the date of the Closing that covers 11,142,328 shares of our Class B Common Stock, as described in more detail below. Mr. Toy will also be eligible for future equity awards from us under the 2020 Plan as determined by the board of directors or the compensation committee in their discretion.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Closing Date, Mr. Toy also received vesting in full of his option granted on February 4, 2020 for 3,669,607 shares of Class B Common Stock (on an as-converted basis) under the 2014 Plan.</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 (i) 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Mr. Toy’s employment agreement, “cause” has the same definition as Mr. Garipalli’s described above. “Good reason,” for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Toy’s employment agreement is defined as follows:</w:t>
      </w:r>
    </w:p>
    <w:p>
      <w:pPr>
        <w:spacing w:after="0" w:line="99" w:lineRule="exact"/>
        <w:rPr>
          <w:sz w:val="20"/>
          <w:szCs w:val="20"/>
          <w:color w:val="auto"/>
        </w:rPr>
      </w:pPr>
    </w:p>
    <w:p>
      <w:pPr>
        <w:ind w:left="980"/>
        <w:spacing w:after="0" w:line="276" w:lineRule="auto"/>
        <w:rPr>
          <w:sz w:val="20"/>
          <w:szCs w:val="20"/>
          <w:color w:val="auto"/>
        </w:rPr>
      </w:pPr>
      <w:r>
        <w:rPr>
          <w:rFonts w:ascii="Times New Roman" w:cs="Times New Roman" w:eastAsia="Times New Roman" w:hAnsi="Times New Roman"/>
          <w:sz w:val="17"/>
          <w:szCs w:val="17"/>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w:t>
      </w:r>
    </w:p>
    <w:p>
      <w:pPr>
        <w:spacing w:after="0" w:line="1" w:lineRule="exact"/>
        <w:rPr>
          <w:sz w:val="20"/>
          <w:szCs w:val="20"/>
          <w:color w:val="auto"/>
        </w:rPr>
      </w:pPr>
    </w:p>
    <w:p>
      <w:pPr>
        <w:ind w:left="980" w:right="80" w:firstLine="7"/>
        <w:spacing w:after="0" w:line="252" w:lineRule="auto"/>
        <w:tabs>
          <w:tab w:leader="none" w:pos="1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 percent will not be considered material, (v) any requirement for him to report to a work facility or location other than his home office or required business travel, or (iv) a material breach by the company of a material provision of his employment agreement.</w:t>
      </w:r>
    </w:p>
    <w:p>
      <w:pPr>
        <w:sectPr>
          <w:pgSz w:w="11900" w:h="16838" w:orient="portrait"/>
          <w:cols w:equalWidth="0" w:num="1">
            <w:col w:w="11000"/>
          </w:cols>
          <w:pgMar w:left="440" w:top="270" w:right="459" w:bottom="1440" w:gutter="0" w:footer="0" w:header="0"/>
        </w:sectPr>
      </w:pPr>
    </w:p>
    <w:bookmarkStart w:id="14" w:name="page15"/>
    <w:bookmarkEnd w:id="14"/>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180"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Copies of Mr. Garipalli’s and Mr. Toy’s employment agreements are attached hereto as Exhibit 10.9 and Exhibit 10.10 to this Report and are incorporated herein by reference.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Management Incentive Plan</w:t>
      </w:r>
    </w:p>
    <w:p>
      <w:pPr>
        <w:spacing w:after="0" w:line="119"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At the Special Meeting, on January 6, 2021 the shareholders considered and approved the Management Incentive Plan. The Management Incentive Plan was previously approved, subject to shareholder approval, by the board of directors on October 5, 2020.</w:t>
      </w:r>
    </w:p>
    <w:p>
      <w:pPr>
        <w:spacing w:after="0" w:line="162"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Management Incentive Plan is intended to (i) incentivize Mr. Garipalli and Mr. Toy with long-term equity-based compensation to align their interests with our shareholders and (ii) promote the success of our business. The Management Incentive Plan only permits the grant of RSUs to</w:t>
      </w:r>
    </w:p>
    <w:p>
      <w:pPr>
        <w:jc w:val="both"/>
        <w:ind w:left="4" w:right="80"/>
        <w:spacing w:after="0" w:line="255" w:lineRule="auto"/>
        <w:rPr>
          <w:sz w:val="20"/>
          <w:szCs w:val="20"/>
          <w:color w:val="auto"/>
        </w:rPr>
      </w:pPr>
      <w:r>
        <w:rPr>
          <w:rFonts w:ascii="Times New Roman" w:cs="Times New Roman" w:eastAsia="Times New Roman" w:hAnsi="Times New Roman"/>
          <w:sz w:val="18"/>
          <w:szCs w:val="18"/>
          <w:color w:val="auto"/>
        </w:rPr>
        <w:t>Mr. Garipalli and Mr. Toy in the amounts and pursuant to the terms as described below. Subject to adjustments as set forth in the Management Incentive Plan, the maximum aggregate number of shares of our Class B Common Stock that may be issued under the Management Incentive Plan is 33,426,983. The shares may be authorized, but unissued, or reacquired Class B Common Stock.</w:t>
      </w:r>
    </w:p>
    <w:p>
      <w:pPr>
        <w:spacing w:after="0" w:line="186" w:lineRule="exact"/>
        <w:rPr>
          <w:sz w:val="20"/>
          <w:szCs w:val="20"/>
          <w:color w:val="auto"/>
        </w:rPr>
      </w:pPr>
    </w:p>
    <w:p>
      <w:pPr>
        <w:ind w:left="4" w:right="100" w:firstLine="44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Management Incentive Plan became effective on the date of the Special Meeting and provides for grants of RSU awards to Mr. Garapalli and </w:t>
      </w:r>
      <w:hyperlink r:id="rId45">
        <w:r>
          <w:rPr>
            <w:rFonts w:ascii="Times New Roman" w:cs="Times New Roman" w:eastAsia="Times New Roman" w:hAnsi="Times New Roman"/>
            <w:sz w:val="18"/>
            <w:szCs w:val="18"/>
            <w:color w:val="auto"/>
          </w:rPr>
          <w:t>Mr. Toy. A description of the Management Incentive Plan is included in the section of the Proxy Statement/Prospectus titled “</w:t>
        </w:r>
        <w:r>
          <w:rPr>
            <w:rFonts w:ascii="Times New Roman" w:cs="Times New Roman" w:eastAsia="Times New Roman" w:hAnsi="Times New Roman"/>
            <w:sz w:val="18"/>
            <w:szCs w:val="18"/>
            <w:u w:val="single" w:color="auto"/>
            <w:color w:val="0000EE"/>
          </w:rPr>
          <w:t>Management Incentive</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Plan Proposal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beginning on page 188 and is incorporated herein by reference. The foregoing description of the Management Incentive Plan does not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purport to be complete and is qualified in its entirety by the full text of the Management Incentive Plan, which is attached hereto as Exhibit 10.6 to this report and incorporated herein by reference.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January 7, 2021, we made the following grants described below, effective as of the Closing Date, under the Management Incentive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Garipalli Time-Based Award</w:t>
      </w:r>
    </w:p>
    <w:p>
      <w:pPr>
        <w:spacing w:after="0" w:line="117"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Mr. Garipalli received an RSU award (the “Garipalli Time-Based Award”) covering 16,713,491 shares of Class B Common Stock. The Garipalli Time-Based Award shall become vested as to twenty percent (20%) of the RSUs subject to the Garipalli Time-Based Award on each of the first five</w:t>
      </w:r>
    </w:p>
    <w:p>
      <w:pPr>
        <w:spacing w:after="0" w:line="1" w:lineRule="exact"/>
        <w:rPr>
          <w:sz w:val="20"/>
          <w:szCs w:val="20"/>
          <w:color w:val="auto"/>
        </w:rPr>
      </w:pPr>
    </w:p>
    <w:p>
      <w:pPr>
        <w:ind w:left="4" w:right="180" w:hanging="4"/>
        <w:spacing w:after="0" w:line="277" w:lineRule="auto"/>
        <w:tabs>
          <w:tab w:leader="none" w:pos="25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Garipalli Performance-Based Award</w:t>
      </w:r>
    </w:p>
    <w:p>
      <w:pPr>
        <w:spacing w:after="0" w:line="11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Mr. Garipalli received an RSU award (the, “Garipalli Performance-Based Award”) covering 5,571,164 shares of Class B Common Stock, which will vest and become settled by satisfying two conditions, as set forth below:</w:t>
      </w:r>
    </w:p>
    <w:p>
      <w:pPr>
        <w:spacing w:after="0" w:line="67" w:lineRule="exact"/>
        <w:rPr>
          <w:sz w:val="20"/>
          <w:szCs w:val="20"/>
          <w:color w:val="auto"/>
        </w:rPr>
      </w:pPr>
    </w:p>
    <w:p>
      <w:pPr>
        <w:ind w:left="1424" w:hanging="331"/>
        <w:spacing w:after="0" w:line="258"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88" w:lineRule="exact"/>
        <w:rPr>
          <w:rFonts w:ascii="Times New Roman" w:cs="Times New Roman" w:eastAsia="Times New Roman" w:hAnsi="Times New Roman"/>
          <w:sz w:val="18"/>
          <w:szCs w:val="18"/>
          <w:color w:val="auto"/>
        </w:rPr>
      </w:pPr>
    </w:p>
    <w:p>
      <w:pPr>
        <w:ind w:left="1424" w:right="280" w:hanging="331"/>
        <w:spacing w:after="0" w:line="266"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Toy Performance-Based Award</w:t>
      </w:r>
    </w:p>
    <w:p>
      <w:pPr>
        <w:spacing w:after="0" w:line="11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Mr. Toy received an RSU award (the “Toy Performance-Based Award”) covering 11,142,328 shares of Class B Common Stock, which will vest and become settled by satisfying two conditions, as set forth below:</w:t>
      </w:r>
    </w:p>
    <w:p>
      <w:pPr>
        <w:sectPr>
          <w:pgSz w:w="11900" w:h="16838" w:orient="portrait"/>
          <w:cols w:equalWidth="0" w:num="1">
            <w:col w:w="11024"/>
          </w:cols>
          <w:pgMar w:left="436" w:top="270" w:right="439" w:bottom="1440" w:gutter="0" w:footer="0" w:header="0"/>
        </w:sectPr>
      </w:pPr>
    </w:p>
    <w:bookmarkStart w:id="15" w:name="page16"/>
    <w:bookmarkEnd w:id="15"/>
    <w:p>
      <w:pPr>
        <w:ind w:left="1420" w:right="80" w:hanging="331"/>
        <w:spacing w:after="0" w:line="258"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requirement</w:t>
      </w:r>
      <w:r>
        <w:rPr>
          <w:rFonts w:ascii="Times New Roman" w:cs="Times New Roman" w:eastAsia="Times New Roman" w:hAnsi="Times New Roman"/>
          <w:sz w:val="18"/>
          <w:szCs w:val="18"/>
          <w:color w:val="auto"/>
        </w:rPr>
        <w: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88" w:lineRule="exact"/>
        <w:rPr>
          <w:rFonts w:ascii="Times New Roman" w:cs="Times New Roman" w:eastAsia="Times New Roman" w:hAnsi="Times New Roman"/>
          <w:sz w:val="18"/>
          <w:szCs w:val="18"/>
          <w:color w:val="auto"/>
        </w:rPr>
      </w:pPr>
    </w:p>
    <w:p>
      <w:pPr>
        <w:ind w:left="1420" w:right="100" w:hanging="331"/>
        <w:spacing w:after="0" w:line="261"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broken out into two equal tranches as set forth in the below table, for a period of ninety (90) consecutive calendar days; provided that the performance metrics will not be measured nor may be satisfied prior to the one year anniversary of the Closing Date.</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20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20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Hurdle</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5,571,164</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5,571,164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1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Each of the Garipalli Performance-Based Award and the Toy Performance-Based Award (collectively, the “Performance-Based Awards”) also include the following general terms:</w:t>
      </w:r>
    </w:p>
    <w:p>
      <w:pPr>
        <w:spacing w:after="0" w:line="67" w:lineRule="exact"/>
        <w:rPr>
          <w:sz w:val="20"/>
          <w:szCs w:val="20"/>
          <w:color w:val="auto"/>
        </w:rPr>
      </w:pPr>
    </w:p>
    <w:p>
      <w:pPr>
        <w:ind w:left="1420" w:right="60" w:hanging="331"/>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requirement must be satisfied within five (5) years of the Closing Date (the “Performance Deadline”). Any portion of a Performance-Based Award that is unvested as of the Performance Deadline will be forfeited for no consideration.</w:t>
      </w:r>
    </w:p>
    <w:p>
      <w:pPr>
        <w:spacing w:after="0" w:line="67" w:lineRule="exact"/>
        <w:rPr>
          <w:rFonts w:ascii="Times New Roman" w:cs="Times New Roman" w:eastAsia="Times New Roman" w:hAnsi="Times New Roman"/>
          <w:sz w:val="18"/>
          <w:szCs w:val="18"/>
          <w:color w:val="auto"/>
        </w:rPr>
      </w:pPr>
    </w:p>
    <w:p>
      <w:pPr>
        <w:ind w:left="1420" w:right="60" w:hanging="331"/>
        <w:spacing w:after="0" w:line="258"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11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at the Special Meeting, on January 6, 2021, the shareholders considered and approved the 2020 Equity Incentive Plan. The 2020 Equity Incentive Plan (the “2020 Plan”) was previously approved, subject to shareholder approval, by the board of directors on October 5, 2020. The 2020 Plan became effective on the date of the Special Meeting.</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2020 Plan permits the grant of incentive stock options, nonstatutory stock options, stock appreciation rights, restricted stock, RSUs, and stock bonus awards. Subject to adjustments as set forth in the 2020 Plan, the maximum aggregate number of shares of our Class A Common Stock that may be issued under the 2020 Plan is 30,641,401. The shares may be authorized, but unissued, or reacquired Class A Common Stock. Furthermore, subject to adjustments as set forth in the 2020 Plan, in no event will the maximum aggregate number of shares that may be issued under the 2020 Plan pursuant to incentive stock options exceed the number set forth above. 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ectPr>
          <w:pgSz w:w="11900" w:h="16838" w:orient="portrait"/>
          <w:cols w:equalWidth="0" w:num="1">
            <w:col w:w="11000"/>
          </w:cols>
          <w:pgMar w:left="440" w:top="270" w:right="459" w:bottom="1440" w:gutter="0" w:footer="0" w:header="0"/>
        </w:sectPr>
      </w:pPr>
    </w:p>
    <w:bookmarkStart w:id="16" w:name="page17"/>
    <w:bookmarkEnd w:id="16"/>
    <w:p>
      <w:pPr>
        <w:ind w:right="60" w:firstLine="44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r:id="rId48">
        <w:r>
          <w:rPr>
            <w:rFonts w:ascii="Times New Roman" w:cs="Times New Roman" w:eastAsia="Times New Roman" w:hAnsi="Times New Roman"/>
            <w:sz w:val="18"/>
            <w:szCs w:val="18"/>
            <w:color w:val="auto"/>
          </w:rPr>
          <w:t>A description of the 2020 Equity Incentive Plan is included in the Proxy Statement/Prospectus in the section titled “</w:t>
        </w:r>
        <w:r>
          <w:rPr>
            <w:rFonts w:ascii="Times New Roman" w:cs="Times New Roman" w:eastAsia="Times New Roman" w:hAnsi="Times New Roman"/>
            <w:sz w:val="18"/>
            <w:szCs w:val="18"/>
            <w:u w:val="single" w:color="auto"/>
            <w:color w:val="0000EE"/>
          </w:rPr>
          <w:t>Equity Incentive Plan</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Proposal</w:t>
        </w:r>
        <w:r>
          <w:rPr>
            <w:rFonts w:ascii="Times New Roman" w:cs="Times New Roman" w:eastAsia="Times New Roman" w:hAnsi="Times New Roman"/>
            <w:sz w:val="18"/>
            <w:szCs w:val="18"/>
            <w:color w:val="000000"/>
          </w:rPr>
          <w:t xml:space="preserve">” beginning on page 178, which is incorporated herein by reference. The foregoing description of the 2020 Equity Incentive Plan does </w:t>
        </w:r>
      </w:hyperlink>
      <w:r>
        <w:rPr>
          <w:rFonts w:ascii="Times New Roman" w:cs="Times New Roman" w:eastAsia="Times New Roman" w:hAnsi="Times New Roman"/>
          <w:sz w:val="18"/>
          <w:szCs w:val="18"/>
          <w:color w:val="0000EE"/>
        </w:rPr>
        <w:t xml:space="preserve">not </w:t>
      </w:r>
      <w:r>
        <w:rPr>
          <w:rFonts w:ascii="Times New Roman" w:cs="Times New Roman" w:eastAsia="Times New Roman" w:hAnsi="Times New Roman"/>
          <w:sz w:val="18"/>
          <w:szCs w:val="18"/>
          <w:color w:val="000000"/>
        </w:rPr>
        <w:t>purport to be complete and is qualified in its entirety by the full text of the 2020 Equity Incentive Plan and the related forms of award agreements under the 2020 Equity Incentive Plan, which are attached hereto as Exhibit 10.4 to this report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at the Special Meeting, on January 6, 2021, the stockholders of the Company considered and approved the 2020 Employee Stock Purchase Plan (“ESPP”). The ESPP was previously approved, subject to stockholder approval, by the board of directors on October 5, 2020. The 2020 Employee Stock Purchase Plan became effective on the date of the Special Meeting.</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ESPP provides a means by which eligible employees and/or eligible service providers of either Clover Health or designated related corporations and affiliates may be given an opportunity to purchase shares of our Class A Common Stock. 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187" w:lineRule="exact"/>
        <w:rPr>
          <w:sz w:val="20"/>
          <w:szCs w:val="20"/>
          <w:color w:val="auto"/>
        </w:rPr>
      </w:pPr>
    </w:p>
    <w:p>
      <w:pPr>
        <w:ind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ESPP is included in the Proxy Statement/Prospectus in the section titled “</w:t>
      </w:r>
      <w:hyperlink r:id="rId48">
        <w:r>
          <w:rPr>
            <w:rFonts w:ascii="Times New Roman" w:cs="Times New Roman" w:eastAsia="Times New Roman" w:hAnsi="Times New Roman"/>
            <w:sz w:val="18"/>
            <w:szCs w:val="18"/>
            <w:u w:val="single" w:color="auto"/>
            <w:color w:val="0000EE"/>
          </w:rPr>
          <w:t>ESPP Proposal</w:t>
        </w:r>
      </w:hyperlink>
      <w:r>
        <w:rPr>
          <w:rFonts w:ascii="Times New Roman" w:cs="Times New Roman" w:eastAsia="Times New Roman" w:hAnsi="Times New Roman"/>
          <w:sz w:val="18"/>
          <w:szCs w:val="18"/>
          <w:color w:val="auto"/>
        </w:rPr>
        <w:t>” beginning on page 196, which is incorporated herein by reference. The foregoing description of the ESPP does not purport to be complete and is qualified in its entirety by the full text of the ESPP, which is attached hereto as Exhibit 10.5 and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Incentive Bonus Plan</w:t>
      </w:r>
    </w:p>
    <w:p>
      <w:pPr>
        <w:spacing w:after="0" w:line="11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On January 7, 2021, our board of directors approved the Executive Incentive Bonus Plan (the “Bonus Plan”), the purpose of which is to motivate and reward eligible officers and employees of Clover Health, including the named executive officers, for their contributions toward the achievement of certain performance goals through cash incentive awards.</w:t>
      </w:r>
    </w:p>
    <w:p>
      <w:pPr>
        <w:spacing w:after="0" w:line="176" w:lineRule="exact"/>
        <w:rPr>
          <w:sz w:val="20"/>
          <w:szCs w:val="20"/>
          <w:color w:val="auto"/>
        </w:rPr>
      </w:pPr>
    </w:p>
    <w:p>
      <w:pPr>
        <w:ind w:right="8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Bonus Plan is included in the Proxy Statement/Prospectus in the section titled “</w:t>
      </w:r>
      <w:hyperlink r:id="rId36">
        <w:r>
          <w:rPr>
            <w:rFonts w:ascii="Times New Roman" w:cs="Times New Roman" w:eastAsia="Times New Roman" w:hAnsi="Times New Roman"/>
            <w:sz w:val="18"/>
            <w:szCs w:val="18"/>
            <w:u w:val="single" w:color="auto"/>
            <w:color w:val="0000EE"/>
          </w:rPr>
          <w:t>Executive Compensation</w:t>
        </w:r>
      </w:hyperlink>
      <w:r>
        <w:rPr>
          <w:rFonts w:ascii="Times New Roman" w:cs="Times New Roman" w:eastAsia="Times New Roman" w:hAnsi="Times New Roman"/>
          <w:sz w:val="18"/>
          <w:szCs w:val="18"/>
          <w:color w:val="auto"/>
        </w:rPr>
        <w:t>” beginning on page 314, which is incorporated herein by reference. The foregoing description of the Bonus Plan does not purport to be complete and is qualified in its entirety by the full text of the Bonus Plan, which is attached hereto as Exhibit 10.7 and incorporated herein by reference.</w:t>
      </w:r>
    </w:p>
    <w:p>
      <w:pPr>
        <w:sectPr>
          <w:pgSz w:w="11900" w:h="16838" w:orient="portrait"/>
          <w:cols w:equalWidth="0" w:num="1">
            <w:col w:w="10980"/>
          </w:cols>
          <w:pgMar w:left="440" w:top="270" w:right="479" w:bottom="1440" w:gutter="0" w:footer="0" w:header="0"/>
        </w:sectPr>
      </w:pPr>
    </w:p>
    <w:bookmarkStart w:id="17" w:name="page18"/>
    <w:bookmarkEnd w:id="1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10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Domestication, SCH filed a Certificate of Domestication and Certificate of Incorporation with the Secretary of State of the State of Delaware, and SCH’s Bylaws came into effect upon such filing. At Closing, such Certificate of Incorporation and Bylaws were amended and restated to reflect the Company’s change in name to “Clover Health Investments, Corp.”, the material terms of which and the general effect upon the rights of holders of SCH’s capital stock are discussed in the Proxy Statement/Prospectus in the sections titled “</w:t>
      </w:r>
      <w:hyperlink r:id="rId50">
        <w:r>
          <w:rPr>
            <w:rFonts w:ascii="Times New Roman" w:cs="Times New Roman" w:eastAsia="Times New Roman" w:hAnsi="Times New Roman"/>
            <w:sz w:val="18"/>
            <w:szCs w:val="18"/>
            <w:u w:val="single" w:color="auto"/>
            <w:color w:val="0000EE"/>
          </w:rPr>
          <w:t>Domestication Proposal</w:t>
        </w:r>
      </w:hyperlink>
      <w:r>
        <w:rPr>
          <w:rFonts w:ascii="Times New Roman" w:cs="Times New Roman" w:eastAsia="Times New Roman" w:hAnsi="Times New Roman"/>
          <w:sz w:val="18"/>
          <w:szCs w:val="18"/>
          <w:color w:val="auto"/>
        </w:rPr>
        <w:t>” beginning on page 157 and “</w:t>
      </w:r>
      <w:hyperlink r:id="rId51">
        <w:r>
          <w:rPr>
            <w:rFonts w:ascii="Times New Roman" w:cs="Times New Roman" w:eastAsia="Times New Roman" w:hAnsi="Times New Roman"/>
            <w:sz w:val="18"/>
            <w:szCs w:val="18"/>
            <w:u w:val="single" w:color="auto"/>
            <w:color w:val="0000EE"/>
          </w:rPr>
          <w:t>Organizational Documents Proposals</w:t>
        </w:r>
      </w:hyperlink>
      <w:r>
        <w:rPr>
          <w:rFonts w:ascii="Times New Roman" w:cs="Times New Roman" w:eastAsia="Times New Roman" w:hAnsi="Times New Roman"/>
          <w:sz w:val="18"/>
          <w:szCs w:val="18"/>
          <w:color w:val="auto"/>
        </w:rPr>
        <w:t>” beginning on page 160, which are incorporated by reference herein.</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disclosures set forth under the “Introductory Note” and in Item 2.01 of this Report are also incorporated herein by reference. Copies of the Certificate of Incorporation and the Bylaws are included as Exhibit 3.1 and 3.2 to this Report and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5.06.</w:t>
      </w:r>
      <w:r>
        <w:rPr>
          <w:sz w:val="20"/>
          <w:szCs w:val="20"/>
          <w:color w:val="auto"/>
        </w:rPr>
        <w:tab/>
      </w:r>
      <w:r>
        <w:rPr>
          <w:rFonts w:ascii="Times New Roman" w:cs="Times New Roman" w:eastAsia="Times New Roman" w:hAnsi="Times New Roman"/>
          <w:sz w:val="18"/>
          <w:szCs w:val="18"/>
          <w:b w:val="1"/>
          <w:bCs w:val="1"/>
          <w:color w:val="auto"/>
        </w:rPr>
        <w:t>Change in Shell Company Status.</w:t>
      </w:r>
    </w:p>
    <w:p>
      <w:pPr>
        <w:spacing w:after="0" w:line="121" w:lineRule="exact"/>
        <w:rPr>
          <w:sz w:val="20"/>
          <w:szCs w:val="20"/>
          <w:color w:val="auto"/>
        </w:rPr>
      </w:pPr>
    </w:p>
    <w:p>
      <w:pPr>
        <w:ind w:right="18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Transactions, SCH ceased being a shell company. Reference is made to the disclosure in the Proxy Statement/Prospectus in the sections titled “</w:t>
      </w:r>
      <w:hyperlink r:id="rId25">
        <w:r>
          <w:rPr>
            <w:rFonts w:ascii="Times New Roman" w:cs="Times New Roman" w:eastAsia="Times New Roman" w:hAnsi="Times New Roman"/>
            <w:sz w:val="18"/>
            <w:szCs w:val="18"/>
            <w:u w:val="single" w:color="auto"/>
            <w:color w:val="0000EE"/>
          </w:rPr>
          <w:t>BCA Proposal</w:t>
        </w:r>
      </w:hyperlink>
      <w:r>
        <w:rPr>
          <w:rFonts w:ascii="Times New Roman" w:cs="Times New Roman" w:eastAsia="Times New Roman" w:hAnsi="Times New Roman"/>
          <w:sz w:val="18"/>
          <w:szCs w:val="18"/>
          <w:color w:val="auto"/>
        </w:rPr>
        <w:t>” beginning on page 107 and “</w:t>
      </w:r>
      <w:hyperlink r:id="rId50">
        <w:r>
          <w:rPr>
            <w:rFonts w:ascii="Times New Roman" w:cs="Times New Roman" w:eastAsia="Times New Roman" w:hAnsi="Times New Roman"/>
            <w:sz w:val="18"/>
            <w:szCs w:val="18"/>
            <w:u w:val="single" w:color="auto"/>
            <w:color w:val="0000EE"/>
          </w:rPr>
          <w:t>Domestication Proposal</w:t>
        </w:r>
      </w:hyperlink>
      <w:r>
        <w:rPr>
          <w:rFonts w:ascii="Times New Roman" w:cs="Times New Roman" w:eastAsia="Times New Roman" w:hAnsi="Times New Roman"/>
          <w:sz w:val="18"/>
          <w:szCs w:val="18"/>
          <w:color w:val="auto"/>
        </w:rPr>
        <w:t>” beginning on page 157, which are incorporated herein by reference. Further, the information set forth in the “Introductory Note” and under Item 2.01 to this Report is incorporated herein by reference.</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businesses acquired.</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condensed financial statements of Clover Health and subsidiaries as of September 30, 2020 (unaudited) and for the nine months period ended September 30, 2019 and September 30, 2020 (unaudited) and the consolidated financial statements of Clover Health and subsidiaries as of December 31, 2019 and 2018 and for each of the two years in the period ended December 31, 2019 are set forth in the Proxy Statement/Prospectus beginning on page F-1 and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21" w:lineRule="exact"/>
        <w:rPr>
          <w:sz w:val="20"/>
          <w:szCs w:val="20"/>
          <w:color w:val="auto"/>
        </w:rPr>
      </w:pPr>
    </w:p>
    <w:p>
      <w:pPr>
        <w:ind w:right="700" w:firstLine="44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of SCH and Clover as of September 30, 2020 and for the year ended December 31, 2019 and the nine months ended September 30, 2020 is set forth in Exhibit 99.1 hereto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38"/>
        </w:trPr>
        <w:tc>
          <w:tcPr>
            <w:tcW w:w="500" w:type="dxa"/>
            <w:vAlign w:val="bottom"/>
            <w:vMerge w:val="restart"/>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02"/>
        </w:trPr>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40" w:type="dxa"/>
            <w:vAlign w:val="bottom"/>
            <w:gridSpan w:val="4"/>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vMerge w:val="restart"/>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8"/>
                <w:szCs w:val="8"/>
                <w:color w:val="auto"/>
              </w:rPr>
            </w:pPr>
          </w:p>
        </w:tc>
        <w:tc>
          <w:tcPr>
            <w:tcW w:w="8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604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2"/>
                <w:szCs w:val="22"/>
                <w:color w:val="auto"/>
              </w:rPr>
            </w:pPr>
          </w:p>
        </w:tc>
        <w:tc>
          <w:tcPr>
            <w:tcW w:w="6040" w:type="dxa"/>
            <w:vAlign w:val="bottom"/>
            <w:tcBorders>
              <w:top w:val="single" w:sz="8" w:color="auto"/>
            </w:tcBorders>
            <w:gridSpan w:val="4"/>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Agreement and Plan of Merger, dated as of October 5, 2020, by and among the</w:t>
              </w:r>
            </w:hyperlink>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2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Registrant, Asclepius Merger Sub Inc. and Clover Health Investments, Corp.</w:t>
              </w:r>
            </w:hyperlink>
          </w:p>
        </w:tc>
        <w:tc>
          <w:tcPr>
            <w:tcW w:w="440" w:type="dxa"/>
            <w:vAlign w:val="bottom"/>
            <w:gridSpan w:val="3"/>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001-39252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10/6/2020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2.1(a)</w:t>
            </w:r>
          </w:p>
        </w:tc>
        <w:tc>
          <w:tcPr>
            <w:tcW w:w="320" w:type="dxa"/>
            <w:vAlign w:val="bottom"/>
          </w:tcPr>
          <w:p>
            <w:pPr>
              <w:spacing w:after="0"/>
              <w:rPr>
                <w:sz w:val="24"/>
                <w:szCs w:val="24"/>
                <w:color w:val="auto"/>
              </w:rPr>
            </w:pPr>
          </w:p>
        </w:tc>
        <w:tc>
          <w:tcPr>
            <w:tcW w:w="6160" w:type="dxa"/>
            <w:vAlign w:val="bottom"/>
            <w:gridSpan w:val="5"/>
          </w:tcPr>
          <w:p>
            <w:pPr>
              <w:spacing w:after="0"/>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Amendment to the Agreement and Plan of Merger, dated as of December 8, 2020</w:t>
              </w:r>
            </w:hyperlink>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001-39252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12/10/2020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6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6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6160" w:type="dxa"/>
            <w:vAlign w:val="bottom"/>
            <w:gridSpan w:val="5"/>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Warrant Agreement, dated April 21, 2020, between the Company and Continental</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Stock Transfer &amp; Trust Company, as warrant agent.</w:t>
              </w:r>
            </w:hyperlink>
          </w:p>
        </w:tc>
        <w:tc>
          <w:tcPr>
            <w:tcW w:w="212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5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001-39252</w:t>
            </w:r>
          </w:p>
        </w:tc>
        <w:tc>
          <w:tcPr>
            <w:tcW w:w="8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4/24/2020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120" w:type="dxa"/>
            <w:vAlign w:val="bottom"/>
          </w:tcPr>
          <w:p>
            <w:pPr>
              <w:ind w:left="200"/>
              <w:spacing w:after="0"/>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Specimen Class A Common Stock Certificate of the Registrant</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S-4/A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333-249558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11/20/2020</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120" w:type="dxa"/>
            <w:vAlign w:val="bottom"/>
          </w:tcPr>
          <w:p>
            <w:pPr>
              <w:ind w:left="200"/>
              <w:spacing w:after="0"/>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Specimen Class B Common Stock Certificate of the Registrant</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S-4/A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333-249558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11/20/2020</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Description of Registrant’s Securities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January 7, 2021, by and</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among the Registrant, SCH Sponsor III LLC, certain former stockholders of Clover Health</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Corp., Dr. James Ryans, Jacqueline D. Reses and the other parties thereto</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2014 Equity Incentive Plan, and forms of agreement thereunder</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 Equity Incentive Plan, and forms of agreement thereunder</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 Employee Stock Purchase Plan</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Incentive Plan, and forms of agreement thereunder</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Incentive Bonus Plan</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Agreement dated as of December 31, 2020, by and between the Registrant and</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Vivek Garipalli</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Agreement dated as of December 31, 2020, by and between the Registrant and</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Andrew Toy</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 Letter dated as of December 20, 2018, by and between the Registrant and Gia Lee</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from Marcum LLP to the Securities and Exchange Commission</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Subsidiaries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 pro forma condensed combined financial information of Social Captial Hedosophia</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Holdings Corp. III and Clover Health Investments, Corp. as of September 30, 2020 and for the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ended December 31, 2019 and the nine months ended September 30, 2020</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Press Release dated January 7, 2021</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90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in accordance with Regulation S-K Item 601(b)(2). The registrant hereby agrees to furnish supplementally a copy of any omitted schedule to the SEC upon its request.</w:t>
      </w: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ectPr>
          <w:pgSz w:w="11900" w:h="16838" w:orient="portrait"/>
          <w:cols w:equalWidth="0" w:num="1">
            <w:col w:w="11024"/>
          </w:cols>
          <w:pgMar w:left="436" w:top="270" w:right="439" w:bottom="1440" w:gutter="0" w:footer="0" w:header="0"/>
        </w:sectPr>
      </w:pPr>
    </w:p>
    <w:bookmarkStart w:id="19" w:name="page20"/>
    <w:bookmarkEnd w:id="1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Date: January 12, 2021</w:t>
      </w:r>
      <w:r>
        <w:rPr>
          <w:sz w:val="20"/>
          <w:szCs w:val="20"/>
          <w:color w:val="auto"/>
        </w:rPr>
        <w:tab/>
      </w:r>
      <w:r>
        <w:rPr>
          <w:rFonts w:ascii="Times New Roman" w:cs="Times New Roman" w:eastAsia="Times New Roman" w:hAnsi="Times New Roman"/>
          <w:sz w:val="17"/>
          <w:szCs w:val="17"/>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36429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Joseph Wagner</w:t>
      </w:r>
    </w:p>
    <w:p>
      <w:pPr>
        <w:spacing w:after="0" w:line="27" w:lineRule="exact"/>
        <w:rPr>
          <w:sz w:val="20"/>
          <w:szCs w:val="20"/>
          <w:color w:val="auto"/>
        </w:rPr>
      </w:pPr>
    </w:p>
    <w:p>
      <w:pPr>
        <w:ind w:left="5280"/>
        <w:spacing w:after="0"/>
        <w:tabs>
          <w:tab w:leader="none" w:pos="5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00"/>
          </w:cols>
          <w:pgMar w:left="440" w:top="266" w:right="7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name of this corporation is Clover Health Investments,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2711 Centerville Road, Suite 400, in the City of Wilmington, County of New Castle, 19808. The name of its registered agent at such address is Corporation Service Company.</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 Total Authorized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1.1 The total number of shares of all classes of stock that the Corporation has authority to issue is 3,025,000,000 shares, consisting of three</w:t>
      </w:r>
    </w:p>
    <w:p>
      <w:pPr>
        <w:spacing w:after="0" w:line="27" w:lineRule="exact"/>
        <w:rPr>
          <w:sz w:val="20"/>
          <w:szCs w:val="20"/>
          <w:color w:val="auto"/>
        </w:rPr>
      </w:pPr>
    </w:p>
    <w:p>
      <w:pPr>
        <w:ind w:left="4" w:right="260" w:hanging="4"/>
        <w:spacing w:after="0" w:line="255"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classes: 2,500,000,000 shares of Class A Common Stock, $0.0001 par value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500,000,000 shares of Class B Common Stock, $0.0001 par value per share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25,000,000 shares of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1.2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2. Preferred Stock</w:t>
      </w:r>
    </w:p>
    <w:p>
      <w:pPr>
        <w:spacing w:after="0" w:line="221"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2.1 The Corporation’s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subject to any limitations prescribed by the law of the State of Delaware, by resolution or resolutions adopted from time to time, to provide for the issuance of shares of Preferred Stock in one (1) or more series, and, by filing a certificate of designation pursuant to the applicable law of the State of Delaware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21" w:name="page22"/>
    <w:bookmarkEnd w:id="21"/>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w:t>
      </w:r>
    </w:p>
    <w:p>
      <w:pPr>
        <w:spacing w:after="0" w:line="180"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2.2 Except as otherwise expressly provided in any Certificate of Designation designating any series of Preferred Stock pursuant to the foregoing provisions of this Article IV,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of the Common Stock, the Preferred Stock or any future class or series of Preferred Stock or Common Stock.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 Rights of Class A Common Stock and Class B Common Stock</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3.1 Except as otherwise provided in this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76"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3.2 Except as otherwise expressly provided by this Certificate of Incorporation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Certificate of Incorporation (including any Certificate of Designation relating to any series of Preferred Stock) that relates solely to the terms of one (1) or more outstanding series of Preferred Stock if the holders of such affected series are entitled, either separately or together as a class with the holders of one (1) or more other such series, to vote thereon pursuant to this Certificate of Incorporation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and each holder of Class B Common Stock shall have the right to ten (10) votes per share of Class B Common Stock held of record by such holder.</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3.3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 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2" w:name="page23"/>
    <w:bookmarkEnd w:id="22"/>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(1)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3.5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3.6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(1) such class may receive different or disproportionate distributions or payments in connection with such merger, consolidation or other transaction if (i)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(ii)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Section 1.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the Corporation, and the person or persons entitled to receive the shares of Class A Common Stock issuable upon such conversion shall be treated for all purposes as the record holder or holders of such shares of Class A Common Stock as of such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3" w:name="page24"/>
    <w:bookmarkEnd w:id="2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 Each share of Class B Common Stock shall automatically, without further action by the Corporation or the holder thereof, be converted into one (1) fully paid and nonassessable share of Class A Common Stock immediately prior to the close of business on the earliest of (i) ten (10) years from the Effectiveness Date (as defined below); and (ii) the Separation Date (as defined below) of the last to Separate (as defined below) of the Founders (as defined below); and (iii) the date that is one (1) year after the death or Permanent Disability (as defined below) of the last to die or become Disabled (as defined below) of the Founders; and (iv)the date specified by the affirmative vote of the holders of Class B Common Stock representing not less than two-thirds (2/3) of the voting power of the outstanding shares of Class B Common Stock, voting separately as a single class (each of the events referred to in (i), (ii) and (iii) are referred to herein as an “</w:t>
      </w:r>
      <w:r>
        <w:rPr>
          <w:rFonts w:ascii="Times New Roman" w:cs="Times New Roman" w:eastAsia="Times New Roman" w:hAnsi="Times New Roman"/>
          <w:sz w:val="18"/>
          <w:szCs w:val="18"/>
          <w:b w:val="1"/>
          <w:bCs w:val="1"/>
          <w:i w:val="1"/>
          <w:iCs w:val="1"/>
          <w:color w:val="auto"/>
        </w:rPr>
        <w:t>Automatic Conversion</w:t>
      </w:r>
      <w:r>
        <w:rPr>
          <w:rFonts w:ascii="Times New Roman" w:cs="Times New Roman" w:eastAsia="Times New Roman" w:hAnsi="Times New Roman"/>
          <w:sz w:val="18"/>
          <w:szCs w:val="18"/>
          <w:color w:val="auto"/>
        </w:rPr>
        <w:t>”). The Corporation shall provide notice of the Automatic Conversion of shares of Class B Common Stock pursuant to this Section 2 of Article V to record holders of such shares of Class B Common Stock as soon as practicable following the Automatic Conversion. Such notice shall be provided by any means then permitted by the General Corporation Law; provided, however, that no failure to give such notice nor any defect therein shall affect the validity of the Automatic Conversion. Upon and after the Automatic Conversion, the person registered on the Corporation’s books as the record holder of the shares of Class B Common Stock so converted immediately prior to the Automatic Conversion shall be registered on the Corporation’s books as the record holder of the shares of Class A Common Stock issued upon Automatic Conversion of such shares of Class B Common Stock, without further action on the part of the record holder thereof. Immediately upon the effectiveness of the Automatic Conversion, the rights of the holders of shares of Class B Common Stock as such shall cease, and the holders shall be treated for all purposes as having become the record holder or holders of such shares of Class A Common Stock into which such shares of Class B Common Stock were converted.</w:t>
      </w:r>
    </w:p>
    <w:p>
      <w:pPr>
        <w:spacing w:after="0" w:line="19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Section 3. Each share of Class B Common Stock shall automatically, without further action by the Corporation or the holder thereof, be converted into one (1) fully paid and nonassessable share of Class A Common Stock, upon the occurrence of a Transfer (as defined below), other than a Permitted Transfer (as defined below), of such share of Class B Common Stock.</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Section 4. The Corporation may, from time to time, establish such policies and procedures, not in violation of applicable law or this Certificate of Incorporation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Definitions.</w:t>
      </w:r>
    </w:p>
    <w:p>
      <w:pPr>
        <w:spacing w:after="0" w:line="225" w:lineRule="exact"/>
        <w:rPr>
          <w:sz w:val="20"/>
          <w:szCs w:val="20"/>
          <w:color w:val="auto"/>
        </w:rPr>
      </w:pPr>
    </w:p>
    <w:p>
      <w:pPr>
        <w:ind w:right="1020" w:firstLine="991"/>
        <w:spacing w:after="0" w:line="282" w:lineRule="auto"/>
        <w:rPr>
          <w:sz w:val="20"/>
          <w:szCs w:val="20"/>
          <w:color w:val="auto"/>
        </w:rPr>
      </w:pPr>
      <w:r>
        <w:rPr>
          <w:rFonts w:ascii="Times New Roman" w:cs="Times New Roman" w:eastAsia="Times New Roman" w:hAnsi="Times New Roman"/>
          <w:sz w:val="18"/>
          <w:szCs w:val="18"/>
          <w:color w:val="auto"/>
        </w:rPr>
        <w:t>5.1 “Affiliate” means a Parent, a Subsidiary or any corporation or other entity that, directly or indirectly through one or more intermediaries, controls, or is controlled by, or is under common control with, the Corporation.</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5.2 “Convertible Security” shall mean any evidences of indebtedness, shares or other securities (other than shares of Class B Common Stock) convertible into or exchangeable for Class A Common Stock or Class B Common Stock, either directly or indirectly.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 “Director” means a member of the Board of Directors of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5.4 “Effectiveness Date” shall mean the date of the filing of this Certificate of Incorporation.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 “Employee” means any person, including Officers and Directors, employed by the Corporation or any Affiliate of the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service as a Director nor payment of a director’s fee by the Corporation will be sufficient to constitute “employment” by the Corporation.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5.6 “Founder” shall mean either Vivek Garipalli or Andrew Toy.</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5.7 “Immediate Family Member” shall mean with respect to a Qualified Stockholder: such Qualified Stockholder’s mother, father, sister, brother or child.</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5.8 “Independent Contractor” means any person, including an advisor, consultant or agent, engaged by the Corporation or an Affiliate to render services to such entity or who renders, or has rendered, services to the Corporation, or any Affiliate and is compensated for such services.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 “Officers” means a person who is an officer of the Corporation within the meaning of Section 16 of the Securities Exchange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promulgated thereunder.</w:t>
      </w:r>
    </w:p>
    <w:p>
      <w:pPr>
        <w:spacing w:after="0" w:line="207"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5.10 “Option” shall mean rights, options, restricted stock units or warrants to subscribe for, purchase or otherwise acquire Class A Common Stock, Class B Common Stock or any Convertible Security.</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5.11 “Parent” of an entity shall mean any entity that directly or indirectly owns or controls a majority of the voting power of the voting securities of such entity.</w:t>
      </w:r>
    </w:p>
    <w:p>
      <w:pPr>
        <w:spacing w:after="0" w:line="162" w:lineRule="exact"/>
        <w:rPr>
          <w:sz w:val="20"/>
          <w:szCs w:val="20"/>
          <w:color w:val="auto"/>
        </w:rPr>
      </w:pPr>
    </w:p>
    <w:p>
      <w:pPr>
        <w:ind w:right="460" w:firstLine="991"/>
        <w:spacing w:after="0" w:line="261" w:lineRule="auto"/>
        <w:rPr>
          <w:sz w:val="20"/>
          <w:szCs w:val="20"/>
          <w:color w:val="auto"/>
        </w:rPr>
      </w:pPr>
      <w:r>
        <w:rPr>
          <w:rFonts w:ascii="Times New Roman" w:cs="Times New Roman" w:eastAsia="Times New Roman" w:hAnsi="Times New Roman"/>
          <w:sz w:val="18"/>
          <w:szCs w:val="18"/>
          <w:color w:val="auto"/>
        </w:rPr>
        <w:t>5.12 “Permitted IRA” shall mean an Individual Retirement Account, as defined in Section 408(a) of the Internal Revenue Code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a pension, profit sharing, stock bonus or other type of plan or trust of which a Qualified Stockholder is a participant or beneficiary and which satisfies the requirements for qualification under Section 401 of the Code; provided, that, in each case such Qualified Stockholder has sole dispositive power and exclusive Voting Control with respect to the shares of Class B Common Stock held in such account, plan or trust.</w:t>
      </w:r>
    </w:p>
    <w:p>
      <w:pPr>
        <w:spacing w:after="0" w:line="18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5.13 “Permanent Disability” or “Disabled”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5.14 “Permitted Entity” shall mean with respect to a Qualified Stockholder: (i) any general partnership, limited partnership, limited liability company, corporation, trust or other entity under the sole dispositive control and exclusive Voting Control of, or controlling, or under common control with (a) such Qualified Stockholder and/or (b) any other Permitted Entity of such Qualified Stockholder or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5" w:name="page26"/>
    <w:bookmarkEnd w:id="25"/>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5.15 “Permitted Foundation” shall mean with respect to a Qualified Stockholder: (i) a trust or private non-operating organization that is tax-exempt under Section 501(c)(3) of the Code so long as such Qualified Stockholder has dispositive power and Voting Control with respect to the shares of Class B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5.16 “Permitted Transfer” shall mean, and be restricted to, any Transfer of a share of Class B Common Stock: (i) by a Qualified Stockholder to (A) any Permitted Trust of such Qualified Stockholder, (B) any Permitted IRA of such Qualified Stockholder, (C) any Permitted Entity of such Qualified Stockholder, and (D) any Permitted Foundation of such Qualified Stockholder, and (E) any Immediate Family Member of such Qualified Stockholder for estate planning purposes; or (ii) by a Permitted Trust, Permitted IRA, Permitted Entity or Permitted Foundation of a Qualified Stockholder to (A) such Qualified Stockholder, or (B) any other Permitted Entity of such Qualified Stockholder.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5.17 “Permitted Transferee” shall mean a transferee of shares of Class B Common Stock received in a Permitted Transfer.</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5.18 “Permitted Trust” shall mean with respect to a Qualified Stockholder: (i) a trust for the benefit of such Qualified Stockholder and for the benefit of no other person to such Qualified Stockholder; (ii) a trust for the benefit of such Qualified Stockholder and/or persons other than such Qualified Stockholder so long as such Qualified Stockholder has sole dispositive power and exclusive Voting Control with respect to the shares of Class B Common Stock held by such trust to such Qualified Stockholder; or (iii)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5.19 “Qualified Stockholder” shall mean: (i) the record holder of a share of Class B Common Stock as of the Effectiveness Date; (ii) the initial registered holder of any shares of Class B Common Stock that are originally issued by the Corporation after the Effectiveness Date pursuant to the exercise or conversion of any Option or Convertible Security that, in each case, was outstanding as of the Effectiveness Date; (iii) each natural person who, prior to the Effectiveness Date, Transferred shares of capital stock of the Corporation to a Permitted Trust, Permitted IRA, Permitted Entity or Permitted Foundation that is or becomes a Qualified Stockholder; (iv) each natural person who Transferred shares of, or equity awards for, Class B Common Stock (including any Option exercisable or Convertible Security exchangeable for or convertible into shares of Class B Common Stock) to a Permitted Trust, Permitted IRA, Permitted Entity or Permitted Foundation that is or becomes a Qualified Stockholder, and (v) a Permitted Transferee.</w:t>
      </w:r>
    </w:p>
    <w:p>
      <w:pPr>
        <w:spacing w:after="0" w:line="189"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5.20 “Separation Date” or “Separate” shall mean, with respect to a Founder, the date that the Founder is no longer an Employee, Director or Independent Contractor of the Corporation; provided, however, that Separation Date or Separate shall not include the death or Permanent Disability of the applicable Founder.</w:t>
      </w:r>
    </w:p>
    <w:p>
      <w:pPr>
        <w:spacing w:after="0" w:line="176"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5.21 “Subsidiary” means any corporation (other than the Corporation) in an unbroken chain of corporations beginning with the Corporation if each of the corporations other than the last corporation in the unbroken chain owns stock possessing fifty percent (50%) or more of the total combined voting power of all classes of stock in one of the other corporations in such chain.</w:t>
      </w:r>
    </w:p>
    <w:p>
      <w:pPr>
        <w:spacing w:after="0" w:line="176"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“Transfer”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“Transfer” within the meaning of this Section 5 of Article V:</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6" w:name="page27"/>
    <w:bookmarkEnd w:id="26"/>
    <w:p>
      <w:pPr>
        <w:ind w:right="100" w:firstLine="987"/>
        <w:spacing w:after="0" w:line="282"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granting of a revocable proxy to officers or directors of the Corporation at the request of the Board in connection with actions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3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pursuant to a written agreement to which the Corporation is a party;</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179"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5.22 “Voting Control” shall mean, with respect to a share of Class B Common Stock, the power (whether exclusive or shared) to vote or direct the voting of such share by proxy, voting agreement or otherwise.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Section 6. In the event any shares of Class B Common Stock are converted into shares of Class A Common Stock pursuant to this Article V, the shares of Class B Common Stock so converted shall be retired and shall not be reissued by the Corporation.</w:t>
      </w:r>
    </w:p>
    <w:p>
      <w:pPr>
        <w:spacing w:after="0" w:line="162" w:lineRule="exact"/>
        <w:rPr>
          <w:sz w:val="20"/>
          <w:szCs w:val="20"/>
          <w:color w:val="auto"/>
        </w:rPr>
      </w:pPr>
    </w:p>
    <w:p>
      <w:pPr>
        <w:jc w:val="both"/>
        <w:ind w:right="380" w:firstLine="440"/>
        <w:spacing w:after="0" w:line="289" w:lineRule="auto"/>
        <w:rPr>
          <w:sz w:val="20"/>
          <w:szCs w:val="20"/>
          <w:color w:val="auto"/>
        </w:rPr>
      </w:pPr>
      <w:r>
        <w:rPr>
          <w:rFonts w:ascii="Times New Roman" w:cs="Times New Roman" w:eastAsia="Times New Roman" w:hAnsi="Times New Roman"/>
          <w:sz w:val="17"/>
          <w:szCs w:val="17"/>
          <w:color w:val="auto"/>
        </w:rPr>
        <w:t>Section 7. Notwithstanding anything to the contrary in Sections 1, 2 or 3 of this Article V, if the date on which any share of Class B Common Stock is converted into Class A Common Stock pursuant to the provisions of Sections 1, 2 or 3 of this Article V occurs after the record date for the determination of the holders of Class B Common Stock entitled to receive any dividend or distribution to be paid on the shares of Class B Common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8.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Certificate of Incorporation.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Section 1. The business and affairs of the Corporation shall be managed by or under the direction of the Board, except as otherwise provided by law. In addition to the powers and authority expressly conferred upon them by statute or by this Certificate of Incorporation or the Bylaws, the directors are hereby empowered to exercise all such powers and do all such acts and things as may be exercised or done by the Corporation.</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Section 2. Subject to the rights of the holders of any series of Preferred Stock to elect additional directors under specified circumstances, the total number of directors constituting the Whole Board (as defined below) shall be fixed from time to time exclusively by resolution adopted by a majority of the Whole Board. For purposes of this Certificate of Incorporation,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in previously authorized directorships.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3. Subject to the special rights of the holders of any series of Preferred Stock to elect directors, the directors shall be divided, with respect to the time for which they severally hold office, into three (3) classes designated as Class I, Class II and Class III, respectively (the “</w:t>
      </w: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The Board is authorized to assign members of the Board already in office to such classes of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Effectiveness Date, the initial term of office of the Class II directors shall expire at the Corporation’s second annual meeting of stockholders following the Effectiveness Date and the initial term of office of the Class III directors shall expire at the Corporation’s third annual meeting of stockholders following the Effectiveness Date. At each annual meeting of stockholders following the Effectiveness Date, directors elected to succeed those directors of the class whose terms then expire shall be elected for a term of office to expire at the third succeeding annual meeting of stockholders after their election.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three (3) classes of directors so as to ensure that no one class has more than one (1) director more than any other class.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8" w:name="page29"/>
    <w:bookmarkEnd w:id="28"/>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 Each director shall hold office until the annual meeting at which such director’s term expires and until such director’s successor is elected and qualified, or until such director’s earlier death, resignation, disqualification or removal. Any director may resign at any time upon notice to the Corporation given in writing or by any electronic transmission permitted by the Bylaws. Subject to the special rights of the holders of any series of Preferred Stock, no director may be removed from the Board except for cause and only by the affirmative vote of the holders of at least two-thirds (2/3) of the voting power of the then-outstanding shares of capital stock of the Corporation entitled to vote generally in the election of directors voting together as a single class.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classes of directors so as to ensure that no one class has more than one</w:t>
      </w:r>
    </w:p>
    <w:p>
      <w:pPr>
        <w:spacing w:after="0" w:line="1" w:lineRule="exact"/>
        <w:rPr>
          <w:sz w:val="20"/>
          <w:szCs w:val="20"/>
          <w:color w:val="auto"/>
        </w:rPr>
      </w:pPr>
    </w:p>
    <w:p>
      <w:pPr>
        <w:ind w:left="4" w:right="100" w:hanging="4"/>
        <w:spacing w:after="0" w:line="253"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from time to time by resolution adopted by the Board. No decrease in the authorized number of directors constituting the Board shall shorten the term of any incumbent director.</w:t>
      </w:r>
    </w:p>
    <w:p>
      <w:pPr>
        <w:spacing w:after="0" w:line="18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Section 5. Subject to the special rights of the holders of any series of Preferred Stock to elect directors,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 assigned expires or until such director’s successor shall have been duly elected and qualified, or until such director’s earlier death, resignation, disqualification or removal. No decrease in the authorized number of directors shall shorten the term of any incumbent director.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6. Election of directors need not be by written ballot unless the Bylaws shall so provide.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law, no director of the Corporation shall be personally liable to the Corporation or its 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Section 2. Neither any amendment nor repeal of this Article VII, nor the adoption of any provision 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4" w:right="40" w:firstLine="440"/>
        <w:spacing w:after="0" w:line="289" w:lineRule="auto"/>
        <w:rPr>
          <w:sz w:val="20"/>
          <w:szCs w:val="20"/>
          <w:color w:val="auto"/>
        </w:rPr>
      </w:pPr>
      <w:r>
        <w:rPr>
          <w:rFonts w:ascii="Times New Roman" w:cs="Times New Roman" w:eastAsia="Times New Roman" w:hAnsi="Times New Roman"/>
          <w:sz w:val="17"/>
          <w:szCs w:val="17"/>
          <w:color w:val="auto"/>
        </w:rPr>
        <w:t>The Board shall have the power to adopt, amend or repeal the Bylaws. Any adoption, amendment or repeal of the Bylaws by the Board shall require the approval of a majority of the Whole Board. The stockholders shall also have power to adopt, amend or repeal the Bylaws; provided, however, that, notwithstanding any other provision of this Certificate of Incorporation (including any Certificate of Designation) or any provision of law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29" w:name="page30"/>
    <w:bookmarkEnd w:id="2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might otherwise permit a lesser or no vote, but in addition to any vote of the holders of any class or series of stock of the Corporation required by applicable law or by this Certificate of Incorporation (including any Preferred Stock issued pursuant to any Certificate of Designation), the affirmative vote of the holders of at least two-thirds (2/3) of the voting power of all of the then-outstanding shares of the capital stock of the Corporation entitled to vote generally in the election of directors, voting together as a single class, shall be required to adopt, amend or repeal any provision of the Bylaws; provided, further, that if two-thirds (2/3)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Section 1. Subject to the rights of any series of Preferred Stock then outstanding,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Section 2. Special meetings of stockholders of the Corporation may be called only by the Chairperson of the Board, the Chief Executive Officer, the Lead Independent Director (as defined in the Bylaws) or the Board acting pursuant to a resolution adopted by a majority of the Whole Board, and may not be called by any other person or persons. Only such business shall be considered at a special meeting of stockholders as shall have been stated in the notice for such meeting.</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Corporation shall be given in the manner and to the extent provided in the Bylaws.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(i) any derivative action or proceeding brought on behalf of the Corporation; (ii) any action or proceeding asserting a claim of breach of a fiduciary duty owed by any current or former director, officer or other employee of the Corporation or any stockholder to the Corporation or the Corporation’s stockholders; (iii) any action or proceeding asserting a claim against the Corporation or any current or former director, officer or other employee of the Corporation or any stockholder in such stockholder’s capacity as such arising out of or pursuant to any provision of the General Corporation Law, this Certificate or the Bylaws of the Corporation (as each may be amended from time to time); (iv) any action or proceeding to interpret, apply, enforce or determine the validity of this Certificate or the Bylaws of the Corporation (including any right, obligation or remedy thereunder); (v) any action or proceeding as to which the General Corporation Law confers jurisdiction to the Court of Chancery of the State of Delaware; and (vi) any action asserting a claim against the Corporation or any director, officer or other employee of the Corporation or any stockholder, governed by the internal affairs doctrine, in all cases to the fullest extent permitted by law and subject to the court’s having personal jurisdiction over the indispensable parties named as defendants. This Article X shall not apply to suits brought to enforce a duty or liability created by the Securities Act of 1933, as amended, or the Exchange Act, or any other claim for which the federal courts have exclusive jurisdiction.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 w:name="page31"/>
    <w:bookmarkEnd w:id="30"/>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Any person or entity holding, owning or otherwise acquiring any interest in any security of the Corporation shall be deemed to have notice of and to have consented to the provisions of this Article X.</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that are not themselves invalid, illegal or unenforceable) shall remain in full force and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Section 1. 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(including any Certificate of Designation) or any provision of law that might otherwise permit a lesser vote or no vote, but in addition to any vote of the holders of any class or series of the stock of the Corporation required by law or by this Certificate of Incorporation (including any Certificate of Designation), and subject to Sections 1 and 2.1 of Article IV, the affirmative vote of the holders of at least two-thirds (2/3) of the voting power of all of the then-outstanding shares of the capital stock of the Corporation entitled to vote generally in the election of directors, voting together as a single class, shall be required to amend or repeal or adopt any provision inconsistent with Sections 1.2 and 2 of Article IV, or Article V, Article VI, Article VI, Article VIII, Article IX, Article X, Article XI, or Section 1 of this Article XII (the “</w:t>
      </w:r>
      <w:r>
        <w:rPr>
          <w:rFonts w:ascii="Times New Roman" w:cs="Times New Roman" w:eastAsia="Times New Roman" w:hAnsi="Times New Roman"/>
          <w:sz w:val="18"/>
          <w:szCs w:val="18"/>
          <w:b w:val="1"/>
          <w:bCs w:val="1"/>
          <w:i w:val="1"/>
          <w:iCs w:val="1"/>
          <w:color w:val="auto"/>
        </w:rPr>
        <w:t>Specified Provisions</w:t>
      </w:r>
      <w:r>
        <w:rPr>
          <w:rFonts w:ascii="Times New Roman" w:cs="Times New Roman" w:eastAsia="Times New Roman" w:hAnsi="Times New Roman"/>
          <w:sz w:val="18"/>
          <w:szCs w:val="18"/>
          <w:color w:val="auto"/>
        </w:rPr>
        <w:t>”); provided, further, that if two-thirds (2/3) of the Whole Board has approved such amendment or repeal of, or any provision inconsistent with, the Specified Provisions,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amend or repeal, or adopt any provision inconsistent with, the Specified Provisions.</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2. Notwithstanding any other provision of this Certificate of Incorporation (including any Certificate of Designation) or any provision of law that might otherwise permit a lesser vote or no vote, but in addition to any vote of the holders of any class or series of the stock of the Corporation required by law or by this Certificate of Incorporation (including any Certificate of Designation), the affirmative vote of the holders of Class A Common Stock representing at least seventy-five percent (75%) of the voting power of the then-outstanding shares of Class A Common Stock, voting separately as a single class, and the affirmative vote of the holders of Class B Common Stock representing at least seventy-five percent (75%) of the voting power of the then-outstanding shares of Class B Common Stock, voting separately as single class, shall be required to amend or repeal, or to adopt any provision inconsistent with, Section 3 of Article IV or this Section 2 of Article XII.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1" w:name="page32"/>
    <w:bookmarkEnd w:id="3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 THE UNDERSIGNED, being the Sole Incorporator hereinbefore named, for the purpose of forming a corporation pursuant to the General Corporation Law, do make this Certificate, hereby declaring and certifying that this is my act and deed and the facts herein stated are true, and accordingly have hereunto set my hand this 7th day of January, 2021.</w:t>
      </w:r>
    </w:p>
    <w:p>
      <w:pPr>
        <w:spacing w:after="0" w:line="200" w:lineRule="exact"/>
        <w:rPr>
          <w:sz w:val="20"/>
          <w:szCs w:val="20"/>
          <w:color w:val="auto"/>
        </w:rPr>
      </w:pPr>
    </w:p>
    <w:p>
      <w:pPr>
        <w:spacing w:after="0" w:line="21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Vivek Garipalli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440" w:top="270"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CLOVER HEALTH INVESTMENTS, CORP.</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Adopted January 6, 2021 and</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As Effective January 7, 2021</w:t>
      </w:r>
    </w:p>
    <w:p>
      <w:pPr>
        <w:sectPr>
          <w:pgSz w:w="11900" w:h="16838" w:orient="portrait"/>
          <w:cols w:equalWidth="0" w:num="1">
            <w:col w:w="10020"/>
          </w:cols>
          <w:pgMar w:left="1440" w:top="266"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97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STOCKHOLDERS</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gridSpan w:val="2"/>
            <w:vMerge w:val="continue"/>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Meetings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Meetings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Proxies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Inspectors of Elections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Stockholder Business; Nominations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Qualifications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Resignation; Removal; Vacancies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Regular Meetings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Remote Meetings Permitted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Unanimous Action by Directors in Lieu of a Meeting</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Rules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OFFICERS; CHAIRPERSON; LEAD INDEPENDENT DIRECTOR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Generally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Chairperson of the Board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Authority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STOCK</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Uncertificated Shares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Lost, Stolen or Destroyed Stock Certificates; Issuance of New Certificates or Uncertificated Shares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Lock-up</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Regulations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40"/>
          </w:cols>
          <w:pgMar w:left="440" w:top="266" w:right="5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76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76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39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636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200" w:type="dxa"/>
            <w:vAlign w:val="bottom"/>
            <w:gridSpan w:val="2"/>
            <w:vMerge w:val="continue"/>
          </w:tcPr>
          <w:p>
            <w:pPr>
              <w:spacing w:after="0"/>
              <w:rPr>
                <w:sz w:val="16"/>
                <w:szCs w:val="16"/>
                <w:color w:val="auto"/>
              </w:rPr>
            </w:pPr>
          </w:p>
        </w:tc>
        <w:tc>
          <w:tcPr>
            <w:tcW w:w="636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 of Expenses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Non-Exclusivity of Rights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Contracts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Nature of Rights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NOTICES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INTERESTED DIRECTORS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Interested Directors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Seal</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Records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Reliance Upon Books and Records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 Governs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Periods</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AMENDMENT</w:t>
            </w:r>
          </w:p>
        </w:tc>
        <w:tc>
          <w:tcPr>
            <w:tcW w:w="6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66" w:right="51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CLOVER HEALTH INVESTMENTS, CORP.</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January 6, 2021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Effective January 7, 2021</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An annual meeting of stockholders shall be held for the election of directors at such date 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Clover Health Investments,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or by means of remote communication as the Board in its sole discretion may determine. Any proper business may be transacted at the annual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380" w:firstLine="440"/>
        <w:spacing w:after="0" w:line="258" w:lineRule="auto"/>
        <w:rPr>
          <w:sz w:val="20"/>
          <w:szCs w:val="20"/>
          <w:color w:val="auto"/>
        </w:rPr>
      </w:pPr>
      <w:r>
        <w:rPr>
          <w:rFonts w:ascii="Times New Roman" w:cs="Times New Roman" w:eastAsia="Times New Roman" w:hAnsi="Times New Roman"/>
          <w:sz w:val="18"/>
          <w:szCs w:val="18"/>
          <w:color w:val="auto"/>
        </w:rPr>
        <w:t>Special meetings of stockholders for any purpose or purposes shall be called in the manner set forth in the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chairperson of the meeting shall have the power to adjourn the meeting to another time, date and place (if any).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adjournment is for more than thirty (30) days, a notice of the adjourned meeting shall be given to each stockholder of record entitled to vote at the meeting. At the adjourned meeting, the Corporation may transact any business that might have been transacted at the original meeting. To the fullest extent permitted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6" w:name="page37"/>
    <w:bookmarkEnd w:id="36"/>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law, the Board may postpone, reschedule or cancel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Except as otherwise provided by applicable law, the Certificate of Incorporation or these 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Meetings of stockholders shall be presided over by (a) such person as the Board may designate, or (b) in such person’s absence, the Chairperson of the Board, or (c) in such person’s absence, the Lead Independent Director, or, (d) in such person’s absence, the Chief Executive Officer of the Corporation, or (e) in such person’s absence, the President of the Corporation, or (f) in the absence of such person, by a Vice President. Such person shall be the chairperson of the meeting and, subject to Section 1.10 of these Bylaws, shall determine the order of business and the procedure at the meeting, including such regulation of the manner of voting and the conduct of discussion as seems to such person to be in order. The Secretary of the Corporation shall act as the secretary of the meeting, but in such person’s absence the chairperson of the meeting may appoint any person to act as the secretary of the meeting.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Each stockholder of record entitled to vote at a meeting of stockholders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rule or regulation applicable to the Corporation or its securities, the rules or regulations of any stock exchange applicable to the Corporation, the Certificate of Incorporation or these Bylaws,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(2)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 w:name="page38"/>
    <w:bookmarkEnd w:id="3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notice of or to vote at the adjourned meeting.</w:t>
      </w:r>
    </w:p>
    <w:p>
      <w:pPr>
        <w:spacing w:after="0" w:line="19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The Secretary shall prepare, at least ten (10) days before every meeting of stockholders, a complete list of stockholders entitled to vote at the meeting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as permitted by applicable law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information required to gain access to the list is provided with the notice of the meeting), or</w:t>
      </w:r>
    </w:p>
    <w:p>
      <w:pPr>
        <w:spacing w:after="0" w:line="5" w:lineRule="exact"/>
        <w:rPr>
          <w:sz w:val="20"/>
          <w:szCs w:val="20"/>
          <w:color w:val="auto"/>
        </w:rPr>
      </w:pPr>
    </w:p>
    <w:p>
      <w:pPr>
        <w:ind w:left="4" w:hanging="4"/>
        <w:spacing w:after="0" w:line="25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1.10.1 </w:t>
      </w:r>
      <w:r>
        <w:rPr>
          <w:rFonts w:ascii="Times New Roman" w:cs="Times New Roman" w:eastAsia="Times New Roman" w:hAnsi="Times New Roman"/>
          <w:sz w:val="17"/>
          <w:szCs w:val="17"/>
          <w:u w:val="single" w:color="auto"/>
          <w:color w:val="auto"/>
        </w:rPr>
        <w:t>Applicability</w:t>
      </w:r>
      <w:r>
        <w:rPr>
          <w:rFonts w:ascii="Times New Roman" w:cs="Times New Roman" w:eastAsia="Times New Roman" w:hAnsi="Times New Roman"/>
          <w:sz w:val="17"/>
          <w:szCs w:val="17"/>
          <w:color w:val="auto"/>
        </w:rPr>
        <w:t>.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64"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(1) or more inspectors of election to act at the meeting and make a written report thereof. The Corporation may designate one (1) or more persons as alternate inspectors to replace any inspector who fails to act. If no inspector or alternate is able to act at a meeting of stockholders, the person presiding at the meeting shall appoint one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or more inspectors to act at the meeting.</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38" w:name="page39"/>
    <w:bookmarkEnd w:id="38"/>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1.10.3 </w:t>
      </w:r>
      <w:r>
        <w:rPr>
          <w:rFonts w:ascii="Times New Roman" w:cs="Times New Roman" w:eastAsia="Times New Roman" w:hAnsi="Times New Roman"/>
          <w:sz w:val="18"/>
          <w:szCs w:val="18"/>
          <w:u w:val="single" w:color="auto"/>
          <w:color w:val="auto"/>
        </w:rPr>
        <w:t>Inspector’s Oath</w:t>
      </w:r>
      <w:r>
        <w:rPr>
          <w:rFonts w:ascii="Times New Roman" w:cs="Times New Roman" w:eastAsia="Times New Roman" w:hAnsi="Times New Roman"/>
          <w:sz w:val="18"/>
          <w:szCs w:val="18"/>
          <w:color w:val="auto"/>
        </w:rPr>
        <w:t>. Each inspector of election, before entering upon the discharge of such inspector’s duties, shall take and sign an oath faithfully to execute the duties of inspector with strict impartiality and according to the best of such inspector’s ability.</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Opening and Closing of Polls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Notice of Stockholder Business; Nominations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1.11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who is entitled to vote at such meeting and who complies with the notice and other procedures set forth in this Section 1.11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an annual meeting of stockholders, and such stockholder must fully comply with the notice and other procedures set forth in this Section 1.11 to make such nominations or propose business before an annual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9" w:name="page40"/>
    <w:bookmarkEnd w:id="39"/>
    <w:p>
      <w:pPr>
        <w:ind w:right="106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nominations or other business to be properly brought before an annual meeting by a Record Stockholder pursuant to Section 1.11.1(a) of these Bylaws:</w:t>
      </w:r>
    </w:p>
    <w:p>
      <w:pPr>
        <w:spacing w:after="0" w:line="161" w:lineRule="exact"/>
        <w:rPr>
          <w:rFonts w:ascii="Times New Roman" w:cs="Times New Roman" w:eastAsia="Times New Roman" w:hAnsi="Times New Roman"/>
          <w:sz w:val="18"/>
          <w:szCs w:val="18"/>
          <w:color w:val="auto"/>
        </w:rPr>
      </w:pPr>
    </w:p>
    <w:p>
      <w:pPr>
        <w:ind w:right="340" w:firstLine="1428"/>
        <w:spacing w:after="0" w:line="282" w:lineRule="auto"/>
        <w:tabs>
          <w:tab w:leader="none" w:pos="16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of the Corporation and provide any updates or supplements to such notice at the times and in the forms required by this Section 1.11;</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(other than the nomination of persons for election to the Board) must otherwise be a proper matter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action;</w:t>
      </w:r>
    </w:p>
    <w:p>
      <w:pPr>
        <w:spacing w:after="0" w:line="206" w:lineRule="exact"/>
        <w:rPr>
          <w:rFonts w:ascii="Times New Roman" w:cs="Times New Roman" w:eastAsia="Times New Roman" w:hAnsi="Times New Roman"/>
          <w:sz w:val="18"/>
          <w:szCs w:val="18"/>
          <w:color w:val="auto"/>
        </w:rPr>
      </w:pPr>
    </w:p>
    <w:p>
      <w:pPr>
        <w:ind w:firstLine="1428"/>
        <w:spacing w:after="0" w:line="256" w:lineRule="auto"/>
        <w:tabs>
          <w:tab w:leader="none" w:pos="17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8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Solicitation Notice relating thereto has been timely provided pursuant to this Section 1.11, the Proposing Person proposing such business or nomination must not have solicited a number of proxies sufficient to have required the delivery of such a Solicitation Notice under this Section 1.11.</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To be timely, a Record Stockholder’s notice must be delivered to the Secretary at the principal executive offices of the Corporation not later than the close of business on the ninetieth (90th) day nor earlier than the close of business on the one hundred and twentieth (120th)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1.11.2 of these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notice by the Record Stockholder to be timely must be so delivered (A) no earlier than the close of business on the one hundred and twentieth (120th) day prior to such annual meeting and (B) no later than the close of business on the later of the ninetieth (90th) day prior to such annual meeting or the close of business on the tenth (10th) day following the day on which Public Announcement (as defined below) of the date of such meeting is first made by the Corporation. In no event shall an adjournment or postponement of an annual meeting for which notice has been given commence a new time period (or extend any time period) for providing the Record Stockholder’s notice. Such Record Stockholder’s notice shall set forth:</w:t>
      </w:r>
    </w:p>
    <w:p>
      <w:pPr>
        <w:spacing w:after="0" w:line="192" w:lineRule="exact"/>
        <w:rPr>
          <w:sz w:val="20"/>
          <w:szCs w:val="20"/>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Record Stockholder proposes to nominate for election or reelection as a director:</w:t>
      </w:r>
    </w:p>
    <w:p>
      <w:pPr>
        <w:spacing w:after="0" w:line="2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person;</w:t>
      </w:r>
    </w:p>
    <w:p>
      <w:pPr>
        <w:spacing w:after="0" w:line="206"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nominee;</w:t>
      </w:r>
    </w:p>
    <w:p>
      <w:pPr>
        <w:spacing w:after="0" w:line="225" w:lineRule="exact"/>
        <w:rPr>
          <w:rFonts w:ascii="Times New Roman" w:cs="Times New Roman" w:eastAsia="Times New Roman" w:hAnsi="Times New Roman"/>
          <w:sz w:val="18"/>
          <w:szCs w:val="18"/>
          <w:color w:val="auto"/>
        </w:rPr>
      </w:pPr>
    </w:p>
    <w:p>
      <w:pPr>
        <w:ind w:right="200" w:firstLine="1428"/>
        <w:spacing w:after="0" w:line="282" w:lineRule="auto"/>
        <w:tabs>
          <w:tab w:leader="none" w:pos="17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any shares of stock of the Corporation that are beneficially owned or owned of record by such person or any Associated Person (as defined in Section 1.11.3(c));</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such shares were acquired and the investment intent of such acquisition;</w:t>
      </w:r>
    </w:p>
    <w:p>
      <w:pPr>
        <w:spacing w:after="0" w:line="225"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40" w:name="page41"/>
    <w:bookmarkEnd w:id="40"/>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 under the Exchange Act and the rules and regulations thereunder (including such person’s written consent to being named in the proxy statement as a nominee, to the public disclosure of information regarding or related to such person provided to the Corporation by such person or otherwise pursuant to this Section 1.11 and to serving as a director if elected); and</w:t>
      </w:r>
    </w:p>
    <w:p>
      <w:pPr>
        <w:spacing w:after="0" w:line="176" w:lineRule="exact"/>
        <w:rPr>
          <w:sz w:val="20"/>
          <w:szCs w:val="20"/>
          <w:color w:val="auto"/>
        </w:rPr>
      </w:pPr>
    </w:p>
    <w:p>
      <w:pPr>
        <w:ind w:right="640" w:firstLine="1428"/>
        <w:spacing w:after="0" w:line="282" w:lineRule="auto"/>
        <w:tabs>
          <w:tab w:leader="none" w:pos="17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person meets the independence requirements of the stock exchange upon which the Corporation’s Class A Common Stock is primarily traded.</w:t>
      </w:r>
    </w:p>
    <w:p>
      <w:pPr>
        <w:spacing w:after="0" w:line="161" w:lineRule="exact"/>
        <w:rPr>
          <w:rFonts w:ascii="Times New Roman" w:cs="Times New Roman" w:eastAsia="Times New Roman" w:hAnsi="Times New Roman"/>
          <w:sz w:val="18"/>
          <w:szCs w:val="18"/>
          <w:color w:val="auto"/>
        </w:rPr>
      </w:pPr>
    </w:p>
    <w:p>
      <w:pPr>
        <w:ind w:right="200" w:firstLine="436"/>
        <w:spacing w:after="0" w:line="281" w:lineRule="auto"/>
        <w:tabs>
          <w:tab w:leader="none" w:pos="6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other business that the Record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64"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Person giving the notice:</w:t>
      </w:r>
    </w:p>
    <w:p>
      <w:pPr>
        <w:spacing w:after="0" w:line="225" w:lineRule="exact"/>
        <w:rPr>
          <w:rFonts w:ascii="Times New Roman" w:cs="Times New Roman" w:eastAsia="Times New Roman" w:hAnsi="Times New Roman"/>
          <w:sz w:val="18"/>
          <w:szCs w:val="18"/>
          <w:color w:val="auto"/>
        </w:rPr>
      </w:pPr>
    </w:p>
    <w:p>
      <w:pPr>
        <w:ind w:right="320" w:firstLine="1428"/>
        <w:spacing w:after="0" w:line="282" w:lineRule="auto"/>
        <w:tabs>
          <w:tab w:leader="none" w:pos="16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name and address of such Proposing Person, including, if applicable, their name and address as they appear on the Corporation’s stock ledger, if different;</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75" w:lineRule="exact"/>
        <w:rPr>
          <w:rFonts w:ascii="Times New Roman" w:cs="Times New Roman" w:eastAsia="Times New Roman" w:hAnsi="Times New Roman"/>
          <w:sz w:val="18"/>
          <w:szCs w:val="18"/>
          <w:color w:val="auto"/>
        </w:rPr>
      </w:pPr>
    </w:p>
    <w:p>
      <w:pPr>
        <w:ind w:firstLine="1428"/>
        <w:spacing w:after="0" w:line="252" w:lineRule="auto"/>
        <w:tabs>
          <w:tab w:leader="none" w:pos="17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w:t>
      </w:r>
    </w:p>
    <w:p>
      <w:pPr>
        <w:spacing w:after="0" w:line="197" w:lineRule="exact"/>
        <w:rPr>
          <w:rFonts w:ascii="Times New Roman" w:cs="Times New Roman" w:eastAsia="Times New Roman" w:hAnsi="Times New Roman"/>
          <w:sz w:val="18"/>
          <w:szCs w:val="18"/>
          <w:color w:val="auto"/>
        </w:rPr>
      </w:pPr>
    </w:p>
    <w:p>
      <w:pPr>
        <w:ind w:right="560" w:firstLine="1428"/>
        <w:spacing w:after="0" w:line="282" w:lineRule="auto"/>
        <w:tabs>
          <w:tab w:leader="none" w:pos="17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any affiliate of the Corporation or any principal competitor of the Corporation, on the other hand;</w:t>
      </w:r>
    </w:p>
    <w:p>
      <w:pPr>
        <w:spacing w:after="0" w:line="161"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with the Corporation, any affiliate of the Corporation or any principal competitor of the Corporation (including, in any such case, any employment agreement, collective bargaining agreement or consulting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1" w:name="page42"/>
    <w:bookmarkEnd w:id="41"/>
    <w:p>
      <w:pPr>
        <w:ind w:left="4" w:firstLine="1428"/>
        <w:spacing w:after="0" w:line="255" w:lineRule="auto"/>
        <w:tabs>
          <w:tab w:leader="none" w:pos="17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 (the disclosures to be made pursuant to the foregoing clauses (iv) through (vi) are referred to as “</w:t>
      </w:r>
      <w:r>
        <w:rPr>
          <w:rFonts w:ascii="Times New Roman" w:cs="Times New Roman" w:eastAsia="Times New Roman" w:hAnsi="Times New Roman"/>
          <w:sz w:val="18"/>
          <w:szCs w:val="18"/>
          <w:b w:val="1"/>
          <w:bCs w:val="1"/>
          <w:i w:val="1"/>
          <w:iCs w:val="1"/>
          <w:color w:val="auto"/>
        </w:rPr>
        <w:t>Disclosable Interests</w:t>
      </w:r>
      <w:r>
        <w:rPr>
          <w:rFonts w:ascii="Times New Roman" w:cs="Times New Roman" w:eastAsia="Times New Roman" w:hAnsi="Times New Roman"/>
          <w:sz w:val="18"/>
          <w:szCs w:val="18"/>
          <w:color w:val="auto"/>
        </w:rPr>
        <w:t>”). For purposes hereof “Disclosable Interests”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88"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Person’s written consent to the public disclosure of information provided to the Corporation pursuant to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w:t>
      </w:r>
    </w:p>
    <w:p>
      <w:pPr>
        <w:spacing w:after="0" w:line="206" w:lineRule="exact"/>
        <w:rPr>
          <w:rFonts w:ascii="Times New Roman" w:cs="Times New Roman" w:eastAsia="Times New Roman" w:hAnsi="Times New Roman"/>
          <w:sz w:val="18"/>
          <w:szCs w:val="18"/>
          <w:color w:val="auto"/>
        </w:rPr>
      </w:pPr>
    </w:p>
    <w:p>
      <w:pPr>
        <w:ind w:left="4" w:right="320" w:firstLine="1428"/>
        <w:spacing w:after="0" w:line="266" w:lineRule="auto"/>
        <w:tabs>
          <w:tab w:leader="none" w:pos="18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written description of any agreement, arrangement or understanding (whether oral or in writing) (including any knowledge that another person or entity is Acting in Concert (as defined in Section 1.11.3(c)) with such Proposing Person) between or among such Proposing Person, any of its respective affiliates or associates and any other person Acting in Concert with any of the foregoing persons;</w:t>
      </w:r>
    </w:p>
    <w:p>
      <w:pPr>
        <w:spacing w:after="0" w:line="175" w:lineRule="exact"/>
        <w:rPr>
          <w:rFonts w:ascii="Times New Roman" w:cs="Times New Roman" w:eastAsia="Times New Roman" w:hAnsi="Times New Roman"/>
          <w:sz w:val="18"/>
          <w:szCs w:val="18"/>
          <w:color w:val="auto"/>
        </w:rPr>
      </w:pPr>
    </w:p>
    <w:p>
      <w:pPr>
        <w:ind w:left="4" w:right="260" w:firstLine="1428"/>
        <w:spacing w:after="0" w:line="261" w:lineRule="auto"/>
        <w:tabs>
          <w:tab w:leader="none" w:pos="17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such Proposing Person proposes to nominate for election or re-election as a director, any agreement, arrangement or understanding of such person with any other person or entity other than the Corporation with respect to any direct or indirect compensation, reimbursement or indemnification in connection with service or action as a director known to such Proposing Person after reasonable inquiry;</w:t>
      </w:r>
    </w:p>
    <w:p>
      <w:pPr>
        <w:spacing w:after="0" w:line="179"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61"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7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4" w:right="620" w:firstLine="1428"/>
        <w:spacing w:after="0" w:line="282" w:lineRule="auto"/>
        <w:tabs>
          <w:tab w:leader="none" w:pos="17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or relationship pursuant to which the Proposing Person has a right to vote, directly or indirectly, any shares of any security of the Corporation.</w:t>
      </w:r>
    </w:p>
    <w:p>
      <w:pPr>
        <w:spacing w:after="0" w:line="162"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A stockholder providing written notice required by this Section 1.11 will update and supplement such notice in writing, if necessary, so that the information provided or required to be provided in such notice is true and correct in all material respects as of (i) the record date for the meeting and</w:t>
      </w:r>
    </w:p>
    <w:p>
      <w:pPr>
        <w:spacing w:after="0" w:line="1" w:lineRule="exact"/>
        <w:rPr>
          <w:sz w:val="20"/>
          <w:szCs w:val="20"/>
          <w:color w:val="auto"/>
        </w:rPr>
      </w:pPr>
    </w:p>
    <w:p>
      <w:pPr>
        <w:ind w:left="4" w:right="120" w:hanging="4"/>
        <w:spacing w:after="0" w:line="250"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fifth (5th) business day prior to the meeting and, in the event of any adjournment or postponement thereof, the close of business on the fifth (5th) business day prior to such adjourned or postponed meeting. In the case of an update and supplement pursuant to clause (i) of the foregoing sentence, such update and supplement will be received by the Secretary of the Corporation at the principal executive office of the Corporation not later than five (5) business days after the record date for the meeting, and in the case of an update and supplement pursuant to clause</w:t>
      </w:r>
    </w:p>
    <w:p>
      <w:pPr>
        <w:spacing w:after="0" w:line="1" w:lineRule="exact"/>
        <w:rPr>
          <w:rFonts w:ascii="Times New Roman" w:cs="Times New Roman" w:eastAsia="Times New Roman" w:hAnsi="Times New Roman"/>
          <w:sz w:val="18"/>
          <w:szCs w:val="18"/>
          <w:color w:val="auto"/>
        </w:rPr>
      </w:pPr>
    </w:p>
    <w:p>
      <w:pPr>
        <w:ind w:left="4" w:right="220" w:hanging="4"/>
        <w:spacing w:after="0" w:line="265" w:lineRule="auto"/>
        <w:tabs>
          <w:tab w:leader="none" w:pos="26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foregoing sentence, such update and supplement will be received by the Secretary of the Corporation at the principal executive office of the Corporation not later than two (2) business days prior to the date for the meeting, and, in the event of any adjournment or postponement thereof, two</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prior to such adjourned or postponed meeting.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42" w:name="page43"/>
    <w:bookmarkEnd w:id="42"/>
    <w:p>
      <w:pPr>
        <w:ind w:right="40" w:firstLine="987"/>
        <w:spacing w:after="0" w:line="255"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the second sentence of Section 1.11.1(b) of these Bylaws to the contrary, in the event that the number of directors to be elected to the Board is increased and there is no Public Announcement by the Corporation naming all of the nominees for director or specifying the size of the increased Board at least ninety (90) days prior to the first anniversary of the preceding year’s annual meeting (or, if the annual meeting is held more than thirty (30) days before or sixty (60) days after such anniversary date, at least ninety (90) days prior to such annual meeting), a stockholder’s notice required by this Section 1.11 shall also be considered timely, but only with respect to nominees for any new positions created by such increase, if it shall be delivered to the Secretary of the Corporation at the principal executive office of the Corporation no later than the close of business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1.11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serve as a member of the Board, absent a prior waiver for such nomination or service approved by two-thirds of the Whole Board.</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1.11 in all applicable respects. In the event the Corporation calls a special meeting of stockholders for the purpose of electing one (1) or more directors to the Board, any such stockholder may nominate a person or persons (as the case may be), for election to such position(s) as specified in the Corporation’s notice of meeting, if the stockholder’s notice required by Section 1.11.1(b) of these Bylaws shall be delivered to the Secretary of the Corporation at the principal executive offices of the Corporation (i) no earlier than the one hundred twentieth (120th) day prior to such special meeting and (ii) no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1"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such persons who are nominated in accordance with the procedures set forth in this Section 1.11 shall be eligible to be elected at a meeting of stockholders and serve as directors and only such business shall be conducted at a meeting of stockholders as shall have been brought before the meeting in accordance with the procedures set forth in this Section 1.11.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1.11 and, if any proposed nomination or business is not in compliance herewith, to declare that such defective proposal or nomination shall be disregarded. Notwithstanding the foregoing provisions of this Section 1.11,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73" w:lineRule="exact"/>
        <w:rPr>
          <w:rFonts w:ascii="Times New Roman" w:cs="Times New Roman" w:eastAsia="Times New Roman" w:hAnsi="Times New Roman"/>
          <w:sz w:val="17"/>
          <w:szCs w:val="17"/>
          <w:color w:val="auto"/>
        </w:rPr>
      </w:pPr>
    </w:p>
    <w:p>
      <w:pPr>
        <w:ind w:right="40" w:firstLine="987"/>
        <w:spacing w:after="0" w:line="26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1.11, a stockholder shall also comply with all applicable requirements of the Exchange Act and the rules and regulations thereunder with respect to the matters set forth herein. Nothing in this Section 1.11 shall be deemed to affect any rights of (a) stockholders to request inclusion of proposals in the Corporation’s proxy statement pursuant to Rule 14a-8 under the Exchange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 or (b) the holders of any series of Preferred Stock to elect directors pursuant to any applicable provisions of the Certificate of Incorporation.</w:t>
      </w:r>
    </w:p>
    <w:p>
      <w:pPr>
        <w:spacing w:after="0" w:line="225" w:lineRule="exact"/>
        <w:rPr>
          <w:sz w:val="20"/>
          <w:szCs w:val="20"/>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1.11 the following definitions shall apply:</w:t>
      </w:r>
    </w:p>
    <w:p>
      <w:pPr>
        <w:spacing w:after="0" w:line="113" w:lineRule="exact"/>
        <w:rPr>
          <w:rFonts w:ascii="Times New Roman" w:cs="Times New Roman" w:eastAsia="Times New Roman" w:hAnsi="Times New Roman"/>
          <w:sz w:val="18"/>
          <w:szCs w:val="18"/>
          <w:color w:val="auto"/>
        </w:rPr>
      </w:pPr>
    </w:p>
    <w:p>
      <w:pPr>
        <w:ind w:left="1420" w:right="20" w:firstLine="8"/>
        <w:spacing w:after="0" w:line="254" w:lineRule="auto"/>
        <w:tabs>
          <w:tab w:leader="none" w:pos="17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b w:val="1"/>
          <w:bCs w:val="1"/>
          <w:i w:val="1"/>
          <w:iCs w:val="1"/>
          <w:color w:val="auto"/>
        </w:rPr>
        <w:t>Acting in Concert</w:t>
      </w:r>
      <w:r>
        <w:rPr>
          <w:rFonts w:ascii="Times New Roman" w:cs="Times New Roman" w:eastAsia="Times New Roman" w:hAnsi="Times New Roman"/>
          <w:sz w:val="18"/>
          <w:szCs w:val="18"/>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74"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Associated Person</w:t>
      </w:r>
      <w:r>
        <w:rPr>
          <w:rFonts w:ascii="Times New Roman" w:cs="Times New Roman" w:eastAsia="Times New Roman" w:hAnsi="Times New Roman"/>
          <w:sz w:val="18"/>
          <w:szCs w:val="18"/>
          <w:color w:val="auto"/>
        </w:rPr>
        <w:t>” shall mean with respect to any subject stockholder or other person (including any proposed nominee)</w:t>
      </w:r>
    </w:p>
    <w:p>
      <w:pPr>
        <w:spacing w:after="0" w:line="31" w:lineRule="exact"/>
        <w:rPr>
          <w:sz w:val="20"/>
          <w:szCs w:val="20"/>
          <w:color w:val="auto"/>
        </w:rPr>
      </w:pPr>
    </w:p>
    <w:p>
      <w:pPr>
        <w:ind w:left="1680" w:hanging="252"/>
        <w:spacing w:after="0"/>
        <w:tabs>
          <w:tab w:leader="none" w:pos="1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directly or indirectly controlling, controlled by or under common control with such stockholder or other person,</w:t>
      </w:r>
    </w:p>
    <w:p>
      <w:pPr>
        <w:spacing w:after="0" w:line="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shares of stock of the Corporation owned of record or beneficially by such stockholder or other person,</w:t>
      </w:r>
    </w:p>
    <w:p>
      <w:pPr>
        <w:spacing w:after="0" w:line="9" w:lineRule="exact"/>
        <w:rPr>
          <w:rFonts w:ascii="Times New Roman" w:cs="Times New Roman" w:eastAsia="Times New Roman" w:hAnsi="Times New Roman"/>
          <w:sz w:val="18"/>
          <w:szCs w:val="18"/>
          <w:color w:val="auto"/>
        </w:rPr>
      </w:pPr>
    </w:p>
    <w:p>
      <w:pPr>
        <w:ind w:left="1420" w:right="160" w:firstLine="8"/>
        <w:spacing w:after="0" w:line="255" w:lineRule="auto"/>
        <w:tabs>
          <w:tab w:leader="none" w:pos="1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associate (as defined in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such stockholder or other person, and (4) any person directly or indirectly controlling, controlled by or under common control or Acting in Concert with any such Associated Person;</w:t>
      </w:r>
    </w:p>
    <w:p>
      <w:pPr>
        <w:spacing w:after="0" w:line="74" w:lineRule="exact"/>
        <w:rPr>
          <w:sz w:val="20"/>
          <w:szCs w:val="20"/>
          <w:color w:val="auto"/>
        </w:rPr>
      </w:pPr>
    </w:p>
    <w:p>
      <w:pPr>
        <w:ind w:left="1720" w:hanging="292"/>
        <w:spacing w:after="0"/>
        <w:tabs>
          <w:tab w:leader="none" w:pos="1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stockholder providing the notice of business proposed to be brought before an annual</w:t>
      </w:r>
    </w:p>
    <w:p>
      <w:pPr>
        <w:spacing w:after="0" w:line="31" w:lineRule="exact"/>
        <w:rPr>
          <w:rFonts w:ascii="Times New Roman" w:cs="Times New Roman" w:eastAsia="Times New Roman" w:hAnsi="Times New Roman"/>
          <w:sz w:val="18"/>
          <w:szCs w:val="18"/>
          <w:color w:val="auto"/>
        </w:rPr>
      </w:pPr>
    </w:p>
    <w:p>
      <w:pPr>
        <w:ind w:left="14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74" w:lineRule="exact"/>
        <w:rPr>
          <w:rFonts w:ascii="Times New Roman" w:cs="Times New Roman" w:eastAsia="Times New Roman" w:hAnsi="Times New Roman"/>
          <w:sz w:val="18"/>
          <w:szCs w:val="18"/>
          <w:color w:val="auto"/>
        </w:rPr>
      </w:pPr>
    </w:p>
    <w:p>
      <w:pPr>
        <w:ind w:left="1420" w:firstLine="8"/>
        <w:spacing w:after="0" w:line="286" w:lineRule="auto"/>
        <w:tabs>
          <w:tab w:leader="none" w:pos="17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46" w:lineRule="exact"/>
        <w:rPr>
          <w:rFonts w:ascii="Times New Roman" w:cs="Times New Roman" w:eastAsia="Times New Roman" w:hAnsi="Times New Roman"/>
          <w:sz w:val="18"/>
          <w:szCs w:val="18"/>
          <w:color w:val="auto"/>
        </w:rPr>
      </w:pPr>
    </w:p>
    <w:p>
      <w:pPr>
        <w:ind w:left="1420" w:firstLine="8"/>
        <w:spacing w:after="0" w:line="254" w:lineRule="auto"/>
        <w:tabs>
          <w:tab w:leader="none" w:pos="1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a person must be a duly authorized officer, manager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annual meeting; provided, however, that if the stockholder is (1) a general or limited partnership, any general partner or person who functions as a general partner of the general or limited partnership or who controls the general or limited partnership shall be deemed a Qualified Representative, (2) a corporation or a limited liability company, any officer or person who functions as the substantial equivalent of an officer of the corporation or limited liability company or any officer, director, general partner or person who functions as an officer, director or general partner of any entity ultimately in control of the corporation or limited liability company shall be deemed a Qualified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4" w:name="page45"/>
    <w:bookmarkEnd w:id="44"/>
    <w:p>
      <w:pPr>
        <w:ind w:left="142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 or (z) a trust, any trustee of such trust shall be deemed a Qualified Representative. The Secretary of the Corporation, or any other person who shall be appointed to serve as the secretary of the meeting, may require, on behalf of the Corporation, reasonable and appropriate documentation to verify the status of a person purporting to be a “Qualified Representative” for purposes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The total number of directors constituting the Board (the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be fixed from time to time in the manner set forth in the Certificate of Incorporation. No decrease in the authorized number of directors constituting the Whole Board shall shorten the term of any incumbent director. Directors need not be stockholders of the Corporation.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Election of directors need not be by written ballot. Unless otherwise provided by the Certificate of Incorporation and subject to the special rights of holders of any series of Preferred Stock to elect directors, the Board shall be divided into three (3) classes, designated as Class I, Class II and</w:t>
      </w:r>
    </w:p>
    <w:p>
      <w:pPr>
        <w:spacing w:after="0" w:line="251" w:lineRule="auto"/>
        <w:rPr>
          <w:sz w:val="20"/>
          <w:szCs w:val="20"/>
          <w:color w:val="auto"/>
        </w:rPr>
      </w:pPr>
      <w:r>
        <w:rPr>
          <w:rFonts w:ascii="Times New Roman" w:cs="Times New Roman" w:eastAsia="Times New Roman" w:hAnsi="Times New Roman"/>
          <w:sz w:val="18"/>
          <w:szCs w:val="18"/>
          <w:color w:val="auto"/>
        </w:rPr>
        <w:t>Class III. Each class shall consist, as nearly as may be possible, of one-third of the Whole Board.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may be held at such places, within or without the State of Delaware, and at such times as the Board may from time to time determine. Notice of regular meetings need not be given if the date, times and places thereof are fixed by resolution of the Board.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Special meetings of the Board may be called by the Chairperson of the Board, the Chief Executive Officer, or president, or by resolution adopted by a majority of the Whole Board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Members of the Board, or any committee of the Board, may participate in a meeting of the Board or such committee by means of conference telephone or other remote communications by means of which all persons participating in the meeting can hear each other, and participation in a meeting pursuant to conference telephone or other remote communications shall constitute presence in person at such meeting.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At all meetings of the Board, a majority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Meetings of the Board shall be presided over by (a) the Chairperson of the Board, or (b) in such person’s absence, the Lead Independent Director, or (c) in such person’s absence, by the Chief Executive Officer, or (d) in such person’s absence, by a chairperson chosen by the Board at the meeting. The Secretary shall act as the secretary of the meeting, but in such person’s absence the chairperson of the meeting may appoint any person to act as the secretary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Members of the Board, as such, may receive, pursuant to a resolution of the Board, fees and other compensation for their services as directors, including without limitation their services as members of committees of the Board.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Each director shall maintain the confidentiality of, and shall not share with any third party person or entity (including third parties that originally sponsored, nominated or designated such director (the “</w:t>
      </w:r>
      <w:r>
        <w:rPr>
          <w:rFonts w:ascii="Times New Roman" w:cs="Times New Roman" w:eastAsia="Times New Roman" w:hAnsi="Times New Roman"/>
          <w:sz w:val="18"/>
          <w:szCs w:val="18"/>
          <w:b w:val="1"/>
          <w:bCs w:val="1"/>
          <w:i w:val="1"/>
          <w:iCs w:val="1"/>
          <w:color w:val="auto"/>
        </w:rPr>
        <w:t>Sponsoring Party</w:t>
      </w:r>
      <w:r>
        <w:rPr>
          <w:rFonts w:ascii="Times New Roman" w:cs="Times New Roman" w:eastAsia="Times New Roman" w:hAnsi="Times New Roman"/>
          <w:sz w:val="18"/>
          <w:szCs w:val="18"/>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Times New Roman" w:cs="Times New Roman" w:eastAsia="Times New Roman" w:hAnsi="Times New Roman"/>
          <w:sz w:val="18"/>
          <w:szCs w:val="18"/>
          <w:b w:val="1"/>
          <w:bCs w:val="1"/>
          <w:i w:val="1"/>
          <w:iCs w:val="1"/>
          <w:color w:val="auto"/>
        </w:rPr>
        <w:t>Board Confidentiality Policy</w:t>
      </w:r>
      <w:r>
        <w:rPr>
          <w:rFonts w:ascii="Times New Roman" w:cs="Times New Roman" w:eastAsia="Times New Roman" w:hAnsi="Times New Roman"/>
          <w:sz w:val="18"/>
          <w:szCs w:val="18"/>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(1) or more subcommittees, each subcommittee to consist of one (1) or more members of the committee, and may delegate to any such subcommittee any or all of the powers and authority of the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CHAIRPERSON; LEAD INDEPENDENT DIRECTOR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officers of the Corporation shall consist of a Chief Executive Officer (who may be the Chairperson of the Board or the President), a President, a Secretary and a Treasurer and may consist of such other officers, including, without limitation, a Chief Financial Officer and one (1) or more Vice Presidents, as may from time to time be appointed by the Board. All officers shall be elected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47" w:name="page48"/>
    <w:bookmarkEnd w:id="4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Subject to the control of the Board and such supervisory powers, if any, as may be given by the Board, the powers and duties of the Chief Executive Officer of the Corporation are:</w:t>
      </w:r>
    </w:p>
    <w:p>
      <w:pPr>
        <w:spacing w:after="0" w:line="162" w:lineRule="exact"/>
        <w:rPr>
          <w:sz w:val="20"/>
          <w:szCs w:val="20"/>
          <w:color w:val="auto"/>
        </w:rPr>
      </w:pPr>
    </w:p>
    <w:p>
      <w:pPr>
        <w:ind w:left="4" w:right="60" w:firstLine="987"/>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manager and, subject to the control of the Board, to have general supervision, direction and control of the business and affairs of the Corporation;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I, Section 1.6 of these Bylaws, to preside at all meetings of the stockholders;</w:t>
      </w:r>
    </w:p>
    <w:p>
      <w:pPr>
        <w:spacing w:after="0" w:line="225"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I, Section 1.2 of these Bylaws, to call special meetings of the stockholders to be held at such times and, subject to the limitations prescribed by law or by these Bylaws, at such places as the Chief Executive Officer shall deem proper;</w:t>
      </w:r>
    </w:p>
    <w:p>
      <w:pPr>
        <w:spacing w:after="0" w:line="161" w:lineRule="exact"/>
        <w:rPr>
          <w:rFonts w:ascii="Times New Roman" w:cs="Times New Roman" w:eastAsia="Times New Roman" w:hAnsi="Times New Roman"/>
          <w:sz w:val="18"/>
          <w:szCs w:val="18"/>
          <w:color w:val="auto"/>
        </w:rPr>
      </w:pPr>
    </w:p>
    <w:p>
      <w:pPr>
        <w:jc w:val="both"/>
        <w:ind w:left="4" w:right="200" w:firstLine="987"/>
        <w:spacing w:after="0" w:line="266" w:lineRule="auto"/>
        <w:tabs>
          <w:tab w:leader="none" w:pos="12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and</w:t>
      </w:r>
    </w:p>
    <w:p>
      <w:pPr>
        <w:spacing w:after="0" w:line="175"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officer to be the Chief Executive Officer.</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2.7 of these Bylaws, the Chairperson of the Board shall have the power to preside at all meetings of the Board and shall have such other powers and duties as provided in these Bylaws and as the Board may from time to time prescribe.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may, in its discretion, elect a lead independent director from among its members that are Independent Directors (as defined below) (such director, the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The Lead Independent Director shall preside at all meetings at which the Chairperson of the Board is not present and shall exercise such other powers and duties as may from time to time be assigned to such person by the Board or as prescribed by these Bylaws. For purposes of these Bylaws,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has the meaning ascribed to such term under the rules of the exchange upon which the Corporation’s Class A Common Stock is primarily traded.</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person holding the office of Chief Executive Officer shall be the President of the Corporation unless the Board shall have designated one</w:t>
      </w:r>
    </w:p>
    <w:p>
      <w:pPr>
        <w:spacing w:after="0" w:line="27" w:lineRule="exact"/>
        <w:rPr>
          <w:sz w:val="20"/>
          <w:szCs w:val="20"/>
          <w:color w:val="auto"/>
        </w:rPr>
      </w:pPr>
    </w:p>
    <w:p>
      <w:pPr>
        <w:jc w:val="both"/>
        <w:ind w:left="4" w:hanging="4"/>
        <w:spacing w:after="0" w:line="255"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48" w:name="page49"/>
    <w:bookmarkEnd w:id="4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may from time to time prescribe.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Each Vice President shall have all such powers and duties as are commonly incident to the office of Vice President or that are delegated to such Vice President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delegate the powers or duties of any officer of the Corporation to any other officers or agents of the Corporation, notwithstanding any provision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officer of the Corporation shall serve at the pleasure of the Board and may be removed at any time, with or without cause,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the Board has empowered the Chief Executive Officer to appoint any officer of the Corporation, then such officer may also be removed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Chief Executive Officer. Such removal shall be without prejudice to the contractual rights of such officer, if any, with the Corporation.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shares of capital stock of the Corporation shall be uncertificated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the Chairperson or Vice-Chairperson of the Board, the Chief Executive Officer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Lock-up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Lock-Up Holders</w:t>
      </w:r>
      <w:r>
        <w:rPr>
          <w:rFonts w:ascii="Times New Roman" w:cs="Times New Roman" w:eastAsia="Times New Roman" w:hAnsi="Times New Roman"/>
          <w:sz w:val="18"/>
          <w:szCs w:val="18"/>
          <w:color w:val="auto"/>
        </w:rPr>
        <w:t>. Subject to Section 5.3.2, the holders (the “</w:t>
      </w:r>
      <w:r>
        <w:rPr>
          <w:rFonts w:ascii="Times New Roman" w:cs="Times New Roman" w:eastAsia="Times New Roman" w:hAnsi="Times New Roman"/>
          <w:sz w:val="18"/>
          <w:szCs w:val="18"/>
          <w:b w:val="1"/>
          <w:bCs w:val="1"/>
          <w:i w:val="1"/>
          <w:iCs w:val="1"/>
          <w:color w:val="auto"/>
        </w:rPr>
        <w:t>Lock-up Holders</w:t>
      </w:r>
      <w:r>
        <w:rPr>
          <w:rFonts w:ascii="Times New Roman" w:cs="Times New Roman" w:eastAsia="Times New Roman" w:hAnsi="Times New Roman"/>
          <w:sz w:val="18"/>
          <w:szCs w:val="18"/>
          <w:color w:val="auto"/>
        </w:rPr>
        <w:t>”) of Class B Common Stock of the Corporation issued (a) as consideration pursuant to the merger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of Asclepius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and into Clover Health Investments, Corp., a Delaware corporation (the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pursuant to the Agreement and Plan of Merger, dated as of October 5, 2020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Social Capital Hedosophia Holdings Corp. III, Merger Sub and the Target or (b) to directors, officers, employees and former employees of the Corporation upon the settlement or exercise of restricted stock units, stock options or other equity awards outstanding as of immediately following the closing of the Transaction in respect of awards of Clover Health Investments, Corp. outstanding immediately prior to the closing of the Transaction (such shares referred to in Section 5.3.1(b), the “</w:t>
      </w:r>
      <w:r>
        <w:rPr>
          <w:rFonts w:ascii="Times New Roman" w:cs="Times New Roman" w:eastAsia="Times New Roman" w:hAnsi="Times New Roman"/>
          <w:sz w:val="18"/>
          <w:szCs w:val="18"/>
          <w:b w:val="1"/>
          <w:bCs w:val="1"/>
          <w:i w:val="1"/>
          <w:iCs w:val="1"/>
          <w:color w:val="auto"/>
        </w:rPr>
        <w:t>Equity Award Shares</w:t>
      </w:r>
      <w:r>
        <w:rPr>
          <w:rFonts w:ascii="Times New Roman" w:cs="Times New Roman" w:eastAsia="Times New Roman" w:hAnsi="Times New Roman"/>
          <w:sz w:val="18"/>
          <w:szCs w:val="18"/>
          <w:color w:val="auto"/>
        </w:rPr>
        <w:t>”), may not Transfer any Lock-up Shares until the end of the Lock-up Period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Notwithstanding the provisions set forth in Section 5.3.1, the Lock-up Holders or their respective Permitted Transferees may Transfer the Lock-up Shares during the Lock-up Period (a) to (i) the Corporation’s officers or directors, (ii) any affiliates or family members of the Corporation’s officers or directors, (iii) any direct or indirect partners, members or equity holders of such Lock-up Holder or any related investment funds or vehicles controlled or managed by such persons or entities or their respective affiliates, or (iv) the other Lock-up Holders or any direct or indirect partners, members or equity holders of the other Lock-up Holders, any affiliates of the other Lock-up Holders or any related investment funds or vehicles controlled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Holder by virtue of the Lock-up Holder’s organizational documents, as amended, upon dissolution of the Lock-up Party; (f) in connection with any bona fide mortgage, encumbrance or pledge to a financial institution in connection with any bona fide loan or debt transaction or enforcement thereunder, including foreclosure thereof; (g) to the Corporation; or (h) in connection with a liquidation, merger, stock exchange, reorganization, tender offer approved by the Board or a duly authorized committee thereof or other similar transaction which results in all of the Corporation’s stockholders having the right to exchange their shares of Class A Common Stock and Class B Common Stock for cash, securities or other property subsequent to the closing date of the Transaction.</w:t>
      </w:r>
    </w:p>
    <w:p>
      <w:pPr>
        <w:spacing w:after="0" w:line="188"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Notwithstanding the other provisions set forth in this Section 5.3, the Board may, in its sole discretion, determine to waive, amend, or repeal the Lock-up obligations set forth herein; provided, that, any such waiver, amendment or repeal of any Lock-up obligations set forth herein shall require, in addition to any other vote of the members of the Board required to take such action pursuant to these Bylaws or applicable law, the affirmative vote of the majority of the independent directors, including at least one of the directors of the Corporation that has been designated pursuant to Section 7.6(a)(ii) of the Merger Agreement, or if no such person is then serving as a director of the Corporation, one of their respective successors.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5.3.4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5.3:</w:t>
      </w:r>
    </w:p>
    <w:p>
      <w:pPr>
        <w:spacing w:after="0" w:line="221" w:lineRule="exact"/>
        <w:rPr>
          <w:sz w:val="20"/>
          <w:szCs w:val="20"/>
          <w:color w:val="auto"/>
        </w:rPr>
      </w:pPr>
    </w:p>
    <w:p>
      <w:pPr>
        <w:ind w:firstLine="987"/>
        <w:spacing w:after="0" w:line="253"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means the period beginning on the closing date of the Transaction and ending on the earlier of (i) the date that is 180 days after the closing date of the Transaction and (ii)(A) for 33.33% of the Lock-up Shares held by each Lock-Up Holder and their respective Permitted Transferees (determined as if, with respect to any Equity Award Shares that are net settled, such Equity Award Shares were instead cash settled), the date on which the last reported sale price of the common stock equals or exceeds $12.50 per share (as adjusted for stock splits, stock dividends, reorganizations, recapitalizations and the like) for any 20 trading days within any 30-trading day period commencing on the later of (x) the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after the closing date of the Transaction and (y) the effectiveness of the Registration Statement (as defined in the Amended and Restated Registration Rights Agreement dated January 7, 2021 by and among the Corporation and the parties thereto (the “</w:t>
      </w:r>
      <w:r>
        <w:rPr>
          <w:rFonts w:ascii="Times New Roman" w:cs="Times New Roman" w:eastAsia="Times New Roman" w:hAnsi="Times New Roman"/>
          <w:sz w:val="18"/>
          <w:szCs w:val="18"/>
          <w:b w:val="1"/>
          <w:bCs w:val="1"/>
          <w:i w:val="1"/>
          <w:iCs w:val="1"/>
          <w:color w:val="auto"/>
        </w:rPr>
        <w:t>RRA</w:t>
      </w:r>
      <w:r>
        <w:rPr>
          <w:rFonts w:ascii="Times New Roman" w:cs="Times New Roman" w:eastAsia="Times New Roman" w:hAnsi="Times New Roman"/>
          <w:sz w:val="18"/>
          <w:szCs w:val="18"/>
          <w:color w:val="auto"/>
        </w:rPr>
        <w:t>”)), and (B) for an additional 50% of the Lock-up Shares held by each Lock-Up Holder and their respective Permitted Transferees (determined as if, with respect to any Equity Award Shares that are net settled, such Equity Award Shares were instead cash settled), the date on which the last reported sale price of the common stock equals or exceeds $15.00 per share (as adjusted for stock splits, stock dividends, reorganizations, recapitalizations and the like) for any 20 trading days within any 30-trading day period commencing on the later of (x) the 31st day after the closing date of the Transaction and (y) the effectiveness of the Registration Statement (as defined in the RRA); provided, that, for the avoidance of doubt, the Lock-up Period for any Lock-up Shares for which the Lock-up Period has not ended on the date that is 180 days after the closing date of the Transaction shall end on such 180th day after the closing date of the Transaction;</w:t>
      </w:r>
    </w:p>
    <w:p>
      <w:pPr>
        <w:spacing w:after="0" w:line="185" w:lineRule="exact"/>
        <w:rPr>
          <w:rFonts w:ascii="Times New Roman" w:cs="Times New Roman" w:eastAsia="Times New Roman" w:hAnsi="Times New Roman"/>
          <w:sz w:val="18"/>
          <w:szCs w:val="18"/>
          <w:color w:val="auto"/>
        </w:rPr>
      </w:pPr>
    </w:p>
    <w:p>
      <w:pPr>
        <w:ind w:firstLine="987"/>
        <w:spacing w:after="0" w:line="26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means the shares of Class B Common Stock held by the Lock-up Holders immediately following the closing of the Transaction and the Equity Award Shares, including, in each case the shares of Class A Common Stock issued or issuable upon conversion of such Class B Common Stock; provided, that, for clarity, shares of Class A Common Stock issued in connection with the Domestication (as defined in the Merger Agreement) or the PIPE Investment (as defined in the Merger Agreement) shall not constitute Lock-up Shares;</w:t>
      </w:r>
    </w:p>
    <w:p>
      <w:pPr>
        <w:spacing w:after="0" w:line="176" w:lineRule="exact"/>
        <w:rPr>
          <w:rFonts w:ascii="Times New Roman" w:cs="Times New Roman" w:eastAsia="Times New Roman" w:hAnsi="Times New Roman"/>
          <w:sz w:val="18"/>
          <w:szCs w:val="18"/>
          <w:color w:val="auto"/>
        </w:rPr>
      </w:pPr>
    </w:p>
    <w:p>
      <w:pPr>
        <w:ind w:right="120" w:firstLine="987"/>
        <w:spacing w:after="0" w:line="26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means, prior to the expiration of the Lock-up Period, any person or entity to whom such Lock-up Holder is permitted to transfer such shares of Class A Common Stock or Class B Common Stock prior to the expiration of the Lock-up Period pursuant to Section 5.3.2; and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51" w:name="page52"/>
    <w:bookmarkEnd w:id="51"/>
    <w:p>
      <w:pPr>
        <w:ind w:left="4" w:right="140" w:firstLine="987"/>
        <w:spacing w:after="0" w:line="274" w:lineRule="auto"/>
        <w:tabs>
          <w:tab w:leader="none" w:pos="12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w:t>
      </w:r>
    </w:p>
    <w:p>
      <w:pPr>
        <w:ind w:left="4" w:right="160" w:hanging="4"/>
        <w:spacing w:after="0" w:line="255"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Other Regulations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law, the Certificate of Incorporation and these Bylaws, the issue, transfer, conversion and registration of shares represented by certificates and of uncertificated shares shall be governed by such other regulations as the Board may establish.</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Each person who was or is made a party to, or is threatened to be made a party to, or is involved in any threatened, pending or completed action, suit or proceeding, whether civil, criminal, administrative, legislative or any other type whatsoever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Advance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in a written indemnification contract between the Corporation and an Indemnitee, the Corporation shall pay all expenses (including attorneys’ fees) incurred by an Indemnitee in defending any Proceeding in advance of its final disposition;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Non-Exclusivity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Indemnification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Right of Indemnitee to Bring Suit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shall apply to the extent not in conflict with any indemnification contract provided for in Section 6.4 of these Bylaws.</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9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Neither the absence of a determination prior to the commencement of such suit that indemnification of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6.7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740" w:firstLine="440"/>
        <w:spacing w:after="0" w:line="266" w:lineRule="auto"/>
        <w:rPr>
          <w:sz w:val="20"/>
          <w:szCs w:val="20"/>
          <w:color w:val="auto"/>
        </w:rPr>
      </w:pPr>
      <w:r>
        <w:rPr>
          <w:rFonts w:ascii="Times New Roman" w:cs="Times New Roman" w:eastAsia="Times New Roman" w:hAnsi="Times New Roman"/>
          <w:sz w:val="18"/>
          <w:szCs w:val="18"/>
          <w:color w:val="auto"/>
        </w:rPr>
        <w:t>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Form and Delivery</w:t>
      </w:r>
      <w:r>
        <w:rPr>
          <w:rFonts w:ascii="Times New Roman" w:cs="Times New Roman" w:eastAsia="Times New Roman" w:hAnsi="Times New Roman"/>
          <w:sz w:val="17"/>
          <w:szCs w:val="17"/>
          <w:color w:val="auto"/>
        </w:rPr>
        <w:t>. Except as otherwise specifically required in these Bylaws (including, without limitation, Section 7.1.2 of these Bylaws) or by applicable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w:t>
      </w:r>
    </w:p>
    <w:p>
      <w:pPr>
        <w:spacing w:after="0" w:line="3" w:lineRule="exact"/>
        <w:rPr>
          <w:sz w:val="20"/>
          <w:szCs w:val="20"/>
          <w:color w:val="auto"/>
        </w:rPr>
      </w:pPr>
    </w:p>
    <w:p>
      <w:pPr>
        <w:ind w:left="4" w:right="300" w:hanging="4"/>
        <w:spacing w:after="0" w:line="252"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8"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Electronic Transmission</w:t>
      </w:r>
      <w:r>
        <w:rPr>
          <w:rFonts w:ascii="Times New Roman" w:cs="Times New Roman" w:eastAsia="Times New Roman" w:hAnsi="Times New Roman"/>
          <w:sz w:val="17"/>
          <w:szCs w:val="17"/>
          <w:color w:val="auto"/>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(2) consecutive notices given by the Corporation in accordance with such consent and</w:t>
      </w:r>
    </w:p>
    <w:p>
      <w:pPr>
        <w:spacing w:after="0" w:line="3" w:lineRule="exact"/>
        <w:rPr>
          <w:sz w:val="20"/>
          <w:szCs w:val="20"/>
          <w:color w:val="auto"/>
        </w:rPr>
      </w:pPr>
    </w:p>
    <w:p>
      <w:pPr>
        <w:ind w:left="4" w:hanging="4"/>
        <w:spacing w:after="0" w:line="270"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74"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Affidavit of Giving Notice</w:t>
      </w:r>
      <w:r>
        <w:rPr>
          <w:rFonts w:ascii="Times New Roman" w:cs="Times New Roman" w:eastAsia="Times New Roman" w:hAnsi="Times New Roman"/>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7.2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INTERESTED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No contract or transaction between the Corporation and one (1) or more of its members of the Board or officers, or between the Corporation and any other corporation, partnership, association or other organization in which one (1)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such director’s or officer’s votes are counted for such purpose, if: (a) the material facts as to such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such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Interested directors may be counted in determining the presence of a quorum at a meeting of the Board or of a committee which authorizes the contract or transaction.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determined by resolution of the Board.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may provide for a corporate seal, which may have the name of the Corporation inscribed thereon and shall otherwise be in such form as may be approved from time to time by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9.3 </w:t>
      </w:r>
      <w:r>
        <w:rPr>
          <w:rFonts w:ascii="Times New Roman" w:cs="Times New Roman" w:eastAsia="Times New Roman" w:hAnsi="Times New Roman"/>
          <w:sz w:val="18"/>
          <w:szCs w:val="18"/>
          <w:b w:val="1"/>
          <w:bCs w:val="1"/>
          <w:u w:val="single" w:color="auto"/>
          <w:color w:val="auto"/>
        </w:rPr>
        <w:t>Form of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records maintained by the Corporation in the regular course of its business, including its stock ledger, books of account and minute books, may be kept on or by means of, or be in the form of any other information storage device or method, electronic or otherwise,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the Certificate of Incorporation and Bylaws, the provisions of the Certificate of Incorporation shall govern.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CERTIFICATION OF BYLAWS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I, Gia Lee, certify that I am Secretary of Clover Health Investments, Corp.,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and that the attached Bylaws are a true and complete copy of the Bylaws of the Corporation in effect as of the date of this certificate.</w:t>
      </w: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January 7,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Gia Lee</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Gia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6" w:right="4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and is qualified by reference to the amended and restated certificate of incorporation (for purposes of this section, the “charter”), the amended and restated bylaws (for purposes of this section, the “bylaws”), the Registration Rights Agreement and the warrant-related documents described herein, which are exhibits to this Report and incorporated by reference herein. We urge to you read each of the charter, the bylaws and the warrant-related documents described herein in their entirety for a complete description of the rights and preferences of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amount of our authorized capital stock consists of:</w:t>
      </w:r>
    </w:p>
    <w:p>
      <w:pPr>
        <w:spacing w:after="0" w:line="131" w:lineRule="exact"/>
        <w:rPr>
          <w:sz w:val="20"/>
          <w:szCs w:val="20"/>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2,500,000,000 shares of our Class A common stock, par value $0.0001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our Class B common stock, par value $0.0001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our preferred stock, par value $0.0001 per share.</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As of January 7, 2021, there were 143,475,108 shares of our Class A common stock, 260,965,701 shares of our Class B common stock and no shares of our preferred stock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Unless our board of directors determines otherwise, all of our capital stock will be issued in uncertificated 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spacing w:after="0" w:line="89" w:lineRule="exact"/>
        <w:rPr>
          <w:sz w:val="20"/>
          <w:szCs w:val="20"/>
          <w:color w:val="auto"/>
        </w:rPr>
      </w:pPr>
    </w:p>
    <w:p>
      <w:pPr>
        <w:ind w:left="960" w:right="600" w:hanging="42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the charter to increase or decrease the par value of a class of our capital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58" w:name="page59"/>
    <w:bookmarkEnd w:id="5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jc w:val="both"/>
        <w:ind w:right="40" w:firstLine="440"/>
        <w:spacing w:after="0" w:line="257"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Once converted into Class A common stock, the Class B common stock will not be reissued. In addition, all the outstanding shares of Class B common stock will convert automatically into one share of Class A common stock upon the earliest of (i) the date that is ten (10) years from the filing date of the charter,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9" w:name="page60"/>
    <w:bookmarkEnd w:id="59"/>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As of January 7, 2021, there were public warrants outstanding to purchase an aggregate of 27,599,938 shares of Class A common stock and private placement warrants outstanding to purchase an aggregate of 10,933,333 shares of Class A common stock. Each whole warrant entitles the registered holder to purchase one whole share of Class A common stock at a price of $11.50 per share, subject to adjustment as discussed below, at any time commencing on April 24, 2021, which is 12 months from the closing of SCH’s initial public offering. The warrants will expire at 5:00 p.m., New York City time, on January 7, 2026, which is the fifth anniversary of the Closing, or earlier upon redemption or liquidation (the “Expiration Date”).</w:t>
      </w:r>
    </w:p>
    <w:p>
      <w:pPr>
        <w:spacing w:after="0" w:line="168"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warrants are issued under a warrant agreement between Continental Stock Transfer &amp; Trust Company, as warrant agent and us. Pursuant to the warrant agreement, a warrant holder may exercise its warrants only for a whole number of shares of Class A common stock. This means that only a whole warrant may be exercised at any given time by a warrant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having satisfied our obligations described below with respect to registration. No public warrant will be exercisable for cash or on a cashless basis, and we will not be obligated to issue shares of Class A common stock upon exercise of a public warrant, unless the issuance of the shares upon such warrant exercise has been registered, qualified or deemed to be exempt under the securities laws of the state of the registered holder of the public warrants. In the event that the conditions 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0" w:name="page61"/>
    <w:bookmarkEnd w:id="60"/>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62"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We agreed that as soon as practicable, but in no event later than 15 business days after the closing of the Business Combination, to use our commercially reasonable efforts to file with the SEC a registration statement for the registration, under the Securities Act, of the shares of Class A common stock issuable upon exercise of the public warrants. We will use our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qualify the shares under applicable blue sky laws to the extent an exemption is not available.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Once the public warrants become exercisable, we may call the public warrants for redemption:</w:t>
      </w:r>
    </w:p>
    <w:p>
      <w:pPr>
        <w:spacing w:after="0" w:line="131"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the Class A common stock for any 20 trading days within a 30-trading day period ending on the third trading day prior to the date on which we send the notice of redemption to the warrant holders (the “Reference Value”) equals or exceeds $18.00 per share (as adjusted for share splits, share dividends, rights issuances, subdivisions, reorganizations, recapitalizations and the like).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its public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Common Stock.</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Once the public warrants become exercisable, we may redeem the outstanding public warrants:</w:t>
      </w:r>
    </w:p>
    <w:p>
      <w:pPr>
        <w:spacing w:after="0" w:line="131"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our Class A common stock except as otherwise described below;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1" w:name="page62"/>
    <w:bookmarkEnd w:id="61"/>
    <w:p>
      <w:pPr>
        <w:ind w:left="960" w:right="500" w:hanging="424"/>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and only if, the Reference Value equals or exceeds $10.00 per share (as adjusted for share splits, share dividends, rights issuances, subdivisions, reorganizations, recapitalizations and the like); and</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shares of Class A common stock that a warrant holder will receive upon redemption by us pursuant to this redemption feature, based on the “fair market value” of Class A common stock on the corresponding redemption date (assuming holders elect to exercise their warrants and such warrants are not redeemed for $0.10 per warrant), determined based on the volume weighted average price of for the 10 trading days ending on the third trading day prior to the date on which the notice of redemption is sent to the holders of the public warrants, and the number of months that the corresponding redemption date precedes the expiration date of the public warrants, each as set forth in the table below. We will provide our warrant holders with the final fair market value no later than one business day after the 10-trading day period described above ends.</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stock prices set forth in the column headings of the table below will be adjusted as of any date on which the number of shares issuable upon exercise of a warrant is adjusted as set forth in the first four paragraphs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 below shall be adjusted in the same manner and at the same time as the number of shares issuable upon exercise of a public warrant.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2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320" w:type="dxa"/>
            <w:vAlign w:val="bottom"/>
            <w:gridSpan w:val="7"/>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Redemption Fair Market Value of Class A Common Stock</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(period to expiration of warrants)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b w:val="1"/>
                <w:bCs w:val="1"/>
                <w:color w:val="auto"/>
                <w:w w:val="96"/>
              </w:rPr>
              <w:t>10.00</w:t>
            </w:r>
          </w:p>
        </w:tc>
        <w:tc>
          <w:tcPr>
            <w:tcW w:w="62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b w:val="1"/>
                <w:bCs w:val="1"/>
                <w:color w:val="auto"/>
              </w:rPr>
              <w:t>11.00</w:t>
            </w:r>
          </w:p>
        </w:tc>
        <w:tc>
          <w:tcPr>
            <w:tcW w:w="6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12.00</w:t>
            </w:r>
          </w:p>
        </w:tc>
        <w:tc>
          <w:tcPr>
            <w:tcW w:w="6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13.00</w:t>
            </w:r>
          </w:p>
        </w:tc>
        <w:tc>
          <w:tcPr>
            <w:tcW w:w="6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14.00</w:t>
            </w:r>
          </w:p>
        </w:tc>
        <w:tc>
          <w:tcPr>
            <w:tcW w:w="6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15.00</w:t>
            </w:r>
          </w:p>
        </w:tc>
        <w:tc>
          <w:tcPr>
            <w:tcW w:w="6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16.00</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17.00</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18.00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0.261</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0.246</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0.241</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0.235</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0.228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0.328</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0.221</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0.269</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0.309</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0.213</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0.205</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0.196</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0.185</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0.173</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0.204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0.308</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0.161</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0.146</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0.130</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0.111</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0.181</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0.090</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0.125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0.199</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0.272</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0.065</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0.178</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0.259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2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0.034</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0.104</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0.150</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 months</w:t>
            </w:r>
          </w:p>
        </w:tc>
        <w:tc>
          <w:tcPr>
            <w:tcW w:w="14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0.042</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346"/>
        </w:trPr>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2" w:name="page63"/>
    <w:bookmarkEnd w:id="62"/>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“fair market value” of our Class A common stock shall mean the volume weighted average price of our Class A common stock for the 10 trading days ending on the third trading day prior to the date on which the notice of redemption is sent to the holders of public warrants.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public warrants is $11.00 per share, and at such time there are 60 months until the expiration of the public warrants, we may choose to, pursuant to this redemption feature, redeem the public warrants at a “redemption price” of 0.280 shares of Class A common stock for each whole public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Class A common stock for each whole public warrant. In no event will the warrants be exercisable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common stock.</w:t>
      </w:r>
    </w:p>
    <w:p>
      <w:pPr>
        <w:spacing w:after="0" w:line="19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public warrants to be redeemed when the shares of Class A common stock are trading at or above $10.00 per share, which may be at a time when the trading price of our Class A common stock is below the exercise price of the public warrants. We have established this redemption feature to provide us with the flexibility to redeem the warrants without the warrants having to reach the $18.00 per share threshold set forth above under “—</w:t>
      </w:r>
      <w:r>
        <w:rPr>
          <w:rFonts w:ascii="Times New Roman" w:cs="Times New Roman" w:eastAsia="Times New Roman" w:hAnsi="Times New Roman"/>
          <w:sz w:val="18"/>
          <w:szCs w:val="18"/>
          <w:i w:val="1"/>
          <w:iCs w:val="1"/>
          <w:color w:val="auto"/>
        </w:rPr>
        <w:t>Redemption of Warrants for Cash</w:t>
      </w:r>
      <w:r>
        <w:rPr>
          <w:rFonts w:ascii="Times New Roman" w:cs="Times New Roman" w:eastAsia="Times New Roman" w:hAnsi="Times New Roman"/>
          <w:sz w:val="18"/>
          <w:szCs w:val="18"/>
          <w:color w:val="auto"/>
        </w:rPr>
        <w:t>.” Holders choosing to exercise their warrants in connection with a redemption pursuant to this feature will, in effect, receive a number of shares for their warrants based on an option pricing model with a fixed volatility input as of April 20,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Class A common stock is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is trading at a price below the exercise price of the warrants, this could result in the warrant holders receiving fewer Class A common stock than they would have received if they had chosen to wait to exercise their warrants for Class A common stock if and when such Class A ordinary shares were trading at a price higher than the exercise price of $11.50.</w:t>
      </w:r>
    </w:p>
    <w:p>
      <w:pPr>
        <w:spacing w:after="0" w:line="187"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Procedures</w:t>
      </w:r>
    </w:p>
    <w:p>
      <w:pPr>
        <w:spacing w:after="0" w:line="11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common stock issued and outstanding immediately after giving effect to such exercise.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19"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If the number of issued and outstanding Class A common stock is increased by a capitalization or stock dividend payable in shares of Class A common stock, or by a split-up of shares of Class A common stock or other similar event, then, on the effective date of such capitalization or stock dividend, split-up or similar event, the number of shares of Class A common stock issuable on exercise of each warrant will be increased in proportion to such increase in the issued and outstanding shares of Class A common stock. A rights offering to holders of Class A common stock entitling holders to purchase shares of Class A common stock at a price less than the “historical fair market value” (as defined below)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w:t>
      </w:r>
    </w:p>
    <w:p>
      <w:pPr>
        <w:spacing w:after="0" w:line="2" w:lineRule="exact"/>
        <w:rPr>
          <w:sz w:val="20"/>
          <w:szCs w:val="20"/>
          <w:color w:val="auto"/>
        </w:rPr>
      </w:pPr>
    </w:p>
    <w:p>
      <w:pPr>
        <w:ind w:left="4" w:right="120" w:hanging="4"/>
        <w:spacing w:after="0" w:line="252"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and (y) the historical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“historical fair market value” means the volume weighted average price of Class A common stock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9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or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w:t>
      </w:r>
    </w:p>
    <w:p>
      <w:pPr>
        <w:spacing w:after="0" w:line="18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issued and outstanding shares of Class A common stock.</w:t>
      </w:r>
    </w:p>
    <w:p>
      <w:pPr>
        <w:spacing w:after="0" w:line="180" w:lineRule="exact"/>
        <w:rPr>
          <w:sz w:val="20"/>
          <w:szCs w:val="20"/>
          <w:color w:val="auto"/>
        </w:rPr>
      </w:pPr>
    </w:p>
    <w:p>
      <w:pPr>
        <w:ind w:left="4" w:right="240" w:firstLine="440"/>
        <w:spacing w:after="0" w:line="281" w:lineRule="auto"/>
        <w:rPr>
          <w:sz w:val="20"/>
          <w:szCs w:val="20"/>
          <w:color w:val="auto"/>
        </w:rPr>
      </w:pPr>
      <w:r>
        <w:rPr>
          <w:rFonts w:ascii="Times New Roman" w:cs="Times New Roman" w:eastAsia="Times New Roman" w:hAnsi="Times New Roman"/>
          <w:sz w:val="17"/>
          <w:szCs w:val="17"/>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64"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shares of Class A common stock (other than those described above or that solely affects the par value of such shares of Class A common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8" w:right="479" w:bottom="1440" w:gutter="0" w:footer="0" w:header="0"/>
        </w:sectPr>
      </w:pPr>
    </w:p>
    <w:bookmarkStart w:id="64" w:name="page65"/>
    <w:bookmarkEnd w:id="6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20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You should review a copy of the warrant agreement, which is included as Exhibit 4.1 to this Report of which this section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Class A common stock and any voting rights until they exercise their public warrants and receive Class A common stock. After the issuance of shares of Class A common stock upon exercise of the public warrants, each holder will be entitled to one (1) vote for each share held of record on all matters to be voted on by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Private Placement Warrants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transferable, assignable or salable until 30 days after the Closing Date (except, among other limited exceptions, to persons or entities affiliated with our sponsor) and they will not be redeemable by us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w:t>
      </w:r>
    </w:p>
    <w:p>
      <w:pPr>
        <w:spacing w:after="0" w:line="18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Except as described under “—</w:t>
      </w:r>
      <w:r>
        <w:rPr>
          <w:rFonts w:ascii="Times New Roman" w:cs="Times New Roman" w:eastAsia="Times New Roman" w:hAnsi="Times New Roman"/>
          <w:sz w:val="18"/>
          <w:szCs w:val="18"/>
          <w:i w:val="1"/>
          <w:iCs w:val="1"/>
          <w:color w:val="auto"/>
        </w:rPr>
        <w:t>Public Warrants—Redemption of Warrants for Class A Common Stock</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Class Common Stock</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charter provides that any action required or permitted to be taken by our stockholders must be effected at an annual or special meeting of the stockholders, and may not be taken by written consent in lieu of a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tend to discourage a third-party from making a tender offer or otherwise attempting to obtain control of the Company, because it generally makes it more difficult for stockholders to replace a majority of the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Lock-Up Restrictions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and the bylaws, subject to certain exceptions, the Sponsor and the former Clover stockholders are contractually restricted from selling or transferring any of their shares of common stock (not including any PIPE Shares issued in the PIPE Investment) (the “Lock-up Shares”). Such restrictions began at Closing and end on the earlier of (i) the date that is 180 days after Closing and (ii)(a) for 33.33% of the Lock-up Shares, the date on which the last reported sale price of our Class A common stock equals or exceeds $12.50 per share for any 20 trading days within any 30-trading day period commencing at least 31 days after Closing and (b) for an additional 50% of the Lock-up Shares, the date on which the last reported sale price of our Class A common stock equals or exceeds $15.00 per share for any 20 trading days within any 30-trading day period commencing at least 31 days after Closing.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 we agreed to file a registration statement covering the founder shares and private placement warrants (including the shares of Class A common stock issuable upon exercise of the private placement warrants) held by the Sponsor and its permitted transferees and certain stockholders of ours immediately following the Closing (not including the shares of our Class A common stock issued in the PIPE Investment pursuant to the terms of the Subscription Agreements) and to provide the Sponsor and its permitted transferees and certain stockholders of ours immediately following the Closing (not including the shares of our Class A common stock issued in the PIPE Investment pursuant to the terms of the Subscription Agreements) with certain other registration rights, including, among other things, customary “demand” and “piggyback” registration rights, with respect to their shares of Class A common stock, subject to certain requirements and customary conditions.</w:t>
      </w:r>
    </w:p>
    <w:p>
      <w:pPr>
        <w:spacing w:after="0" w:line="187"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also agreed pursuant to the warrant agreement to file a registration statement covering the shares of Class A common stock issuable upon exercise of the warrants.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The transfer agent, warrant agent and registrar for our Class A common stock and warrants is Continental Stock Transfer &amp; Trust Company. The transfer agent, warrant agent and registrar’s telephone number and address is (212) 509-4000 and 1 State Street, 30th Floor, New York, NY 10004.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Class A common stock and warrants are listed on the Nasdaq Global Select Market under the symbols “CLOV” and “CLOVW,” respectively.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January 7, 2021, is made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by and among Clover Health Investments,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Social Capital Hedosophia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Corp. III, a Cayman Islands exempted company limited by shares prior to its domestication as a Delaware corporation), SCH Sponsor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Cayman Islands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certain stockholders of Clover Health Investments, Corp., a Delaware corporation (“</w:t>
      </w:r>
      <w:r>
        <w:rPr>
          <w:rFonts w:ascii="Times New Roman" w:cs="Times New Roman" w:eastAsia="Times New Roman" w:hAnsi="Times New Roman"/>
          <w:sz w:val="18"/>
          <w:szCs w:val="18"/>
          <w:b w:val="1"/>
          <w:bCs w:val="1"/>
          <w:i w:val="1"/>
          <w:iCs w:val="1"/>
          <w:color w:val="auto"/>
        </w:rPr>
        <w:t>CHI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on Schedule 1 hereto (such stockholders, the “</w:t>
      </w:r>
      <w:r>
        <w:rPr>
          <w:rFonts w:ascii="Times New Roman" w:cs="Times New Roman" w:eastAsia="Times New Roman" w:hAnsi="Times New Roman"/>
          <w:sz w:val="18"/>
          <w:szCs w:val="18"/>
          <w:b w:val="1"/>
          <w:bCs w:val="1"/>
          <w:i w:val="1"/>
          <w:iCs w:val="1"/>
          <w:color w:val="auto"/>
        </w:rPr>
        <w:t>CHI Holders</w:t>
      </w:r>
      <w:r>
        <w:rPr>
          <w:rFonts w:ascii="Times New Roman" w:cs="Times New Roman" w:eastAsia="Times New Roman" w:hAnsi="Times New Roman"/>
          <w:sz w:val="18"/>
          <w:szCs w:val="18"/>
          <w:color w:val="auto"/>
        </w:rPr>
        <w:t>”), Dr. James Ryans, Jacqueline Reses (together with Dr. James Ryans,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 Holders</w:t>
      </w:r>
      <w:r>
        <w:rPr>
          <w:rFonts w:ascii="Times New Roman" w:cs="Times New Roman" w:eastAsia="Times New Roman" w:hAnsi="Times New Roman"/>
          <w:sz w:val="18"/>
          <w:szCs w:val="18"/>
          <w:color w:val="auto"/>
        </w:rPr>
        <w:t>”) and Jacqueline Reses, Hedosophia Public Investments Limited, a Guernsey limited company, The Bain Revocable Trust DTD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4/3/13, a California corporation, and ChaChaCha SPAC C, LLC, a Delaware limited liability company (collectively, the “</w:t>
      </w:r>
      <w:r>
        <w:rPr>
          <w:rFonts w:ascii="Times New Roman" w:cs="Times New Roman" w:eastAsia="Times New Roman" w:hAnsi="Times New Roman"/>
          <w:sz w:val="18"/>
          <w:szCs w:val="18"/>
          <w:b w:val="1"/>
          <w:bCs w:val="1"/>
          <w:i w:val="1"/>
          <w:iCs w:val="1"/>
          <w:color w:val="auto"/>
        </w:rPr>
        <w:t>Investor Stockholders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with the Sponsor, the CHI Holders, the Director Holders and any person or entity who hereafter becomes a party to this Agreement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Sponsor and the Director Holders are party to that certain Registration Rights Agreement, dated as of April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(the “</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that certain Agreement and Plan of Merger, dated as of October 5, 2020, (as it may be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CHI and the other parties thereto;</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pursuant to the Merger Agreement, the CHI Holders received shares of Class B common stock,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of the Company, which is convertible into shares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the Company;</w:t>
      </w:r>
    </w:p>
    <w:p>
      <w:pPr>
        <w:spacing w:after="0" w:line="1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the date hereof, certain of the CHI Holders were granted equity securities covering shares of Class B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CHI’s 2014 Equity Incentive Plan (the “</w:t>
      </w:r>
      <w:r>
        <w:rPr>
          <w:rFonts w:ascii="Times New Roman" w:cs="Times New Roman" w:eastAsia="Times New Roman" w:hAnsi="Times New Roman"/>
          <w:sz w:val="18"/>
          <w:szCs w:val="18"/>
          <w:b w:val="1"/>
          <w:bCs w:val="1"/>
          <w:i w:val="1"/>
          <w:iCs w:val="1"/>
          <w:color w:val="auto"/>
        </w:rPr>
        <w:t>Prior Plan Awards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certain of the CHI Holders were granted equity securities covering shares of Class B Common Stock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Management Incentive Plan (the “</w:t>
      </w:r>
      <w:r>
        <w:rPr>
          <w:rFonts w:ascii="Times New Roman" w:cs="Times New Roman" w:eastAsia="Times New Roman" w:hAnsi="Times New Roman"/>
          <w:sz w:val="18"/>
          <w:szCs w:val="18"/>
          <w:b w:val="1"/>
          <w:bCs w:val="1"/>
          <w:i w:val="1"/>
          <w:iCs w:val="1"/>
          <w:color w:val="auto"/>
        </w:rPr>
        <w:t>MIP Awards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the Investor Stockholders and certain other investors (such other investors, collectively, the “</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Investor Stockholders</w:t>
      </w:r>
      <w:r>
        <w:rPr>
          <w:rFonts w:ascii="Times New Roman" w:cs="Times New Roman" w:eastAsia="Times New Roman" w:hAnsi="Times New Roman"/>
          <w:sz w:val="18"/>
          <w:szCs w:val="18"/>
          <w:color w:val="auto"/>
        </w:rPr>
        <w:t>”) purchased shares of Class A Common Stock (the “</w:t>
      </w:r>
      <w:r>
        <w:rPr>
          <w:rFonts w:ascii="Times New Roman" w:cs="Times New Roman" w:eastAsia="Times New Roman" w:hAnsi="Times New Roman"/>
          <w:sz w:val="18"/>
          <w:szCs w:val="18"/>
          <w:b w:val="1"/>
          <w:bCs w:val="1"/>
          <w:i w:val="1"/>
          <w:iCs w:val="1"/>
          <w:color w:val="auto"/>
        </w:rPr>
        <w:t>Investor Shares</w:t>
      </w:r>
      <w:r>
        <w:rPr>
          <w:rFonts w:ascii="Times New Roman" w:cs="Times New Roman" w:eastAsia="Times New Roman" w:hAnsi="Times New Roman"/>
          <w:sz w:val="18"/>
          <w:szCs w:val="18"/>
          <w:color w:val="auto"/>
        </w:rPr>
        <w:t>”) in a transaction exempt from registration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pursuant to the respective Subscription Agreement, each dated as of October 5, 2020, entered into by and between the Company and each of the Investor Stockholders and Third Party Investor Stockholders (each, a “</w:t>
      </w:r>
      <w:r>
        <w:rPr>
          <w:rFonts w:ascii="Times New Roman" w:cs="Times New Roman" w:eastAsia="Times New Roman" w:hAnsi="Times New Roman"/>
          <w:sz w:val="18"/>
          <w:szCs w:val="18"/>
          <w:b w:val="1"/>
          <w:bCs w:val="1"/>
          <w:i w:val="1"/>
          <w:iCs w:val="1"/>
          <w:color w:val="auto"/>
        </w:rPr>
        <w:t>Subscription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5.5 of the Original RRA, the provisions, covenants and conditions set forth therein may be amended or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written consent of the Company and the Holders (as defined in the Original RRA) of at least a majority-in-interest of the Registrable Securities (as defined in the Original RRA) at the time in question, and the Sponsor and the Director Holders are Holders in the aggregate of at least a majority-in-interest of the Registrable Securities as of the date hereof; and</w:t>
      </w:r>
    </w:p>
    <w:p>
      <w:pPr>
        <w:spacing w:after="0" w:line="176"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Sponsor and the Director Holders desire to amend and restate the Original RRA in its entirety and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which the Company shall grant the Holders certain registration rights with respect to certain securities of the Company, as set forth in this Agreement.</w:t>
      </w:r>
    </w:p>
    <w:p>
      <w:pPr>
        <w:sectPr>
          <w:pgSz w:w="11900" w:h="16838" w:orient="portrait"/>
          <w:cols w:equalWidth="0" w:num="1">
            <w:col w:w="11020"/>
          </w:cols>
          <w:pgMar w:left="440" w:top="266" w:right="439" w:bottom="1440" w:gutter="0" w:footer="0" w:header="0"/>
        </w:sectPr>
      </w:pPr>
    </w:p>
    <w:bookmarkStart w:id="69" w:name="page70"/>
    <w:bookmarkEnd w:id="69"/>
    <w:p>
      <w:pPr>
        <w:jc w:val="both"/>
        <w:ind w:right="1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defined in this</w:t>
      </w:r>
      <w:r>
        <w:rPr>
          <w:rFonts w:ascii="Times New Roman" w:cs="Times New Roman" w:eastAsia="Times New Roman" w:hAnsi="Times New Roman"/>
          <w:sz w:val="17"/>
          <w:szCs w:val="17"/>
          <w:u w:val="single" w:color="auto"/>
          <w:color w:val="auto"/>
        </w:rPr>
        <w:t xml:space="preserve"> Article I </w:t>
      </w:r>
      <w:r>
        <w:rPr>
          <w:rFonts w:ascii="Times New Roman" w:cs="Times New Roman" w:eastAsia="Times New Roman" w:hAnsi="Times New Roman"/>
          <w:sz w:val="17"/>
          <w:szCs w:val="17"/>
          <w:color w:val="auto"/>
        </w:rPr>
        <w:t>shall, for all purposes of this Agreement, have the respective meanings set forth below:</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the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CHI</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CHI 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right="9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 hereto and includes the Company’s successors by recapitalization, merger, consolidation, spin-off, reorganization or similar transaction.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70" w:name="page71"/>
    <w:bookmarkEnd w:id="70"/>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Director Holders</w:t>
      </w:r>
      <w:r>
        <w:rPr>
          <w:rFonts w:ascii="Times New Roman" w:cs="Times New Roman" w:eastAsia="Times New Roman" w:hAnsi="Times New Roman"/>
          <w:sz w:val="18"/>
          <w:szCs w:val="18"/>
          <w:color w:val="auto"/>
        </w:rPr>
        <w:t>” shall have the meaning given in the Preamble hereto.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shall mean the Company’s 2020 Employee Stock Purchase Plan, as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 hereto, for so long as such person or entity holds any Registrable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IEP Awards</w:t>
      </w:r>
      <w:r>
        <w:rPr>
          <w:rFonts w:ascii="Times New Roman" w:cs="Times New Roman" w:eastAsia="Times New Roman" w:hAnsi="Times New Roman"/>
          <w:sz w:val="18"/>
          <w:szCs w:val="18"/>
          <w:color w:val="auto"/>
        </w:rPr>
        <w:t>” means any equity securities covering shares of Class A Common Stock granted pursuant to the Incentive Equity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Equity Plan</w:t>
      </w:r>
      <w:r>
        <w:rPr>
          <w:rFonts w:ascii="Times New Roman" w:cs="Times New Roman" w:eastAsia="Times New Roman" w:hAnsi="Times New Roman"/>
          <w:sz w:val="18"/>
          <w:szCs w:val="18"/>
          <w:color w:val="auto"/>
        </w:rPr>
        <w:t>” shall mean the Company’s 2020 Equity Incentive Plan, as amended from time to time.</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shall mean that certain letter agreement, dated as of April 21, 2020, by and among Company, the Sponsor and each of the other parties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Stockholders</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Parties</w:t>
      </w:r>
      <w:r>
        <w:rPr>
          <w:rFonts w:ascii="Times New Roman" w:cs="Times New Roman" w:eastAsia="Times New Roman" w:hAnsi="Times New Roman"/>
          <w:sz w:val="18"/>
          <w:szCs w:val="18"/>
          <w:color w:val="auto"/>
        </w:rPr>
        <w:t>” shall mean Sponsor and its Affiliates, the CHI Holders and their respective Permitted Transferees.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shall mean the period beginning on the Closing Date and ending on the earlier of (i) date that is 180 days after the Closing Date and (ii)(a) for 33.33% of the Lock-up Shares held by each Lock-up Party and their respective Permitted Transferees (determined as if, with respect to any Prior Plan Awards, MIP Awards or IEP Awards that are net settled, such Prior Plan Awards, MIP Awards or IEP Awards were instead cash settled), the date on which the last reported sale price of Class A Common Stock equals or exceeds $12.50 per share (as adjusted for stock splits, stock dividends, reorganizations, recapitalizations and the like) for any 20 trading days within any 30-trading day period commencing on the later of (x) the 31st day after Closing Date and (y) the effectiveness of the Registration Statement, and (b) for an additional 50.00% of the Lock-up Shares held by each Lock-up Party and their respective Permitted Transferees (determined as if, with respect to any Prior Plan Awards, MIP Awards or IEP Awards that are net settled, such Prior Plan Awards, MIP Awards or IEP Awards were instead cash settled), the date on which the last reported sale price of Class A Common Stock equals or exceeds $15.00 per share (as adjusted for stock splits, stock dividends, reorganizations, recapitalizations and the like) for any 20 trading days within any 30-trading day period commencing on the later of (x) the 31st day after Closing Date and (y) the effectiveness of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Lock-up Period for any Lock-up Shares for which the Lock-up Period has not ended on the date that is 180 days after the Closing Date shall end on such 180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the Closing Date.</w:t>
      </w:r>
    </w:p>
    <w:p>
      <w:pPr>
        <w:spacing w:after="0" w:line="190"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shall mean, with respect to (i) the Sponsor, its Affiliates and their Permitted Transferees, the shares of Class A Common Stock or Class B Common Stock held by the Sponsor, its Affiliates or their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1" w:name="page72"/>
    <w:bookmarkEnd w:id="71"/>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Permitted Transferees immediately following the Closing (other than the Investor Shares or shares of Class A common stock acquired in the public market) and (ii) the CHI Holders and their respective Permitted Transferees, (a) the shares of Class A Common Stock or Class B Common Stock held by such CHI Holder immediately following the Closing (other than the Investor Shares or shares of Class A common stock acquired in the public market),</w:t>
      </w:r>
    </w:p>
    <w:p>
      <w:pPr>
        <w:spacing w:after="0" w:line="2" w:lineRule="exact"/>
        <w:rPr>
          <w:sz w:val="20"/>
          <w:szCs w:val="20"/>
          <w:color w:val="auto"/>
        </w:rPr>
      </w:pPr>
    </w:p>
    <w:p>
      <w:pPr>
        <w:ind w:left="4" w:right="220" w:hanging="4"/>
        <w:spacing w:after="0" w:line="253"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issuable under the MIP Awards, and any shares of Class A Common Stock issuable upon conversion of such Class B Common Stock, (c) the shares of Class A Common Stock issuable under the Incentive Equity Plan or the ESPP and (d) the shares of Class B Common Stock issuable under the Prior Plan Awards, and any shares of Class A Common Stock issuable upon conversion of such Class B Common Stock.</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 Awards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 with respect to the Sponsor and its Affiliates, any CHI Holder and their respective Permitted Transferees,</w:t>
      </w:r>
    </w:p>
    <w:p>
      <w:pPr>
        <w:spacing w:after="0" w:line="31" w:lineRule="exact"/>
        <w:rPr>
          <w:sz w:val="20"/>
          <w:szCs w:val="20"/>
          <w:color w:val="auto"/>
        </w:rPr>
      </w:pPr>
    </w:p>
    <w:p>
      <w:pPr>
        <w:ind w:left="4" w:right="20" w:hanging="4"/>
        <w:spacing w:after="0" w:line="252"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of the Lock-up Period, any person or entity to whom such Holder is permitted to transfer such Registrable Securities prior to the expiration of the Lock-up Period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(ii) after the expiration of the Lock-up Period, any person or entity to whom such Holder is permitted to transfer such Registrable Securities, subject to and in accordance with any applicable agreement between such Holder and/or their respective Permitted Transferees and the Company and any transferee thereafter, and (b) with respect to all other Holders and their respective Permitted Transferees, any person or entity to whom such Holder of Registrable Securities is permitted to transfer such Registrable Securities, subject to and in accordance with any applicable agreement between such Holder and/or their respective Permitted Transferees and the Company and any transferee thereafter.</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“Prior Plan Awards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shall mean (a) any outstanding shares of Class A Common Stock, any shares of Class A Common Stock issuable upon conversion of outstanding Class B Common Stock or any other equity security (including warrants to purchase shares of Class A Common Stock and shares of Class A Common Stock issued or issuable upon the exercise of any other equity security) of the Company held by a Holder immediately following the Closing (including any securities distributable pursuant to the Merger Agreement and any Investor Shares); (b) any outstanding shares of Class A Common Stock, any shares of Class A Common Stock issuable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2" w:name="page73"/>
    <w:bookmarkEnd w:id="72"/>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conversion of outstanding Class B Common Stock or any other equity security (including warrants to purchase shares of Class A Common Stock and shares of Class A Common Stock issued or issuable upon the exercise of any other equity security) of the Company acquired by a Holder following the date hereof to the extent that such securities are “restricted securities” (as defined in Rule 144) or are otherwise held by an “affiliate” (as defined in Rule 144) of the Company; (c) any Additional Holder Common Stock; (d) any shares of Class A Common Stock issuable upon conversion of the shares of Class B Common Stock that are subject to the Prior Plan Awards to the extent that such securities are “restricted securities” (as defined in Rule 144) or are otherwise held by an “affiliate” (as defined in Rule 144) of the Company; (e) any shares of Class A Common Stock issuable upon conversion of the shares of Class B Common Stock that are subject to the MIP Awards to the extent that such securities are “restricted securities” (as defined in Rule</w:t>
      </w:r>
    </w:p>
    <w:p>
      <w:pPr>
        <w:spacing w:after="0" w:line="2" w:lineRule="exact"/>
        <w:rPr>
          <w:sz w:val="20"/>
          <w:szCs w:val="20"/>
          <w:color w:val="auto"/>
        </w:rPr>
      </w:pPr>
    </w:p>
    <w:p>
      <w:pPr>
        <w:ind w:left="384" w:hanging="384"/>
        <w:spacing w:after="0"/>
        <w:tabs>
          <w:tab w:leader="none" w:pos="3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are otherwise held by an “affiliate” (as defined in Rule 144) of the Company; and (f) any other equity security of the Company or any of its</w:t>
      </w:r>
    </w:p>
    <w:p>
      <w:pPr>
        <w:spacing w:after="0" w:line="9"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subsidiaries issued or issuable with respect to any securities referenced in clause (a), (b), (c), (d) or (e) above by way of a stock dividend or stock split or in connection with a recapitalization, merger, consolidation, spin-off,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w:t>
      </w:r>
    </w:p>
    <w:p>
      <w:pPr>
        <w:spacing w:after="0" w:line="1"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by the holder thereof without registration pursuant to Rule 144 or any successor rule promulgated under the Securities Act (but with no volume or other restrictions or limitations including as to manner or timing of sale), if such holder then holds less than 5% of the Company’s outstanding Class A Common Stock on an as-converted basis; (E) such securities have been sold without registration pursuant to Section 4(a)(1) of the Securities Act or Rule 145 promulgated under the Securities Act or any successor rules promulgated under the Securities Act; and (F) such securities have been sold to, or through, a broker, dealer or underwriter in a public distribution or other public securities transaction.</w:t>
      </w:r>
    </w:p>
    <w:p>
      <w:pPr>
        <w:spacing w:after="0" w:line="190" w:lineRule="exact"/>
        <w:rPr>
          <w:sz w:val="20"/>
          <w:szCs w:val="20"/>
          <w:color w:val="auto"/>
        </w:rPr>
      </w:pPr>
    </w:p>
    <w:p>
      <w:pPr>
        <w:jc w:val="both"/>
        <w:ind w:left="4"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documented, out-of-pocket expenses of a Registration, including, without limitation, the following:</w:t>
      </w:r>
    </w:p>
    <w:p>
      <w:pPr>
        <w:spacing w:after="0" w:line="121" w:lineRule="exact"/>
        <w:rPr>
          <w:sz w:val="20"/>
          <w:szCs w:val="20"/>
          <w:color w:val="auto"/>
        </w:rPr>
      </w:pPr>
    </w:p>
    <w:p>
      <w:pPr>
        <w:ind w:left="4" w:right="180" w:firstLine="436"/>
        <w:spacing w:after="0" w:line="282" w:lineRule="auto"/>
        <w:tabs>
          <w:tab w:leader="none" w:pos="8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national securities exchange on which the Class A Common Stock is then listed;</w:t>
      </w:r>
    </w:p>
    <w:p>
      <w:pPr>
        <w:spacing w:after="0" w:line="161"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8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864" w:hanging="424"/>
        <w:spacing w:after="0"/>
        <w:tabs>
          <w:tab w:leader="none" w:pos="8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864" w:hanging="424"/>
        <w:spacing w:after="0"/>
        <w:tabs>
          <w:tab w:leader="none" w:pos="8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8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Underwritten Offering or Other Coordinated Offering, reasonable fees and expenses of one (1) legal counsel selected by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majority-in-interest of the Demanding Holders.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73" w:name="page74"/>
    <w:bookmarkEnd w:id="73"/>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shall mean an Underwritten Shelf Takedown or any proposed transfer or sale using a Registration Statement, including a Piggyback Registration.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 Investor Stockholders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 AND OFFERINGS</w:t>
      </w:r>
    </w:p>
    <w:p>
      <w:pPr>
        <w:spacing w:after="0" w:line="22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As soon as practicable but no later than forty-five (45) calendar days following the Closing Date, the Company shall submit to or file with the Commission a Registration Statement for a Shelf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a Registration Statement for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calendar day following the filing date thereof if the Commission notifies the Company that it will “review” the Registration Statement and (b)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for the avoidance of doubt,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Additional Registrable Securities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the event that any Holder holds Registrable Securities that are not registered for resale on a delayed or continuous basis, the Company, upon written request of the Sponsor, a CHI Holder, an Investor Stockholder or a Director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each of the Sponsor, the CHI Holders, the Investor Stockholders and the Director 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5" w:name="page76"/>
    <w:bookmarkEnd w:id="75"/>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at any time and from time to time when an effective Shelf is on file with the Commission, the Sponsor, an Investor Stockholder or a CHI Holder (any of the Sponsor, an Investor Stockholder or a CHI Holder being in such case,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$100 million (the “</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All requests for Underwritten Shelf Takedowns shall be made by giving written notice to the Company, which shall specify the approximate number of Registrable Securities proposed to be sold in the Underwritten Shelf Takedown. Subject to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 xml:space="preserve">,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Sponsor, an Investor Stockholder and a CHI Holder may each demand not more than two (2)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 any twelve (12) month period. Notwithstanding anything to the contrary in this Agreement, the Company may effect any Underwritten Offering pursuant to any then effective Registration Statement, including a Form S-3, that is then available for such offering.</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Class A Common Stock or other equity securities that the Company desires to sell and all other shares of Class A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before including any shares of Class A Common Stock or other equity securities proposed to be sold by Company or by other holders of Class A Common Stock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w:t>
      </w:r>
    </w:p>
    <w:p>
      <w:pPr>
        <w:spacing w:after="0" w:line="19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Sponsor, an Investor Stockholder or a CHI Holder may elect to have the Company continue an Underwritten Shelf Takedown if the Minimum Takedown Threshold would still be satisfied by the Registrable Securities proposed to be sold in the Underwritten Shelf Takedown by the Sponsor, the Investor Stockholders, the CHI Holders or any of their respective Permitted Transferees,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unless either (i) such Demanding Holder has not previously withdrawn any Underwritten Shelf Takedown or (ii) such Demanding Holder reimburses the Company for all Registration Expenses with respect to such Underwritten Shelf Takedown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76" w:name="page77"/>
    <w:bookmarkEnd w:id="7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Sponsor, an Investor Stockholder or a CHI Holder elects to continue an Underwritten Shelf Takedown pursuant to the proviso in the immediately preceding sentence, such Underwritten Shelf Takedown shall instead count as an Underwritten Shelf Takedown demanded by the Sponsor, such Investor Stockholder or such CHI Holder,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Demanding Holder elects to pay such Registration Expenses pursuant to clause (ii) of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(iv) for a dividend reinvestment plan, (v) a Block Trade or (vi) an Other Coordinated Offering,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spacing w:after="0" w:line="189"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Class A Common Stock or other equity securities that the Company desires to sell, taken together with (i) the shares of Class A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Class A Common Stock or other equity securities, if any, as to which Registration or a registered offering has been requested pursuant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separate written contractual piggy-back registration rights of persons or entities other than the Holders of Registrable Securities hereunder, exceeds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Number of Securities, then:</w:t>
      </w:r>
    </w:p>
    <w:p>
      <w:pPr>
        <w:spacing w:after="0" w:line="99" w:lineRule="exact"/>
        <w:rPr>
          <w:sz w:val="20"/>
          <w:szCs w:val="20"/>
          <w:color w:val="auto"/>
        </w:rPr>
      </w:pPr>
    </w:p>
    <w:p>
      <w:pPr>
        <w:ind w:right="20" w:firstLine="1428"/>
        <w:spacing w:after="0" w:line="253" w:lineRule="auto"/>
        <w:tabs>
          <w:tab w:leader="none" w:pos="1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undertaken for the Company’s account, the Company shall include in any such Registration or registered offering (A) first, the shares of Class A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shares of Class A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194" w:lineRule="exact"/>
        <w:rPr>
          <w:rFonts w:ascii="Times New Roman" w:cs="Times New Roman" w:eastAsia="Times New Roman" w:hAnsi="Times New Roman"/>
          <w:sz w:val="18"/>
          <w:szCs w:val="18"/>
          <w:color w:val="auto"/>
        </w:rPr>
      </w:pPr>
    </w:p>
    <w:p>
      <w:pPr>
        <w:ind w:firstLine="1428"/>
        <w:spacing w:after="0" w:line="253" w:lineRule="auto"/>
        <w:tabs>
          <w:tab w:leader="none" w:pos="18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pursuant to a demand by persons or entities other than the Holders of Registrable Securities, then the Company shall include in any such Registration or registered offering (A) first, the shares of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Class A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Class A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spacing w:after="0" w:line="187" w:lineRule="exact"/>
        <w:rPr>
          <w:rFonts w:ascii="Times New Roman" w:cs="Times New Roman" w:eastAsia="Times New Roman" w:hAnsi="Times New Roman"/>
          <w:sz w:val="18"/>
          <w:szCs w:val="18"/>
          <w:color w:val="auto"/>
        </w:rPr>
      </w:pPr>
    </w:p>
    <w:p>
      <w:pPr>
        <w:ind w:right="80" w:firstLine="1428"/>
        <w:spacing w:after="0" w:line="266" w:lineRule="auto"/>
        <w:tabs>
          <w:tab w:leader="none" w:pos="18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and Underwritten Shelf Takedown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then the Company shall include in any such Registration or registered offering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8" w:name="page79"/>
    <w:bookmarkEnd w:id="78"/>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Piggyback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Block Trades; Other Coordinated Offerings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2.3.1 Notwithstanding any other provision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in each case, with a total offering price reasonably expected to exceed, in the aggregate, either (x) $100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2.3.3 Notwithstanding anything to the contrary in this Agreement,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apply to a Block Trade or Other Coordinated Offering initiated by a Demanding Holder pursuant to this Agreement.</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76"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2.3.5 A Holder in the aggregate may demand no more than two (2) Block Trades or Other Coordinated Offerings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any twelve (12) month period. For the avoidance of doubt, any Block Trade or Other Coordinated Offering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a demand for an Underwritten Shelf Takedown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hereof.</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any Shelf and/or Shelf Takedown, the Company shall use its commercially reasonable efforts to effect such Registration to permit the sale of such Registrable Securities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accordance with the intended plan of distribution thereof, and pursuant thereto the Company shall, as expeditiously as possible:</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national securities exchange on which similar securities issued by the Company are then listed;</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or Prospectus (or such shorter period of time as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80" w:name="page81"/>
    <w:bookmarkEnd w:id="80"/>
    <w:p>
      <w:pPr>
        <w:ind w:left="4" w:right="100" w:hanging="4"/>
        <w:spacing w:after="0" w:line="261"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furnish a copy thereof to each seller of such Registrable Securities or its counsel (excluding any exhibits thereto and any filing made under the Exchange Act that is to be incorporated by reference therein);</w:t>
      </w:r>
    </w:p>
    <w:p>
      <w:pPr>
        <w:spacing w:after="0" w:line="180"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19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3.1.11 obtain a “cold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accountings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Holders;</w:t>
      </w:r>
    </w:p>
    <w:p>
      <w:pPr>
        <w:spacing w:after="0" w:line="187"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87"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76"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3.1.15 with respect to an Underwritten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81" w:name="page82"/>
    <w:bookmarkEnd w:id="81"/>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3.1.16 otherwise, in good faith, cooperate reasonably with, and take such customary actions as may reasonably be requested by the participating Holders, consistent with the terms of this Agreement, in connection with such Registration.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 (as well as of any attorney, consultants or consultant retained by the Holders under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Stock Distributions</w:t>
      </w:r>
      <w:r>
        <w:rPr>
          <w:rFonts w:ascii="Times New Roman" w:cs="Times New Roman" w:eastAsia="Times New Roman" w:hAnsi="Times New Roman"/>
          <w:sz w:val="18"/>
          <w:szCs w:val="18"/>
          <w:color w:val="auto"/>
        </w:rPr>
        <w:t>. In connection with any Shelf or Shelf Takedown, if the Company shall receive a request from a Holder of Registrable Securities to effectuate a pro rata in-kind distribution or other similar transfer for no consideration of such Registrable Securities pursuant to such Registration to its members, partners, stockholders, as the case may be, then the Company shall deliver or cause to be delivered to the transfer agent and registrar for the Registrable Securities an opinion of counsel to the Company reasonably acceptable to such transfer agent and registrar that any legend referring to the Act may be removed upon such distribution or other transfer of such Registrable Securities pursuant to such Registration, provided that the distributee or transferee of such Registrable Securities is not and has not been for the preceding ninety (90) days an affiliate of Parent (as defined in Rule 405 promulgated under the Act). The Company’s obligations hereunder are conditioned upon the receipt of representation letter reasonably acceptable to the Company from such Holder regarding such proposed pro rata in-kind distribution or other similar transfer for no consideration of such Registrable Securities.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Requirements for Participation in Registration Statement in Offerings</w:t>
      </w:r>
      <w:r>
        <w:rPr>
          <w:rFonts w:ascii="Times New Roman" w:cs="Times New Roman" w:eastAsia="Times New Roman" w:hAnsi="Times New Roman"/>
          <w:sz w:val="18"/>
          <w:szCs w:val="18"/>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9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Suspension of Sales; Adverse Disclosure; Restrictions on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3.5.1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82" w:name="page83"/>
    <w:bookmarkEnd w:id="8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3.5.2 Subject to </w:t>
      </w:r>
      <w:r>
        <w:rPr>
          <w:rFonts w:ascii="Times New Roman" w:cs="Times New Roman" w:eastAsia="Times New Roman" w:hAnsi="Times New Roman"/>
          <w:sz w:val="18"/>
          <w:szCs w:val="18"/>
          <w:u w:val="single" w:color="auto"/>
          <w:color w:val="auto"/>
        </w:rPr>
        <w:t>Section 3.5.4</w:t>
      </w:r>
      <w:r>
        <w:rPr>
          <w:rFonts w:ascii="Times New Roman" w:cs="Times New Roman" w:eastAsia="Times New Roman" w:hAnsi="Times New Roman"/>
          <w:sz w:val="18"/>
          <w:szCs w:val="18"/>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3.5.2</w:t>
      </w:r>
      <w:r>
        <w:rPr>
          <w:rFonts w:ascii="Times New Roman" w:cs="Times New Roman" w:eastAsia="Times New Roman" w:hAnsi="Times New Roman"/>
          <w:sz w:val="18"/>
          <w:szCs w:val="18"/>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94"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3.5.3 Subject to </w:t>
      </w:r>
      <w:r>
        <w:rPr>
          <w:rFonts w:ascii="Times New Roman" w:cs="Times New Roman" w:eastAsia="Times New Roman" w:hAnsi="Times New Roman"/>
          <w:sz w:val="18"/>
          <w:szCs w:val="18"/>
          <w:u w:val="single" w:color="auto"/>
          <w:color w:val="auto"/>
        </w:rPr>
        <w:t>Section 3.5.4</w:t>
      </w:r>
      <w:r>
        <w:rPr>
          <w:rFonts w:ascii="Times New Roman" w:cs="Times New Roman" w:eastAsia="Times New Roman" w:hAnsi="Times New Roman"/>
          <w:sz w:val="18"/>
          <w:szCs w:val="18"/>
          <w:color w:val="auto"/>
        </w:rPr>
        <w:t xml:space="preserve">, (a) during the period starting with the date sixty (60) days prior to the Company’s good faith estimate of the date of the filing of, and ending on a date one hundred and twenty (120) days after the effective date of, a Company-initiated Registration and provided that the Company continues to actively employ, in good faith, all reasonable efforts to maintain the effectiveness of the applicable Shelf Registration Statement, or (b) if,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3.5.4 The right to delay or suspend any filing, initial effectiveness or continued use of a Registration Statement pursuant to </w:t>
      </w:r>
      <w:r>
        <w:rPr>
          <w:rFonts w:ascii="Times New Roman" w:cs="Times New Roman" w:eastAsia="Times New Roman" w:hAnsi="Times New Roman"/>
          <w:sz w:val="18"/>
          <w:szCs w:val="18"/>
          <w:u w:val="single" w:color="auto"/>
          <w:color w:val="auto"/>
        </w:rPr>
        <w:t>Section 3.5.2</w:t>
      </w:r>
      <w:r>
        <w:rPr>
          <w:rFonts w:ascii="Times New Roman" w:cs="Times New Roman" w:eastAsia="Times New Roman" w:hAnsi="Times New Roman"/>
          <w:sz w:val="18"/>
          <w:szCs w:val="18"/>
          <w:color w:val="auto"/>
        </w:rPr>
        <w:t xml:space="preserve"> or a registered offering pursuant to </w:t>
      </w:r>
      <w:r>
        <w:rPr>
          <w:rFonts w:ascii="Times New Roman" w:cs="Times New Roman" w:eastAsia="Times New Roman" w:hAnsi="Times New Roman"/>
          <w:sz w:val="18"/>
          <w:szCs w:val="18"/>
          <w:u w:val="single" w:color="auto"/>
          <w:color w:val="auto"/>
        </w:rPr>
        <w:t>Section 3.5.3</w:t>
      </w:r>
      <w:r>
        <w:rPr>
          <w:rFonts w:ascii="Times New Roman" w:cs="Times New Roman" w:eastAsia="Times New Roman" w:hAnsi="Times New Roman"/>
          <w:sz w:val="18"/>
          <w:szCs w:val="18"/>
          <w:color w:val="auto"/>
        </w:rPr>
        <w:t xml:space="preserve"> shall be exercised by the Company, in the aggregate, for not more than (90) consecutive calendar days or more than one hundred and twenty (120) total calendar days in each case, during any twelve (12)-month period.</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Reporting Obligations</w:t>
      </w:r>
      <w:r>
        <w:rPr>
          <w:rFonts w:ascii="Times New Roman" w:cs="Times New Roman" w:eastAsia="Times New Roman" w:hAnsi="Times New Roman"/>
          <w:sz w:val="17"/>
          <w:szCs w:val="17"/>
          <w:color w:val="auto"/>
        </w:rPr>
        <w:t>. As long as any Holder shall own Registrable Securities, the Company, at all times while it shall be a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under the Exchange Act, covenants to file timely (or obtain extensions in respect thereof and file within the applicable grace period) all reports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filed by the Company after the date hereof pursuant to Sections 13(a) or 15(d) of the Exchange Act and to promptly furnish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true and complete copies of all such filings;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Data Gathering, Analysis and Retrieval System shall be deemed to have been furnished or delivered to the Holders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The Company further covenants that it shall take such further action as any Holder may reasonably request, all to the extent required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to enable such Holder to sell shares of Class A Common Stock or Class B Common Stock held by such Holder without registration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 within the limitation of the exemptions provided by Rule 144 promulgated under the Securities Act (or any successor rule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Upon the request of any Holder, the Company shall deliver to such Holder a written certification of a duly authorized officer as to whether it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complied with such requirements.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2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187" w:lineRule="exact"/>
        <w:rPr>
          <w:sz w:val="20"/>
          <w:szCs w:val="20"/>
          <w:color w:val="auto"/>
        </w:rPr>
      </w:pPr>
    </w:p>
    <w:p>
      <w:pPr>
        <w:ind w:right="80" w:firstLine="991"/>
        <w:spacing w:after="0" w:line="252" w:lineRule="auto"/>
        <w:rPr>
          <w:sz w:val="20"/>
          <w:szCs w:val="20"/>
          <w:color w:val="auto"/>
        </w:rPr>
      </w:pPr>
      <w:r>
        <w:rPr>
          <w:rFonts w:ascii="Times New Roman" w:cs="Times New Roman" w:eastAsia="Times New Roman" w:hAnsi="Times New Roman"/>
          <w:sz w:val="18"/>
          <w:szCs w:val="18"/>
          <w:color w:val="auto"/>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and agents and each person or entity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or on behalf of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97"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4.1.3 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requested by any indemnified party for contribution to such party in the event the Company’s or such Holder’s indemnification is unavailable for any reason.</w:t>
      </w:r>
    </w:p>
    <w:p>
      <w:pPr>
        <w:spacing w:after="0" w:line="16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LOCK-UP</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each Lock-up Party agrees that it shall not Transfer any Lock-up Shares until the end of the Lock-up Period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xml:space="preserve">. Notwithstanding the provisions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each Lock-up Party may Transfer the Lock-up Shares during the Lock-up Period (a) to (i) the Company’s officers or directors, (ii) any affiliates or family members of the Company’s officers or directors, (iii) any direct or indirect partners, members or equity holders of such Lock-up Party or any related investment funds or vehicles controlled or managed by such persons or entities or their respective affiliates, or (iv) any other Lock-up Party or any direct or indirect partners, members or equity holders of such other Lock-up Party, any affiliates of such other Lock-up Party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Party by virtue of the Lock-up Party’s organizational documents, as amended, upon dissolution of the Lock-up Party; (f) in connection with any bona fide mortgage, encumbrance or pledge to a financial institution in connection with any bona fide loan or debt transaction or enforcement thereunder; (g) to the Company; or (h) in connection with a liquidation, merger, stock exchange, reorganization, tender offer approved by the Board or a duly authorized committee thereof or other similar transaction which results in all of the Company’s stockholders having the right to exchange their shares of Class A Common Stock and Class B Common Stock for cash, securities or other property subsequent to</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85" w:name="page86"/>
    <w:bookmarkEnd w:id="85"/>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Closing Date. The parties acknowledge and agree that any Permitted Transferee of a Lock-up Party shall be subject to the transfer restrictions set forth in this ARTICLE V.</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Termination of Existing Lock-Up</w:t>
      </w:r>
      <w:r>
        <w:rPr>
          <w:rFonts w:ascii="Times New Roman" w:cs="Times New Roman" w:eastAsia="Times New Roman" w:hAnsi="Times New Roman"/>
          <w:sz w:val="18"/>
          <w:szCs w:val="18"/>
          <w:color w:val="auto"/>
        </w:rPr>
        <w:t xml:space="preserve">. The lock-up provisions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supersede the lock-up provisions contained in Section 7 of the Insider Letter, which provisions in Section 7 of the Insider Letter shall be of no further force or effect as of the date of this Agreement.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Clover Health Investments, Corp., 725 Cool Springs Blvd, Suite 320, Franklin, TN 37067, Attn: Gia Lee, General Counsel, and, if to any Holder, at such Holder’s address, electronic mail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Assignment; No Third Party Beneficiaries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6.2.1 This Agreement and the rights, duties and obligations of the Company hereunder may not be assigned or delegated by the Company in whole or in part.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6.2.2 Subject to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6.2.5</w:t>
      </w:r>
      <w:r>
        <w:rPr>
          <w:rFonts w:ascii="Times New Roman" w:cs="Times New Roman" w:eastAsia="Times New Roman" w:hAnsi="Times New Roman"/>
          <w:sz w:val="18"/>
          <w:szCs w:val="18"/>
          <w:color w:val="auto"/>
        </w:rPr>
        <w:t xml:space="preserve">, this Agreement and the rights, duties and obligations of a Holder hereunder may be assigned in whole or in part to such Holder’s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CHI Holders, the Investor Stockholders and the Sponsor, the rights hereunder that are personal to such Holders may not be assigned or delegated in whole or in part, except that (x) each of the CHI Holders shall be permitted to transfer its rights hereunder as the CHI Holders to one or more affiliates or any direct or indirect partners, members or equity holders of such CHI Holder (it being understood that no such transfer shall reduce any rights of such CHI Holder or such transferees), (y) each of the Investor Stockholders shall be permitted to transfer its rights hereunder as the Investor Stockholders to one or more affiliates or any direct or indirect partners, members or equity holders of such Investor Stockholder (it being understood that no such transfer shall reduce any rights of such Investor Stockholder or such transferees) and (z) the Sponsor shall be permitted to transfer its rights hereunder as the Sponsor to one or more affiliates or any direct or indirect partners, members or equity holders of the Sponsor (it being understood that no such transfer shall reduce any rights of the Sponsor or such transferees).</w:t>
      </w:r>
    </w:p>
    <w:p>
      <w:pPr>
        <w:spacing w:after="0" w:line="194"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6.2.4 This Agreement shall not confer any rights or benefits on any persons or entities that are not parties hereto, other than as expressly set forth in this Agreement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86" w:name="page87"/>
    <w:bookmarkEnd w:id="8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ANY STATE OR FEDERAL COURT IN NEW YORK COUNTY IN THE STATE OF NEW YORK</w:t>
      </w:r>
    </w:p>
    <w:p>
      <w:pPr>
        <w:spacing w:after="0" w:line="17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TRIAL BY JURY</w:t>
      </w:r>
      <w:r>
        <w:rPr>
          <w:rFonts w:ascii="Times New Roman" w:cs="Times New Roman" w:eastAsia="Times New Roman" w:hAnsi="Times New Roman"/>
          <w:sz w:val="18"/>
          <w:szCs w:val="18"/>
          <w:b w:val="1"/>
          <w:bCs w:val="1"/>
          <w:color w:val="auto"/>
        </w:rPr>
        <w:t>.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86"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the Sponsor so long as the Sponsor and its affiliates hold, in the aggregate, at least five percent (5%) of the outstanding shares of Class A Common Stock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each Investor Stockholder so long as such Investor Stockholder and its respective affiliates hold, in the aggregate, at least five percent (5%) of the outstanding shares of Class A Common Stock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the foregoing, any amendment hereto or waiver hereof shall also require the written consent of each CHI Holder so long as such CHI Holder and its affiliates hold, in the aggregate, shares of Class A Common Stock and Class B Common Stock, which together represent on an as-converted basis, at least five percent (5%) of the outstanding shares of Class A Common Stock of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Other than (i) the Third Party Investor Stockholders who have registration rights with respect to their Investor Shares pursuant to their respective Subscription Agreements and (ii) as provided in the Warrant Agreement, dated as of April 21, 2020, between the Company and Continental Stock</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70"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&amp; Trust Company, the Company represents and warrants that no person or entity, other than a Holder of Registrable Securities, has any right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the Company to register any securities of the Company for sale or to include such securities of the Company in any Registration Statement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for the sale of securities for its own account or for the account of any other person or entity. For so long as (a) the Sponsor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hold, in the aggregate, at least five percent (5%) of the outstanding shares of Class A Common Stock of the Company, the Company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and covenants that it will not grant rights to register any Class A Common Stock (or securities convertible into or exchangeable for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pursuant to the Securities Act that are more favorable, pari passu or senior to those granted to the Holders hereunder (such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without the prior written consent of the Sponsor, (b) an Investor Stockholder and its affiliates hold,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five percent (5%) of the outstanding shares of Class A Common Stock of the Company, the Company hereby agrees and covenants that it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grant Competing Registration Rights without the prior written consent of such Investor Stockholder, and (c) a CHI Holder and its affiliates hold,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shares of Class A Common Stock and Class B Common Stock, which together represent on an as-converted basis, at least five percent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of the outstanding shares of Class A Common Stock of the Company, the Company hereby agrees and covenants that it will not grant Competing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without the prior written consent of such CHI Holder. Further, the Company represents and warrants that this Agreement supersedes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registration rights agreement or agreement with similar terms and conditions and in the event of a conflict between any such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this Agreement, the terms of this Agreement shall prevail.</w:t>
      </w:r>
    </w:p>
    <w:p>
      <w:pPr>
        <w:spacing w:after="0" w:line="20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on the earlier of (a) the tenth anniversary of the date of this Agreement or (b) with respect to any Holder, on the date that such Holder no longer holds any Registrable Securities. The provisions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Additional Holders; Joinder</w:t>
      </w:r>
      <w:r>
        <w:rPr>
          <w:rFonts w:ascii="Times New Roman" w:cs="Times New Roman" w:eastAsia="Times New Roman" w:hAnsi="Times New Roman"/>
          <w:sz w:val="18"/>
          <w:szCs w:val="18"/>
          <w:color w:val="auto"/>
        </w:rPr>
        <w:t xml:space="preserve">. In addition to persons or entities who may become Holders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subject to the prior written consent of each of the Sponsor, each CHI Holder and each Investor Stockholder (in each case, so long as such Holder and its affiliates hold, in the aggregate, at least five percent (5%) of the outstanding shares of Class A Common Stock of the Company, taking into account any shares of Class B Common Stock held by such Holder and its affiliates on an as-converted basis), the Company may make any person or entity who acquires Class A Common Stock or rights to acquire Class A Common Stock or Class B Common Stock or rights to acquire Class B Common Stock after the date hereof a party to this Agreement (each such person or entity, an “</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Class A Common Stock or Class B Common Stock then owned, or underlying any rights then owned, by such Additional Holder (the “</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shall be Registrable Securities to the extent provided herein and therein and such Additional Holder shall be a Holder under this Agreement with respect to such Additional Holder Common Stock.</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invalidating the remaining provisions of this Agreement or affecting the validity or enforceability of such provision in any other jurisdiction.</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Entire Agreement; Restatement</w:t>
      </w:r>
      <w:r>
        <w:rPr>
          <w:rFonts w:ascii="Times New Roman" w:cs="Times New Roman" w:eastAsia="Times New Roman" w:hAnsi="Times New Roman"/>
          <w:sz w:val="18"/>
          <w:szCs w:val="18"/>
          <w:color w:val="auto"/>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and as often as, there are any changes in the Registrable Securities by way of stock split, stock dividend, combination or reclassification, or through merger, consolidation, reorganization, recapitalization or sale, or by any other means, appropriate adjustment shall be made in the provisions of this Agreement, as may be required, so that the rights, privileges, duties and obligations hereunder shall continue with respect to the Registrable Securities as so changed.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70"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Clover Health Investments, Corp.</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Vivek Garipalli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579"/>
          </w:cols>
          <w:pgMar w:left="880" w:top="27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CAESAR CLOVER,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Vivek Garipalli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CAESAR VENTURES,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Vivek Garipalli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NJ HEALTHCARE INVESTMENTS,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Vivek Garipalli</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TITUS VENTURES,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Vivek Garipalli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Vivek Garipalli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880" w:top="270"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VIVEK GARIPALLI</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GIA LEE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Gia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JOSEPH WAGNER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JAMIE REYNOSO</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Jamie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CHELSEA CLINTON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Chelsea Clinton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579"/>
          </w:cols>
          <w:pgMar w:left="880" w:top="270"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caused this Agreement to be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MULTIPLE HOLDINGS,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Nathaniel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Nat Turner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579"/>
          </w:cols>
          <w:pgMar w:left="880" w:top="270"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OPPORTUNITIES FUND,</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Capital (MTGP), L.P.,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Capital (TTGP), Ltd., its General Partner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Mehta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Neil Mehta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MS LP – JOSLIN SERIES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Greenoaks Capital MS Management LLC – Joslin Series</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MS LP – BANTING SERIES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Capital MS Management LLC – Banting</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0"/>
          </w:cols>
          <w:pgMar w:left="880" w:top="270"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MAGNOLIA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Magnolia (MGTP),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Magnolia (TTGP) Ltd.,, its General Partner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Mehta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Neil Mehta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MAGNOLIA MS FUND LP – PASTEUR</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SERIES</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Magnolia Management LLC – Pasteur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Series, its General Partner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MS LP – LISTER SERIES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Capital MS Management LLC – Lister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Series, its General Partner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80"/>
          </w:cols>
          <w:pgMar w:left="880" w:top="270"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MS LP – OSLER SERIES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Greenoaks Capital MS Management LLC – Osler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Series, its General Partner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GREENOAKS CAPITAL MS LP – BLACKWELL</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SERIES</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Greenoaks Capital MS Management LLC – Blackwell</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Series, its General Partner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Neil Mehta</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16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400"/>
          </w:cols>
          <w:pgMar w:left="880" w:top="270" w:right="619"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SCH Sponsor III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 Cayman Islands limited liability company</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Chamath Palihapitiya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 HOLDERS: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Dr. James Ryans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Dr. James Ryans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Jacqueline D. Reses</w:t>
      </w:r>
    </w:p>
    <w:p>
      <w:pPr>
        <w:spacing w:after="0" w:line="15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98" w:name="page99"/>
    <w:bookmarkEnd w:id="98"/>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294005</wp:posOffset>
            </wp:positionV>
            <wp:extent cx="27946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Dr. James Ryans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Jacqueline D. 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Jacqueline D. Reses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 STOCKHOLDERS: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Jacqueline D. 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Jacqueline D. Reses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Hedosophia Public Investments Limited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Guernsey limited 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Osborne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Bain Revocable Trust DTD 4/3/13</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Bain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TTEE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CHACHACHA SPAC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Chamath Palihapitiya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A&amp;R Registration Rights Agreement]</w:t>
      </w:r>
    </w:p>
    <w:p>
      <w:pPr>
        <w:sectPr>
          <w:pgSz w:w="11900" w:h="16838" w:orient="portrait"/>
          <w:cols w:equalWidth="0" w:num="1">
            <w:col w:w="9019"/>
          </w:cols>
          <w:pgMar w:left="1440" w:top="266" w:right="1440" w:bottom="1440" w:gutter="0" w:footer="0" w:header="0"/>
        </w:sectPr>
      </w:pPr>
    </w:p>
    <w:bookmarkStart w:id="103" w:name="page104"/>
    <w:bookmarkEnd w:id="103"/>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CHI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CAESAR CLOVER,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CAESAR VENTURES,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NJ HEALTHCARE INVESTMENTS,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TITUS VENTURES,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HOLDINGS,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OPPORTUNITIES FUND,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MS LP – JOSLIN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MS LP – BANTING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MAGNOLIA FUND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MAGNOLIA MS FUND LP – PASTEUR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MS LP – LISTER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MS LP – OSLER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GREENOAKS CAPITAL MS LP – BLACKWELL SERIES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GARIPALLI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TOY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GIA LEE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WAGNER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REYNOSO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CHELSEA CLINTON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66"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 JOINDER</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pursuant to the Amended and Restated Registration Rights Agreement, dated as of January 7, 2021 (as the same may hereafter be amended,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among Clover Health Investments,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other persons or entities named as parties therein. Capitalized terms used but not otherwise defined herein shall have the meanings provided in the Registration Rights Agreement.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Class A Common Stock and/or Class B Common Stock shall be included as Registrable Securities under the Registration Rights Agreement to the extent provided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undersigned and its permitted assigns (if any) shall not have any rights as a Holder, and the undersigned’s (and its transferees’) shares of Class A Common Stock and/or Class B Common Stock shall not be included as Registrable Securities, for purposes of the Excluded Sections.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b w:val="1"/>
                <w:bCs w:val="1"/>
                <w:i w:val="1"/>
                <w:iCs w:val="1"/>
                <w:color w:val="auto"/>
              </w:rPr>
              <w:t>Excluded Sections</w:t>
            </w:r>
            <w:r>
              <w:rPr>
                <w:rFonts w:ascii="Times New Roman" w:cs="Times New Roman" w:eastAsia="Times New Roman" w:hAnsi="Times New Roman"/>
                <w:sz w:val="18"/>
                <w:szCs w:val="18"/>
                <w:color w:val="auto"/>
              </w:rPr>
              <w:t>” shall mean [</w:t>
            </w: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w:t>
            </w:r>
          </w:p>
        </w:tc>
        <w:tc>
          <w:tcPr>
            <w:tcW w:w="1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day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325755</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w:t>
      </w:r>
    </w:p>
    <w:p>
      <w:pPr>
        <w:spacing w:after="0" w:line="1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17145</wp:posOffset>
            </wp:positionV>
            <wp:extent cx="23399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325755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6231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66" w:right="4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__________, by and between Clover Health Investments, Corp., a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____________________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and Indemnitee recognize the increasing difficulty in obtaining liability insurance for directors, officers and key employees, the significant increases in the cost of such insurance and the general reductions in the coverage of such insurance. The Company and Indemnitee further recognize the substantial increase in corporate litigation in general, subjecting directors, officers and key employees to expensive litigation risks at the same time as the availability and coverage of liability insurance has been severely limited. Indemnitee does not regard the current protection available as adequate under the present circumstances, and Indemnitee may not be willing to continue to serve in Indemnitee’s current capacity with the Company without additional protection. The Company desires to attract and retain the services of highly qualified individuals, such as Indemnitee, and to indemnify its directors, officers and key employees so as to provide them with the maximum protection permitted by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in this Agreement, and for other good and valuable consideration, the receipt and sufficiency of which is hereby acknowledged, the Company and Indemnitee hereby agree as follows:</w:t>
      </w:r>
    </w:p>
    <w:p>
      <w:pPr>
        <w:spacing w:after="0" w:line="50" w:lineRule="exact"/>
        <w:rPr>
          <w:sz w:val="20"/>
          <w:szCs w:val="20"/>
          <w:color w:val="auto"/>
        </w:rPr>
      </w:pPr>
    </w:p>
    <w:p>
      <w:pPr>
        <w:ind w:left="620" w:hanging="184"/>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Third-Party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as such may be amended from time to time,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Indemnitee, if Indemnitee, by reason of Indemnitee’s Corporate Status, was, is or is threatened to be made, a party to or a participant (as a witness or otherwise) in any Proceeding (other than a Proceeding by or in the right of the Company to procure a judgment in the Company’s favor), against all Expenses, judgments, fines and amounts paid in settlement (if such settlement is approved in advance by the Company, which approval shall not be unreasonably withheld) actually and reasonably incurred by Indemnitee in connection with such Proceeding if Indemnitee acted in good faith and in a manner Indemnitee reasonably believed to be in or not opposed to the best interests of the Company and, in the case of a criminal Proceeding, had no reasonable cause to believe Indemnitee’s conduct was unlawful.</w:t>
      </w:r>
    </w:p>
    <w:p>
      <w:pPr>
        <w:spacing w:after="0" w:line="74" w:lineRule="exact"/>
        <w:rPr>
          <w:rFonts w:ascii="Times New Roman" w:cs="Times New Roman" w:eastAsia="Times New Roman" w:hAnsi="Times New Roman"/>
          <w:sz w:val="18"/>
          <w:szCs w:val="18"/>
          <w:color w:val="auto"/>
        </w:rPr>
      </w:pPr>
    </w:p>
    <w:p>
      <w:pPr>
        <w:jc w:val="both"/>
        <w:ind w:right="380" w:firstLine="987"/>
        <w:spacing w:after="0" w:line="268" w:lineRule="auto"/>
        <w:tabs>
          <w:tab w:leader="none" w:pos="12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if Indemnitee, by reason of Indemnitee’s Corporate Status, was, is or is threatened to be made a party to or a participant (as a witness or otherwise) in any Proceeding by or in the right of the Company to procure a</w:t>
      </w:r>
    </w:p>
    <w:p>
      <w:pPr>
        <w:sectPr>
          <w:pgSz w:w="11900" w:h="16838" w:orient="portrait"/>
          <w:cols w:equalWidth="0" w:num="1">
            <w:col w:w="11020"/>
          </w:cols>
          <w:pgMar w:left="440" w:top="266" w:right="439" w:bottom="1440" w:gutter="0" w:footer="0" w:header="0"/>
        </w:sectPr>
      </w:pPr>
    </w:p>
    <w:bookmarkStart w:id="106" w:name="page107"/>
    <w:bookmarkEnd w:id="10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in the Company’s favor, against all Expenses actually and reasonably incurred by Indemnitee in connection with such Proceeding if Indemnitee acted in good faith and in a manner Indemnitee reasonably believed to be in or not opposed to the best interests of the Company, except that no indemnification shall be made in respect of any claim, issue or matter as to which Indemnitee shall have been finally adjudicated by court order or judgment to be liable to the Company unless and only to the extent that the Court of Chancery or the court in which such Proceeding is or was pending shall determine upon application that, in view of all the circumstances of the case, Indemnitee is fairly and reasonably entitled to indemnity for such expenses which such court shall deem proper.</w:t>
      </w:r>
    </w:p>
    <w:p>
      <w:pPr>
        <w:spacing w:after="0" w:line="75" w:lineRule="exact"/>
        <w:rPr>
          <w:sz w:val="20"/>
          <w:szCs w:val="20"/>
          <w:color w:val="auto"/>
        </w:rPr>
      </w:pPr>
    </w:p>
    <w:p>
      <w:pPr>
        <w:ind w:firstLine="987"/>
        <w:spacing w:after="0" w:line="254" w:lineRule="auto"/>
        <w:tabs>
          <w:tab w:leader="none" w:pos="12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 on the Merits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has been successful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merits or otherwise in defense of any Proceeding referred to in Section 1(a) or Section 1(b) or the defense of any claim, issue or matter therein, in whole or in part, the Company shall indemnify Indemnitee against all Expenses actually and reasonably incurred by Indemnitee in connection therewith. Without limiting the generality of the foregoing, if Indemnitee is successful on the merits or otherwise as to one or more but less than all claims, issues or matters in a Proceeding, the Company shall indemnify Indemnitee against all Expenses actually and reasonably incurred by Indemnitee in connection with such successfully resolved claims, issues or matters to the fullest extent permitted by applicable law. If any Proceeding is disposed of on the merits or otherwise (including a disposition without prejudice), without (i) the disposition being adverse to Indemnitee, (ii) an adjudication that Indemnitee was liable to the Company, (iii) a plea of guilty by Indemnitee, (iv) an adjudication that Indemnitee did not act in good faith and in a manner Indemnitee reasonably believed to be in or not opposed to the best interests of the Company, and (v) with respect to any criminal Proceeding, an adjudication that Indemnitee had reasonable cause to believe Indemnitee’s conduct was unlawful, Indemnitee shall be considered for the purposes hereof to have been wholly successful with respect thereto.</w:t>
      </w:r>
    </w:p>
    <w:p>
      <w:pPr>
        <w:spacing w:after="0" w:line="74" w:lineRule="exact"/>
        <w:rPr>
          <w:rFonts w:ascii="Times New Roman" w:cs="Times New Roman" w:eastAsia="Times New Roman" w:hAnsi="Times New Roman"/>
          <w:sz w:val="18"/>
          <w:szCs w:val="18"/>
          <w:color w:val="auto"/>
        </w:rPr>
      </w:pPr>
    </w:p>
    <w:p>
      <w:pPr>
        <w:jc w:val="both"/>
        <w:ind w:right="420" w:firstLine="987"/>
        <w:spacing w:after="0" w:line="268" w:lineRule="auto"/>
        <w:tabs>
          <w:tab w:leader="none" w:pos="12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and to the extent that Indemnitee, by reason of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Status, is a witness or otherwise asked to participate in any Proceeding to which Indemnitee is not a party, the Company shall indemnify Indemnitee against all Expenses actually and reasonably incurred by Indemnitee in connection with such Proceeding.</w:t>
      </w:r>
    </w:p>
    <w:p>
      <w:pPr>
        <w:spacing w:after="0" w:line="6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 Procedure</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applicable law, the Company shall advance all Expenses actually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incurred by Indemnitee in connection with a Proceeding within thirty (30) days after receipt by the Company of a statement requesting such advances from time to time, whether prior to or after final disposition of any Proceeding. Such advances shall be unsecured and interest free and shall be made without regard to Indemnitee’s ability to repay the Expenses and without regard to Indemnitee’s ultimate entitlement to indemnification under the other provisions of this Agreement. Indemnitee shall be entitled to continue to receive advancement of Expenses pursuant to this Section 2(a) unless and until the matter of Indemnitee’s entitlement to indemnification hereunder has been finally adjudicated by court order or judgment from which no further right of appeal exists. Indemnitee hereby undertakes to repay such amounts advanced only if, and to the extent that, it ultimately is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7" w:name="page108"/>
    <w:bookmarkEnd w:id="10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determined that Indemnitee is not entitled to be indemnified by the Company under the other provisions of this Agreement. Indemnitee shall qualify for advances upon the execution and delivery of this Agreement, which shall constitute the requisite undertaking with respect to repayment of advances made hereunder and no other form of undertaking shall be required to qualify for advances made hereunder other than the execution of this Agreement.</w:t>
      </w:r>
    </w:p>
    <w:p>
      <w:pPr>
        <w:spacing w:after="0" w:line="64" w:lineRule="exact"/>
        <w:rPr>
          <w:sz w:val="20"/>
          <w:szCs w:val="20"/>
          <w:color w:val="auto"/>
        </w:rPr>
      </w:pPr>
    </w:p>
    <w:p>
      <w:pPr>
        <w:ind w:firstLine="987"/>
        <w:spacing w:after="0" w:line="25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and Cooperation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promptly notify the Company in writing upon being served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summons, citation, subpoena, complaint, indictment, information or other document relating to any Proceeding or matter for which indemnification will or could be sought under this Agreement. Such notice to the Company shall include a description of the nature of, and facts underlying, the Proceeding, shall be directed to the Chief Executive Officer of the Company and shall be given in accordance with the provisions of Section 13(e) below. In addition, Indemnitee shall give the Company such additional information and cooperation as the Company may reasonably request. Indemnitee’s failure to so notify, provide information and otherwise cooperate with the Company shall not relieve the Company of any obligation that it may have to Indemnitee under this Agreement, except to the extent that the Company is adversely affected by such failure.</w:t>
      </w:r>
    </w:p>
    <w:p>
      <w:pPr>
        <w:spacing w:after="0" w:line="7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Entitlement</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60" w:firstLine="1428"/>
        <w:spacing w:after="0" w:line="286"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Final Disposition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Agreement, no determination as to entitlement to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shall be required to be made prior to the final disposition of the Proceeding.</w:t>
      </w:r>
    </w:p>
    <w:p>
      <w:pPr>
        <w:spacing w:after="0" w:line="46" w:lineRule="exact"/>
        <w:rPr>
          <w:rFonts w:ascii="Times New Roman" w:cs="Times New Roman" w:eastAsia="Times New Roman" w:hAnsi="Times New Roman"/>
          <w:sz w:val="18"/>
          <w:szCs w:val="18"/>
          <w:color w:val="auto"/>
        </w:rPr>
      </w:pPr>
    </w:p>
    <w:p>
      <w:pPr>
        <w:ind w:right="20" w:firstLine="1428"/>
        <w:spacing w:after="0" w:line="253" w:lineRule="auto"/>
        <w:tabs>
          <w:tab w:leader="none" w:pos="16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promptly after receipt of a statement requesting payment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indemnification rights set forth in Section 1, to the extent required by applicable law, the Company shall take the steps necessary to authorize such payment in the manner set forth in Section 145 of the Delaware General Corporation Law. The Company shall pay any claims made under this Agreement, under any statute, or under any provision of the Company’s Certificate of Incorporation or Bylaws providing for indemnification or advancement of Expenses, within thirty (30) days after a written request for payment thereof has first been received by the Company, and if such claim is not paid in full within such thirty (30) day-period, Indemnitee may, but need not, at any time thereafter bring an action against the Company in the Delaware Court of Chancery to recover the unpaid amount of the claim and, subject to Section 12, Indemnitee shall also be entitled to be paid for all Expenses actually and reasonably incurred by Indemnitee in connection with bringing such action. It shall be a defense to any such action (other than an action brought to enforce a claim for advancement of Expenses under Section 2(a)) that Indemnitee has not met the standards of conduct which make it permissible under applicable law for the Company to indemnify Indemnitee for the amount claimed. In making a determination with respect to entitlement to indemnification hereunder, the person or persons or entity making such determination shall presume that Indemnitee is entitled to indemnification under this Agreement and the Company shall have the burden of proof to overcome that presumption with clear and convincing evidence to the contrary.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or, in the case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8" w:name="page109"/>
    <w:bookmarkEnd w:id="10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criminal Proceeding, that Indemnitee had reasonable cause to believe that Indemnitee’s conduct was unlawful. In addition,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If any requested determination with respect to entitlement to indemnification hereunder has not been made within ninety (90) days after the final disposition of the Proceeding, the requisite determination that Indemnitee is entitled to indemnification shall be deemed to have been made.</w:t>
      </w:r>
    </w:p>
    <w:p>
      <w:pPr>
        <w:spacing w:after="0" w:line="76" w:lineRule="exact"/>
        <w:rPr>
          <w:sz w:val="20"/>
          <w:szCs w:val="20"/>
          <w:color w:val="auto"/>
        </w:rPr>
      </w:pPr>
    </w:p>
    <w:p>
      <w:pPr>
        <w:ind w:left="4" w:right="120" w:firstLine="987"/>
        <w:spacing w:after="0" w:line="268"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payments are required to be made hereunder, the Company shall, in accordance with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(but without duplication), (i) pay such Expenses on behalf of Indemnitee, (ii) advance to Indemnitee funds in an amount sufficient to pay such Expenses, or (iii) reimburse Indemnitee for such Expenses.</w:t>
      </w:r>
    </w:p>
    <w:p>
      <w:pPr>
        <w:spacing w:after="0" w:line="62" w:lineRule="exact"/>
        <w:rPr>
          <w:rFonts w:ascii="Times New Roman" w:cs="Times New Roman" w:eastAsia="Times New Roman" w:hAnsi="Times New Roman"/>
          <w:sz w:val="18"/>
          <w:szCs w:val="18"/>
          <w:color w:val="auto"/>
        </w:rPr>
      </w:pPr>
    </w:p>
    <w:p>
      <w:pPr>
        <w:ind w:left="4" w:right="180" w:firstLine="987"/>
        <w:spacing w:after="0" w:line="256"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to Insurers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at the time of the receipt of a notice of a claim pursuant to Section 2(b) hereof, the Company has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The Company shall provide to Indemnitee: (i) copies of all potentially applicable directors’ and officers’ liability insurance policies, (ii) a copy of such notice delivered to the applicable insurers, and (iii) copies of all subsequent correspondence between the Company and such insurers regarding the Proceeding, in each case substantially concurrently with the delivery or receipt thereof by the Company.</w:t>
      </w:r>
    </w:p>
    <w:p>
      <w:pPr>
        <w:spacing w:after="0" w:line="74" w:lineRule="exact"/>
        <w:rPr>
          <w:rFonts w:ascii="Times New Roman" w:cs="Times New Roman" w:eastAsia="Times New Roman" w:hAnsi="Times New Roman"/>
          <w:sz w:val="18"/>
          <w:szCs w:val="18"/>
          <w:color w:val="auto"/>
        </w:rPr>
      </w:pPr>
    </w:p>
    <w:p>
      <w:pPr>
        <w:ind w:left="4" w:right="200" w:firstLine="987"/>
        <w:spacing w:after="0" w:line="269" w:lineRule="auto"/>
        <w:tabs>
          <w:tab w:leader="none" w:pos="122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Defense of Claim and Selection of Counsel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the Company shall be obligated under Section 2(a) hereof to advance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with respect to any Proceeding, the Company, if appropriate, shall be entitled to assume the defense of such Proceeding, with counsel reasonably acceptable to Indemnitee, upon the delivery to Indemnitee of written notice of its election so to do, and upon Indemnitee providing signed, written consent to such assumption, which shall not be unreasonably withheld.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(i) Indemnitee shall have the right to employ counsel in any such Proceeding at Indemnitee’s expense; and (ii) if (A) the employment of counsel by Indemnitee has been previously authorized by the Company,</w:t>
      </w:r>
    </w:p>
    <w:p>
      <w:pPr>
        <w:ind w:left="4" w:hanging="4"/>
        <w:spacing w:after="0" w:line="255" w:lineRule="auto"/>
        <w:tabs>
          <w:tab w:leader="none" w:pos="2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have reasonably concluded that there may be a conflict of interest between the Company and Indemnitee in the conduct of any such defense or (C) the Company shall not, in fact, have employed counsel to assume the defense of such Proceeding, then the fees and expenses of Indemnitee’s counsel shall be at the expense of the Company. In addition, if there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09" w:name="page110"/>
    <w:bookmarkEnd w:id="109"/>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exists a potential, but not an actual conflict of interest between the Company and Indemnitee, the actual and reasonable legal fees and expenses incurred by Indemnitee for separate counsel retained by Indemnitee to monitor the Proceeding (so that such counsel may assume Indemnitee’s defense if the conflict of interest between the Company and Indemnitee becomes an actual conflict of interest) shall be deemed to be Expenses that are subject to indemnification hereunder. The existence of an actual or potential conflict of interest, and whether such conflict may be waived, shall be determined pursuant to the rules of attorney professional conduct and applicable law. The Company shall not be required to obtain the consent of Indemnitee for the settlement of any Proceeding the Company has undertaken to defend if the Company assumes full and sole responsibility for each such settlement; provided, however, that the Company shall be required to obtain Indemnitee’s prior written approval, which shall not be unreasonably withheld, before entering into any settlement which (1) does not grant Indemnitee a complete release of liability, (2) would impose any penalty or limitation on Indemnitee, or (3) would admit any liability or misconduct by Indemnitee.</w:t>
      </w:r>
    </w:p>
    <w:p>
      <w:pPr>
        <w:spacing w:after="0" w:line="76" w:lineRule="exact"/>
        <w:rPr>
          <w:sz w:val="20"/>
          <w:szCs w:val="20"/>
          <w:color w:val="auto"/>
        </w:rPr>
      </w:pPr>
    </w:p>
    <w:p>
      <w:pPr>
        <w:ind w:left="624" w:hanging="184"/>
        <w:spacing w:after="0"/>
        <w:tabs>
          <w:tab w:leader="none" w:pos="62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Indemnification Rights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Agreement and so long as it is by reason of Indemnitee’s Corporate Status,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hereby agrees to indemnify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76" w:lineRule="exact"/>
        <w:rPr>
          <w:rFonts w:ascii="Times New Roman" w:cs="Times New Roman" w:eastAsia="Times New Roman" w:hAnsi="Times New Roman"/>
          <w:sz w:val="18"/>
          <w:szCs w:val="18"/>
          <w:color w:val="auto"/>
        </w:rPr>
      </w:pPr>
    </w:p>
    <w:p>
      <w:pPr>
        <w:ind w:left="4" w:right="60" w:firstLine="987"/>
        <w:spacing w:after="0" w:line="262" w:lineRule="auto"/>
        <w:tabs>
          <w:tab w:leader="none" w:pos="125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provided by this Agreement shall not be deemed exclusive of any rights to which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entitled under the Company’s Certificate of Incorporation, its Bylaws, any agreement, any vote of stockholders or disinterested members of the Company’s Board of Directors, the Delaware General Corporation Law, or otherwise, both as to action in Indemnitee’s official capacity and as to action in another capacity while holding such office.</w:t>
      </w:r>
    </w:p>
    <w:p>
      <w:pPr>
        <w:spacing w:after="0" w:line="6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 on Unpaid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to be made by the Company to Indemnitee hereunder is delayed by more than ninety</w:t>
      </w:r>
    </w:p>
    <w:p>
      <w:pPr>
        <w:spacing w:after="0" w:line="31"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the duly prepared request for such payment is received by the Company, interest shall be paid by the Company to Indemnitee at the legal rate under Delaware law for amounts which the Company indemnifies or is obligated to indemnify for the period commencing with the date on which Indemnitee actually incurs such Expense or pays such judgment, fine or amount in settlement and ending with the date on which such payment is made to Indemnitee by the Company.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10" w:name="page111"/>
    <w:bookmarkEnd w:id="110"/>
    <w:p>
      <w:pPr>
        <w:ind w:firstLine="987"/>
        <w:spacing w:after="0" w:line="253"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Third-Party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acknowledges that Indemnitee has or may from time to time obtain certain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indemnification, advancement of expenses and/or insurance provided by one or more third parties (collectively, the “</w:t>
      </w:r>
      <w:r>
        <w:rPr>
          <w:rFonts w:ascii="Times New Roman" w:cs="Times New Roman" w:eastAsia="Times New Roman" w:hAnsi="Times New Roman"/>
          <w:sz w:val="18"/>
          <w:szCs w:val="18"/>
          <w:u w:val="single" w:color="auto"/>
          <w:color w:val="auto"/>
        </w:rPr>
        <w:t>Third-Party Indemnitors</w:t>
      </w:r>
      <w:r>
        <w:rPr>
          <w:rFonts w:ascii="Times New Roman" w:cs="Times New Roman" w:eastAsia="Times New Roman" w:hAnsi="Times New Roman"/>
          <w:sz w:val="18"/>
          <w:szCs w:val="18"/>
          <w:color w:val="auto"/>
        </w:rPr>
        <w:t>”). The Company hereby agrees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obligations to Indemnitee are primary and any obligation of the Third-Party Indemnitors to advance expenses or to provide indemnification for the same expenses or liabilities incurred by Indemnitee are secondary), and that the Company will not assert that the Indemnitee must seek expense advancement or reimbursement, or indemnification, from any Third-Party Indemnitor before the Company must perform its expense advancement and reimbursement, and indemnification obligations, under this Agreement. No advancement or payment by the Third-Party Indemnitors on behalf of Indemnitee with respect to any claim for which Indemnitee has sought indemnification from the Company shall affect the foregoing. The Third-Party Indemnitors shall be subrogated to the extent of such advancement or payment to all of the rights of recovery which Indemnitee would have had against the Company if the Third-Party Indemnitors had not advanced or paid any amount to or on behalf of Indemnitee. If for any reason a court of competent jurisdiction determines that the Third-Party Indemnitors are not entitled to the subrogation rights described in the preceding sentence, the Third-Party Indemnitors shall have a right of contribution by the Company to the Third-Party Indemnitors with respect to any advance or payment by the Third-Party Indemnitors to or on behalf of the Indemnitee.</w:t>
      </w:r>
    </w:p>
    <w:p>
      <w:pPr>
        <w:spacing w:after="0" w:line="81" w:lineRule="exact"/>
        <w:rPr>
          <w:rFonts w:ascii="Times New Roman" w:cs="Times New Roman" w:eastAsia="Times New Roman" w:hAnsi="Times New Roman"/>
          <w:sz w:val="18"/>
          <w:szCs w:val="18"/>
          <w:color w:val="auto"/>
        </w:rPr>
      </w:pPr>
    </w:p>
    <w:p>
      <w:pPr>
        <w:ind w:right="340" w:firstLine="436"/>
        <w:spacing w:after="0" w:line="262" w:lineRule="auto"/>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Indemnitee is entitled under any provision of this Agreement to indemnification by the Company for some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Expenses, judgments, fines or amounts paid in settlement, actually and reasonably incurred in connection with a Proceeding, but not, however, for the total amount thereof, the Company shall nevertheless indemnify Indemnitee for the portion of such Expenses, judgments, fines and amounts paid in settlement to which Indemnitee is entitled.</w:t>
      </w:r>
    </w:p>
    <w:p>
      <w:pPr>
        <w:spacing w:after="0" w:line="6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Director and Officer Liability Insurance</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D&amp;O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from time to time, make the good faith determination whether or not it is practicable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obtain and maintain a policy or policies of insurance with reputable insurance companies providing the directors and officers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11" w:name="page112"/>
    <w:bookmarkEnd w:id="111"/>
    <w:p>
      <w:pPr>
        <w:ind w:left="-40" w:right="60" w:firstLine="987"/>
        <w:spacing w:after="0" w:line="262" w:lineRule="auto"/>
        <w:tabs>
          <w:tab w:leader="none" w:pos="12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Tail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of Control or the Company’s becoming insolvent (including being placed into receivership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six years thereafter.</w:t>
      </w:r>
    </w:p>
    <w:p>
      <w:pPr>
        <w:spacing w:after="0" w:line="68" w:lineRule="exact"/>
        <w:rPr>
          <w:rFonts w:ascii="Times New Roman" w:cs="Times New Roman" w:eastAsia="Times New Roman" w:hAnsi="Times New Roman"/>
          <w:sz w:val="18"/>
          <w:szCs w:val="18"/>
          <w:color w:val="auto"/>
        </w:rPr>
      </w:pPr>
    </w:p>
    <w:p>
      <w:pPr>
        <w:ind w:left="-40" w:right="240" w:firstLine="436"/>
        <w:spacing w:after="0" w:line="259"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to perform its obligations under this Agreement shall not constitute a breach of this Agreement.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71" w:lineRule="exact"/>
        <w:rPr>
          <w:rFonts w:ascii="Times New Roman" w:cs="Times New Roman" w:eastAsia="Times New Roman" w:hAnsi="Times New Roman"/>
          <w:sz w:val="18"/>
          <w:szCs w:val="18"/>
          <w:color w:val="auto"/>
        </w:rPr>
      </w:pPr>
    </w:p>
    <w:p>
      <w:pPr>
        <w:ind w:left="-40" w:right="500" w:firstLine="436"/>
        <w:spacing w:after="0" w:line="28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herein to the contrary notwithstanding, the Company shall not be obligated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6" w:lineRule="exact"/>
        <w:rPr>
          <w:rFonts w:ascii="Times New Roman" w:cs="Times New Roman" w:eastAsia="Times New Roman" w:hAnsi="Times New Roman"/>
          <w:sz w:val="18"/>
          <w:szCs w:val="18"/>
          <w:color w:val="auto"/>
        </w:rPr>
      </w:pPr>
    </w:p>
    <w:p>
      <w:pPr>
        <w:ind w:left="-40" w:right="60" w:firstLine="987"/>
        <w:spacing w:after="0" w:line="256" w:lineRule="auto"/>
        <w:tabs>
          <w:tab w:leader="none" w:pos="11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Claims Initiated by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or advance Expenses to Indemnitee with respect to Proceedings initiated or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by Indemnitee and not by way of defense, except with respect to Proceedings brought to establish, enforce or interpret a right to indemnification under this Agreement or any other statute or law or otherwise as required under Section 145 of the Delaware General Corporation Law, but such indemnification or advancement of Expenses may be provided by the Company in specific cases if the Board of Directors finds it to be appropriate; provided, however, that the exclusion set forth in the first clause of this subsection shall not be deemed to apply to any investigation initiated or brought by Indemnitee to the extent reasonably necessary or advisable in support of Indemnitee’s defense of a Proceeding to which Indemnitee was, is or is threatened to be made, a party;</w:t>
      </w:r>
    </w:p>
    <w:p>
      <w:pPr>
        <w:spacing w:after="0" w:line="74" w:lineRule="exact"/>
        <w:rPr>
          <w:rFonts w:ascii="Times New Roman" w:cs="Times New Roman" w:eastAsia="Times New Roman" w:hAnsi="Times New Roman"/>
          <w:sz w:val="18"/>
          <w:szCs w:val="18"/>
          <w:color w:val="auto"/>
        </w:rPr>
      </w:pPr>
    </w:p>
    <w:p>
      <w:pPr>
        <w:ind w:left="-40" w:right="100" w:firstLine="987"/>
        <w:spacing w:after="0" w:line="262" w:lineRule="auto"/>
        <w:tabs>
          <w:tab w:leader="none" w:pos="12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Lack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any Expenses incurred by Indemnitee with respect to any Proceeding instituted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to establish, enforce or interpret a right to indemnification under this Agreement or any other statute or law or otherwise as required under Section 145 of the Delaware General Corporation Law, if a court of competent jurisdiction determines that each of the material assertions made by Indemnitee in such proceeding was not made in good faith or was frivolous;</w:t>
      </w:r>
    </w:p>
    <w:p>
      <w:pPr>
        <w:spacing w:after="0" w:line="68" w:lineRule="exact"/>
        <w:rPr>
          <w:rFonts w:ascii="Times New Roman" w:cs="Times New Roman" w:eastAsia="Times New Roman" w:hAnsi="Times New Roman"/>
          <w:sz w:val="18"/>
          <w:szCs w:val="18"/>
          <w:color w:val="auto"/>
        </w:rPr>
      </w:pPr>
    </w:p>
    <w:p>
      <w:pPr>
        <w:ind w:left="-40" w:firstLine="987"/>
        <w:spacing w:after="0" w:line="286" w:lineRule="auto"/>
        <w:tabs>
          <w:tab w:leader="none" w:pos="11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Unlawful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to the extent it is determined by a final court order or judgment by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competent jurisdiction, to which all rights of appeal have either lapsed or been exhausted, that such indemnification is unlawful;</w:t>
      </w:r>
    </w:p>
    <w:p>
      <w:pPr>
        <w:spacing w:after="0" w:line="46" w:lineRule="exact"/>
        <w:rPr>
          <w:rFonts w:ascii="Times New Roman" w:cs="Times New Roman" w:eastAsia="Times New Roman" w:hAnsi="Times New Roman"/>
          <w:sz w:val="18"/>
          <w:szCs w:val="18"/>
          <w:color w:val="auto"/>
        </w:rPr>
      </w:pPr>
    </w:p>
    <w:p>
      <w:pPr>
        <w:ind w:left="-40" w:right="40" w:firstLine="987"/>
        <w:spacing w:after="0" w:line="286" w:lineRule="auto"/>
        <w:tabs>
          <w:tab w:leader="none" w:pos="12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on account of Indemnitee’s conduct that is established by a final court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judgment by a court of competent jurisdiction, to which all rights of appeal have either lapsed or been exhausted, as knowingly fraudulent;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66" w:right="479" w:bottom="1440" w:gutter="0" w:footer="0" w:header="0"/>
        </w:sectPr>
      </w:pPr>
    </w:p>
    <w:bookmarkStart w:id="112" w:name="page113"/>
    <w:bookmarkEnd w:id="112"/>
    <w:p>
      <w:pPr>
        <w:ind w:right="460" w:firstLine="987"/>
        <w:spacing w:after="0" w:line="286" w:lineRule="auto"/>
        <w:tabs>
          <w:tab w:leader="none" w:pos="12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Insured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for Expenses to the extent such Expenses have been paid directly to Indemnitee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carrier under an insurance policy maintained by the Company; or</w:t>
      </w:r>
    </w:p>
    <w:p>
      <w:pPr>
        <w:spacing w:after="0" w:line="46" w:lineRule="exact"/>
        <w:rPr>
          <w:rFonts w:ascii="Times New Roman" w:cs="Times New Roman" w:eastAsia="Times New Roman" w:hAnsi="Times New Roman"/>
          <w:sz w:val="18"/>
          <w:szCs w:val="18"/>
          <w:color w:val="auto"/>
        </w:rPr>
      </w:pPr>
    </w:p>
    <w:p>
      <w:pPr>
        <w:ind w:firstLine="987"/>
        <w:spacing w:after="0" w:line="254" w:lineRule="auto"/>
        <w:tabs>
          <w:tab w:leader="none" w:pos="121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Exchange Act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indemnify Indemnitee in connection with any claim made against Indemnitee for (i) an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profits made from the purchase and sale (or sale and purchase) by Indemnitee of securities of the Company within the meaning of Section 16(b) of the Exchange Act or any similar successor statute or any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or Section 954 of the Dodd-Frank Wall Street Reform and Consumer Protection Act, or the payment to the Company of profits arising from the purchase and sale by Indemnitee of securities in violation of Section 306 of the Sarbanes-Oxley Act); provided, however, that to the fullest extent permitted by applicable law and to the extent Indemnitee is successful on the merits or otherwise with respect to any such Proceeding, the Expenses actually and reasonably incurred by Indemnitee in connection with any such Proceeding shall be deemed to be Expenses that are subject to indemnification hereunder.</w:t>
      </w:r>
    </w:p>
    <w:p>
      <w:pPr>
        <w:spacing w:after="0" w:line="7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 Claims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in Section 1 is unavailable in whole or in part and may not be paid to Indemnitee for any reason other than those set forth in Section 7, then in respect to any Proceeding in which the Company is jointly liable with Indemnitee (or would be if joined in such Proceeding), to the fullest extent permitted by applicable law, the Company, in lieu of indemnifying Indemnitee, shall pay, in the first instance, the entire amount incurred by Indemnitee, whether for Expenses, judgments, fines or amounts paid in settlement, in connection with any Proceeding without requiring Indemnitee to contribute to such payment, and the Company hereby waives and relinquishes any right of contribution it may have at any time against Indemnitee.</w:t>
      </w:r>
    </w:p>
    <w:p>
      <w:pPr>
        <w:spacing w:after="0" w:line="79" w:lineRule="exact"/>
        <w:rPr>
          <w:rFonts w:ascii="Times New Roman" w:cs="Times New Roman" w:eastAsia="Times New Roman" w:hAnsi="Times New Roman"/>
          <w:sz w:val="18"/>
          <w:szCs w:val="18"/>
          <w:color w:val="auto"/>
        </w:rPr>
      </w:pPr>
    </w:p>
    <w:p>
      <w:pPr>
        <w:ind w:right="40" w:firstLine="987"/>
        <w:spacing w:after="0" w:line="271" w:lineRule="auto"/>
        <w:tabs>
          <w:tab w:leader="none" w:pos="1243"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diminishing or impairing the obligations of the Company set forth in the preceding Section 8(a), if, for any reason, Indemnitee shall elect or be required to pay all or any portion of any Expenses,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3" w:name="page114"/>
    <w:bookmarkEnd w:id="11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75" w:lineRule="exact"/>
        <w:rPr>
          <w:sz w:val="20"/>
          <w:szCs w:val="20"/>
          <w:color w:val="auto"/>
        </w:rPr>
      </w:pPr>
    </w:p>
    <w:p>
      <w:pPr>
        <w:ind w:right="120" w:firstLine="987"/>
        <w:spacing w:after="0" w:line="261" w:lineRule="auto"/>
        <w:tabs>
          <w:tab w:leader="none" w:pos="12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Proceeding brought against directors, officers, employees or agents of the Company (other than Indemnitee), to the fullest extent permitted by applicable law, the Company shall indemnify Indemnitee, from any claims for contribution that may be brought by any such directors, officers, employees or agents of the Company (other than Indemnitee) who may be jointly liable with Indemnitee, to the same extent Indemnitee would have been entitled to such indemnification under this Agreement if such Proceeding had been brought against Indemnitee.</w:t>
      </w:r>
    </w:p>
    <w:p>
      <w:pPr>
        <w:spacing w:after="0" w:line="67" w:lineRule="exact"/>
        <w:rPr>
          <w:rFonts w:ascii="Times New Roman" w:cs="Times New Roman" w:eastAsia="Times New Roman" w:hAnsi="Times New Roman"/>
          <w:sz w:val="18"/>
          <w:szCs w:val="18"/>
          <w:color w:val="auto"/>
        </w:rPr>
      </w:pPr>
    </w:p>
    <w:p>
      <w:pPr>
        <w:ind w:right="260" w:firstLine="436"/>
        <w:spacing w:after="0" w:line="286" w:lineRule="auto"/>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Imputation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knowledge and/or actions, or failure to act, of any director, officer, agent or employee of the Company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shall not be imputed to Indemnitee for purposes of determining any rights under this Agreement.</w:t>
      </w:r>
    </w:p>
    <w:p>
      <w:pPr>
        <w:spacing w:after="0" w:line="46"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determination of good faith, Indemnitee shall be deemed to have acted in good faith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Indemnitee’s action is based on the records or books of account of the Enterprise, including financial statements, or on information supplied to Indemnitee by the officers of the Enterprise in the course of their duties, or on the advice of legal counsel for the Enterprise or the Board of Directors of the Enterprise or any counsel selected by any committee of the Board of Directors of the Enterprise or on information or records given or reports made to the Enterprise by an independent certified public accountant or by an appraiser, investment banker, compensation consultant, or other expert selected with reasonable care by the Enterprise or the Board of Directors of the Enterprise or any committee thereof. The provisions of this Section 10 shall not be deemed to be exclusive or to limit in any way the other circumstances in which the Indemnitee may be deemed to have met the applicable standard of conduct. Whether or not the foregoing provisions of this Section are satisfied, it shall in any event be presumed that Indemnitee has at all times acted in good faith and in a manner Indemnitee reasonably believed to be in or not opposed to the best interests of the Company.</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 and Phrases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following terms shall have the following meanings:</w:t>
      </w:r>
    </w:p>
    <w:p>
      <w:pPr>
        <w:spacing w:after="0" w:line="121"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occur upon the earliest of any of the following events: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4" w:name="page115"/>
    <w:bookmarkEnd w:id="114"/>
    <w:p>
      <w:pPr>
        <w:ind w:left="4" w:right="220" w:firstLine="1428"/>
        <w:spacing w:after="0" w:line="277" w:lineRule="auto"/>
        <w:tabs>
          <w:tab w:leader="none" w:pos="165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of Stock by Third Party</w:t>
      </w:r>
      <w:r>
        <w:rPr>
          <w:rFonts w:ascii="Times New Roman" w:cs="Times New Roman" w:eastAsia="Times New Roman" w:hAnsi="Times New Roman"/>
          <w:sz w:val="17"/>
          <w:szCs w:val="17"/>
          <w:color w:val="auto"/>
        </w:rPr>
        <w:t>. Any Person is or becomes the Beneficial Owner, directly or indirectly, of securities of the Company representing 30%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of Control under part (iii) of this definition.</w:t>
      </w:r>
    </w:p>
    <w:p>
      <w:pPr>
        <w:spacing w:after="0" w:line="59" w:lineRule="exact"/>
        <w:rPr>
          <w:rFonts w:ascii="Times New Roman" w:cs="Times New Roman" w:eastAsia="Times New Roman" w:hAnsi="Times New Roman"/>
          <w:sz w:val="17"/>
          <w:szCs w:val="17"/>
          <w:color w:val="auto"/>
        </w:rPr>
      </w:pPr>
    </w:p>
    <w:p>
      <w:pPr>
        <w:ind w:left="4" w:right="120" w:firstLine="1428"/>
        <w:spacing w:after="0" w:line="261" w:lineRule="auto"/>
        <w:tabs>
          <w:tab w:leader="none" w:pos="17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of this Agreement, constitute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any new director whose election by the Board or nomination for election by the Company’s stockholders was approved by a vote of at least two thirds of the directors then still in office who were directors on the date of this Agreement (collectively, the “</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71" w:lineRule="exact"/>
        <w:rPr>
          <w:rFonts w:ascii="Times New Roman" w:cs="Times New Roman" w:eastAsia="Times New Roman" w:hAnsi="Times New Roman"/>
          <w:sz w:val="18"/>
          <w:szCs w:val="18"/>
          <w:color w:val="auto"/>
        </w:rPr>
      </w:pPr>
    </w:p>
    <w:p>
      <w:pPr>
        <w:ind w:left="4" w:right="40" w:firstLine="1428"/>
        <w:spacing w:after="0" w:line="267" w:lineRule="auto"/>
        <w:tabs>
          <w:tab w:leader="none" w:pos="175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The effective date of a reorganization, merger, or consolidation of the Company (a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Combination</w:t>
      </w:r>
      <w:r>
        <w:rPr>
          <w:rFonts w:ascii="Times New Roman" w:cs="Times New Roman" w:eastAsia="Times New Roman" w:hAnsi="Times New Roman"/>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and with the power to elect at least a majority of the Board or other governing body of the surviving entity; (2) no Person (excluding any corporation resulting from such Business Combination) is the Beneficial Owner, directly or indirectly, of 15% or more of the combined voting power of the then outstanding securities entitled to vote generally in the election of directors of such corporation except to the extent that such ownership existed prior to the Business Combination; and</w:t>
      </w:r>
    </w:p>
    <w:p>
      <w:pPr>
        <w:spacing w:after="0" w:line="3" w:lineRule="exact"/>
        <w:rPr>
          <w:rFonts w:ascii="Times New Roman" w:cs="Times New Roman" w:eastAsia="Times New Roman" w:hAnsi="Times New Roman"/>
          <w:sz w:val="17"/>
          <w:szCs w:val="17"/>
          <w:color w:val="auto"/>
        </w:rPr>
      </w:pPr>
    </w:p>
    <w:p>
      <w:pPr>
        <w:ind w:left="4" w:right="180" w:hanging="4"/>
        <w:spacing w:after="0" w:line="260"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73"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74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Company’s stockholders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71"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or any similar schedule or form) promulgated under the Exchange Act whether or not the Company is then subject to such reporting requirement.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15" w:name="page116"/>
    <w:bookmarkEnd w:id="115"/>
    <w:p>
      <w:pPr>
        <w:ind w:left="4" w:right="40" w:firstLine="987"/>
        <w:spacing w:after="0" w:line="256"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trustee, general partner, managing member, fiduciary, employee or agent of any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79" w:lineRule="exact"/>
        <w:rPr>
          <w:rFonts w:ascii="Times New Roman" w:cs="Times New Roman" w:eastAsia="Times New Roman" w:hAnsi="Times New Roman"/>
          <w:sz w:val="18"/>
          <w:szCs w:val="18"/>
          <w:color w:val="auto"/>
        </w:rPr>
      </w:pPr>
    </w:p>
    <w:p>
      <w:pPr>
        <w:jc w:val="both"/>
        <w:ind w:left="4" w:right="40" w:firstLine="987"/>
        <w:spacing w:after="0" w:line="266"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67"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means the Company and any other enterprise that Indemnitee was or is serving at the request of the Company as a director, officer, partner (general, limited or otherwise), member (managing or otherwise), trustee, fiduciary, employee or agent.</w:t>
      </w:r>
    </w:p>
    <w:p>
      <w:pPr>
        <w:spacing w:after="0" w:line="53"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all attorneys’ fees and costs, retainers, court costs, transcript costs, fees of experts, witness fees, travel expenses, fees of private investigators and professional advisors, duplicating costs, printing and binding costs, telephone charges, postage, delivery service fees, any federal, state, local or foreign taxes imposed on Indemnitee as a result of the actual or deemed receipt of any payment under this Agreement (including taxes that may be imposed upon the actual or deemed receipt of payments under this Agreement with respect to the imposition of federal, state, local or foreign taxes),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Expenses also shall include any of the forgoing expenses incurred in connection with any appeal resulting from any Proceeding, including the principal, premium, security for, and other costs relating to any costs bond, supersedes bond, or other appeal bond or its equivalent. Expenses also shall include any interest, assessment or other charges imposed thereon and costs incurred in preparing statements in support of payment requests hereunder. Expenses, however, shall not include amounts paid in settlement by Indemnitee or the amount of judgments or fines against Indemnitee.</w:t>
      </w:r>
    </w:p>
    <w:p>
      <w:pPr>
        <w:spacing w:after="0" w:line="83"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as set forth in Section 13(d) and 14(d) of the Exchange Act as in effect on the date hereof; provided, however, that “Person” shall exclude: (i) the Company; (ii) any direct or indirect majority owned subsidiaries of the Company; (iii) any employee benefit plan of the Company or any direct or indirect majority owned subsidiaries of the Company or of any corporation owned, directly or indirectly, by the Company’s stockholders in substantially the same proportions as their ownership of stock of the Company (an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or other fiduciary holding securities under an Employee Benefit Plan.</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16" w:name="page117"/>
    <w:bookmarkEnd w:id="116"/>
    <w:p>
      <w:pPr>
        <w:ind w:right="60" w:firstLine="987"/>
        <w:spacing w:after="0" w:line="253" w:lineRule="auto"/>
        <w:tabs>
          <w:tab w:leader="none" w:pos="12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include any actual, threatened, pending or completed action, suit, arbitration, mediation, alternate dispute resolution mechanism, investigation, inquiry, administrative hearing or any other actual, threatened or completed proceeding, whether brought by a third party, a government agency, the Company or its Board of Directors or a committee thereof, whether in the right of the Company or otherwise and whether of a civil (including intentional or unintentional tort claims), criminal, administrative, legislative or investigative (formal or informal) nature, including any appeal therefrom, in which Indemnitee was, is, will or might be involved as a party, potential party, non-party witness or otherwise by reason of Indemnitee’s Corporate Status, by reason of any action (or failure to act) taken by Indemnitee or of any action (or failure to act) on Indemnitee’s part while acting as a director, officer, employee or agent of the Company, or by reason of the fact that Indemnitee is or was serving at the request of the Company as a director, officer, partner (general, limited or otherwise), member (managing or otherwise), trustee, fiduciary, employee or agent of any other enterprise, in each case to the extent Indemnitee was serving in such capacity at the time any liability or expense is incurred for which indemnification, reimbursement or advancement of expenses can be provided under this Agreement.</w:t>
      </w:r>
    </w:p>
    <w:p>
      <w:pPr>
        <w:spacing w:after="0" w:line="86"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references to “</w:t>
      </w:r>
      <w:r>
        <w:rPr>
          <w:rFonts w:ascii="Times New Roman" w:cs="Times New Roman" w:eastAsia="Times New Roman" w:hAnsi="Times New Roman"/>
          <w:sz w:val="18"/>
          <w:szCs w:val="18"/>
          <w:u w:val="single" w:color="auto"/>
          <w:color w:val="auto"/>
        </w:rPr>
        <w:t>other enterprise</w:t>
      </w:r>
      <w:r>
        <w:rPr>
          <w:rFonts w:ascii="Times New Roman" w:cs="Times New Roman" w:eastAsia="Times New Roman" w:hAnsi="Times New Roman"/>
          <w:sz w:val="18"/>
          <w:szCs w:val="18"/>
          <w:color w:val="auto"/>
        </w:rPr>
        <w:t>” shall include another corporation, partnership, limited liability company, joint venture, trust, employee benefit plan or any other enterprise; references to “</w:t>
      </w:r>
      <w:r>
        <w:rPr>
          <w:rFonts w:ascii="Times New Roman" w:cs="Times New Roman" w:eastAsia="Times New Roman" w:hAnsi="Times New Roman"/>
          <w:sz w:val="18"/>
          <w:szCs w:val="18"/>
          <w:u w:val="single" w:color="auto"/>
          <w:color w:val="auto"/>
        </w:rPr>
        <w:t>fines</w:t>
      </w:r>
      <w:r>
        <w:rPr>
          <w:rFonts w:ascii="Times New Roman" w:cs="Times New Roman" w:eastAsia="Times New Roman" w:hAnsi="Times New Roman"/>
          <w:sz w:val="18"/>
          <w:szCs w:val="18"/>
          <w:color w:val="auto"/>
        </w:rPr>
        <w:t>” shall include any excise taxes assessed on Indemnitee with respect to an employee benefit plan; references to “</w:t>
      </w:r>
      <w:r>
        <w:rPr>
          <w:rFonts w:ascii="Times New Roman" w:cs="Times New Roman" w:eastAsia="Times New Roman" w:hAnsi="Times New Roman"/>
          <w:sz w:val="18"/>
          <w:szCs w:val="18"/>
          <w:u w:val="single" w:color="auto"/>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Indemnitee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u w:val="single" w:color="auto"/>
          <w:color w:val="auto"/>
        </w:rPr>
        <w:t>not opposed to the best interests of the Company</w:t>
      </w:r>
      <w:r>
        <w:rPr>
          <w:rFonts w:ascii="Times New Roman" w:cs="Times New Roman" w:eastAsia="Times New Roman" w:hAnsi="Times New Roman"/>
          <w:sz w:val="18"/>
          <w:szCs w:val="18"/>
          <w:color w:val="auto"/>
        </w:rPr>
        <w:t>” as referred to in this Agreement; references to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mean include or including, without limitation; and references to Sections, paragraphs or clauses are to Sections, paragraphs or clauses in this Agreement unless otherwise specified.</w:t>
      </w:r>
    </w:p>
    <w:p>
      <w:pPr>
        <w:spacing w:after="0" w:line="79" w:lineRule="exact"/>
        <w:rPr>
          <w:rFonts w:ascii="Times New Roman" w:cs="Times New Roman" w:eastAsia="Times New Roman" w:hAnsi="Times New Roman"/>
          <w:sz w:val="18"/>
          <w:szCs w:val="18"/>
          <w:color w:val="auto"/>
        </w:rPr>
      </w:pPr>
    </w:p>
    <w:p>
      <w:pPr>
        <w:ind w:right="100" w:firstLine="436"/>
        <w:spacing w:after="0" w:line="273" w:lineRule="auto"/>
        <w:tabs>
          <w:tab w:leader="none" w:pos="71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Attorneys’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that any Proceeding is instituted by Indemnitee under this Agreement to enforce or interpret any of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the Company shall indemnify Indemnitee against all Expenses actually and reasonably incurred by Indemnitee in connection with such Proceeding, unless a court of competent jurisdiction determines that each of the material assertions made by Indemnitee as a basis for such Proceeding were not made in good faith or were frivolous. In the event of a Proceeding instituted by or in the name of the Company under this Agreement or to enforce or interpret any of the terms of this Agreement, the Company shall indemnify Indemnitee against all Expenses actually and reasonably incurred by Indemnitee in connection with such Proceeding (including with respect to Indemnitee’s counterclaims and cross-claims made in such action), unless a court of competent jurisdiction determines that each of Indemnitee’s material defenses to such action were made in bad faith or were frivolous.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7" w:name="page118"/>
    <w:bookmarkEnd w:id="117"/>
    <w:p>
      <w:pPr>
        <w:ind w:left="660" w:hanging="26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40" w:right="180" w:firstLine="987"/>
        <w:spacing w:after="0" w:line="268" w:lineRule="auto"/>
        <w:tabs>
          <w:tab w:leader="none" w:pos="11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interpretation, construction and performance of this Agreement, and all acts and transactions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 rights and obligations of the parties hereto shall be governed, construed and interpreted in accordance with the laws of the state of Delaware, without giving effect to principles of conflicts of law.</w:t>
      </w:r>
    </w:p>
    <w:p>
      <w:pPr>
        <w:spacing w:after="0" w:line="62" w:lineRule="exact"/>
        <w:rPr>
          <w:rFonts w:ascii="Times New Roman" w:cs="Times New Roman" w:eastAsia="Times New Roman" w:hAnsi="Times New Roman"/>
          <w:sz w:val="18"/>
          <w:szCs w:val="18"/>
          <w:color w:val="auto"/>
        </w:rPr>
      </w:pPr>
    </w:p>
    <w:p>
      <w:pPr>
        <w:ind w:left="-40" w:right="20" w:firstLine="987"/>
        <w:spacing w:after="0" w:line="259"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any of the rights of Indemnitee described in Section 3(b), this Agreement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the entire agreement and understanding of the parties relating to the subject matter herein and merges all prior discussions and supersedes any and all previous agreements between them covering the subject matter herein. The indemnification provided under this Agreement applies with respect to events occurring before or after the effective date of this Agreement, and shall continue to apply even after Indemnitee has ceased to serve the Company in any and all indemnified capacities.</w:t>
      </w:r>
    </w:p>
    <w:p>
      <w:pPr>
        <w:spacing w:after="0" w:line="71" w:lineRule="exact"/>
        <w:rPr>
          <w:rFonts w:ascii="Times New Roman" w:cs="Times New Roman" w:eastAsia="Times New Roman" w:hAnsi="Times New Roman"/>
          <w:sz w:val="18"/>
          <w:szCs w:val="18"/>
          <w:color w:val="auto"/>
        </w:rPr>
      </w:pPr>
    </w:p>
    <w:p>
      <w:pPr>
        <w:ind w:left="-40" w:right="60" w:firstLine="987"/>
        <w:spacing w:after="0" w:line="268" w:lineRule="auto"/>
        <w:tabs>
          <w:tab w:leader="none" w:pos="11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modification of or amendment to this Agreement, nor any waiver of any rights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effective unless in writing signed by the parties to this Agreement. No delay or failure to require performance of any provision of this Agreement shall constitute a waiver of that provision as to that or any other instance.</w:t>
      </w:r>
    </w:p>
    <w:p>
      <w:pPr>
        <w:spacing w:after="0" w:line="62" w:lineRule="exact"/>
        <w:rPr>
          <w:rFonts w:ascii="Times New Roman" w:cs="Times New Roman" w:eastAsia="Times New Roman" w:hAnsi="Times New Roman"/>
          <w:sz w:val="18"/>
          <w:szCs w:val="18"/>
          <w:color w:val="auto"/>
        </w:rPr>
      </w:pPr>
    </w:p>
    <w:p>
      <w:pPr>
        <w:ind w:left="-40" w:right="40" w:firstLine="987"/>
        <w:spacing w:after="0" w:line="257"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the Company and its successors (including any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by purchase, merger, consolidation or otherwise to all or substantially all of the business and/or assets of the Company) and assigns, and inure to the benefit of Indemnitee and Indemnitee’s heirs, executors, administrators, legal representatives and assigns. The Company shall require and cause any successor (whether direct or indirect by purchase, merger, consolidation or otherwise) to all or substantially all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74" w:lineRule="exact"/>
        <w:rPr>
          <w:rFonts w:ascii="Times New Roman" w:cs="Times New Roman" w:eastAsia="Times New Roman" w:hAnsi="Times New Roman"/>
          <w:sz w:val="18"/>
          <w:szCs w:val="18"/>
          <w:color w:val="auto"/>
        </w:rPr>
      </w:pPr>
    </w:p>
    <w:p>
      <w:pPr>
        <w:jc w:val="both"/>
        <w:ind w:left="-40" w:firstLine="987"/>
        <w:spacing w:after="0" w:line="262" w:lineRule="auto"/>
        <w:tabs>
          <w:tab w:leader="none" w:pos="11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demand or request required or permitted to be given under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68" w:lineRule="exact"/>
        <w:rPr>
          <w:rFonts w:ascii="Times New Roman" w:cs="Times New Roman" w:eastAsia="Times New Roman" w:hAnsi="Times New Roman"/>
          <w:sz w:val="18"/>
          <w:szCs w:val="18"/>
          <w:color w:val="auto"/>
        </w:rPr>
      </w:pPr>
    </w:p>
    <w:p>
      <w:pPr>
        <w:ind w:left="-40" w:right="60" w:firstLine="987"/>
        <w:spacing w:after="0" w:line="262" w:lineRule="auto"/>
        <w:tabs>
          <w:tab w:leader="none" w:pos="117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are held to be unenforceable under applicable law, the parties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80" w:top="266" w:right="479" w:bottom="1440" w:gutter="0" w:footer="0" w:header="0"/>
        </w:sectPr>
      </w:pPr>
    </w:p>
    <w:bookmarkStart w:id="118" w:name="page119"/>
    <w:bookmarkEnd w:id="118"/>
    <w:p>
      <w:pPr>
        <w:ind w:firstLine="987"/>
        <w:spacing w:after="0" w:line="268"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the result of negotiations between and has been reviewed by each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counsel, if any; accordingly, this Agreement shall be deemed to be the product of all of the parties hereto, and no ambiguity shall be construed in favor of or against any one of the parties hereto.</w:t>
      </w:r>
    </w:p>
    <w:p>
      <w:pPr>
        <w:spacing w:after="0" w:line="62" w:lineRule="exact"/>
        <w:rPr>
          <w:rFonts w:ascii="Times New Roman" w:cs="Times New Roman" w:eastAsia="Times New Roman" w:hAnsi="Times New Roman"/>
          <w:sz w:val="18"/>
          <w:szCs w:val="18"/>
          <w:color w:val="auto"/>
        </w:rPr>
      </w:pPr>
    </w:p>
    <w:p>
      <w:pPr>
        <w:ind w:right="160" w:firstLine="987"/>
        <w:spacing w:after="0" w:line="268"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62"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is intended to create in Indemnitee any right to continued employment.</w:t>
      </w:r>
    </w:p>
    <w:p>
      <w:pPr>
        <w:spacing w:after="0" w:line="117" w:lineRule="exact"/>
        <w:rPr>
          <w:rFonts w:ascii="Times New Roman" w:cs="Times New Roman" w:eastAsia="Times New Roman" w:hAnsi="Times New Roman"/>
          <w:sz w:val="18"/>
          <w:szCs w:val="18"/>
          <w:color w:val="auto"/>
        </w:rPr>
      </w:pPr>
    </w:p>
    <w:p>
      <w:pPr>
        <w:ind w:right="20" w:firstLine="987"/>
        <w:spacing w:after="0" w:line="262" w:lineRule="auto"/>
        <w:tabs>
          <w:tab w:leader="none" w:pos="12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precluded from asserting, in any Proceeding brought for purposes of establishing, enforcing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interpreting any right to indemnification under this Agreement, that the procedures and presumptions of this Agreement are not valid, binding and enforceable and shall stipulate in any such court that the Company is bound by all the provisions of this Agreement and is precluded from making any assertion to the contrary.</w:t>
      </w:r>
    </w:p>
    <w:p>
      <w:pPr>
        <w:spacing w:after="0" w:line="68" w:lineRule="exact"/>
        <w:rPr>
          <w:rFonts w:ascii="Times New Roman" w:cs="Times New Roman" w:eastAsia="Times New Roman" w:hAnsi="Times New Roman"/>
          <w:sz w:val="18"/>
          <w:szCs w:val="18"/>
          <w:color w:val="auto"/>
        </w:rPr>
      </w:pPr>
    </w:p>
    <w:p>
      <w:pPr>
        <w:ind w:right="60" w:firstLine="987"/>
        <w:spacing w:after="0" w:line="268"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3(d), in the event of payment under this Agreement, the Company shall be subrogated to the extent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Indemnification Agreement as of the date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United States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946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794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p>
      <w:pPr>
        <w:spacing w:after="0" w:line="225"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Purpose;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purposes of the Clover Health Investments, Corp. Amended and Restated 2014 Equity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to: (a) enable Clover Health Investments, Corp., a Delaware corporation formerly known as CarePoint Investments,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w:t>
      </w:r>
    </w:p>
    <w:p>
      <w:pPr>
        <w:spacing w:after="0" w:line="183"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the Plan, unless otherwise provided by the Board with respect to a particular Award, the following initially capitalized words and phrases will be defined as set forth below, unless the context clearly requires a different meaning:</w:t>
      </w:r>
    </w:p>
    <w:p>
      <w:pPr>
        <w:spacing w:after="0" w:line="54" w:lineRule="exact"/>
        <w:rPr>
          <w:sz w:val="20"/>
          <w:szCs w:val="20"/>
          <w:color w:val="auto"/>
        </w:rPr>
      </w:pPr>
    </w:p>
    <w:p>
      <w:pPr>
        <w:ind w:right="540" w:firstLine="987"/>
        <w:spacing w:after="0" w:line="282"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 Person that directly or indirectly Controls, or is Controlled by, or is under common Control with such Person.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grant of Options, Restricted Stock or Restricted Stock Units pursuant to the provisions of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with respect to any particular Award, the written document that sets forth the terms of that particular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96" w:lineRule="exact"/>
        <w:rPr>
          <w:rFonts w:ascii="Times New Roman" w:cs="Times New Roman" w:eastAsia="Times New Roman" w:hAnsi="Times New Roman"/>
          <w:sz w:val="18"/>
          <w:szCs w:val="18"/>
          <w:color w:val="auto"/>
        </w:rPr>
      </w:pPr>
    </w:p>
    <w:p>
      <w:pPr>
        <w:ind w:right="100" w:firstLine="987"/>
        <w:spacing w:after="0" w:line="267"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means the Board of Directors of the Company, as constituted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Board appoints a Committee to perform some or all of the Board’s administrative functions hereunder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references in the Plan to the “Board” will be deemed to also refer to that Committee in connection with administrative matters to be performed by that Committee.</w:t>
      </w:r>
    </w:p>
    <w:p>
      <w:pPr>
        <w:spacing w:after="0" w:line="67"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(ii) gross negligence or willful misconduct with respect to the Company or any of its Affiliates, including, without limitation fraud, embezzlement, theft or proven dishonesty in the course of his or her employment; (iii) alcohol abuse or use of controlled drugs other than in accordance with a physician’s prescription; (iv) refusal to perform any lawful, material obligation or fulfill any duty (other than any duty or obligation of the type described in clause (vi) below) to the Company or its Affiliates (other than due to a Disability), which refusal, if curable, is not cured within fifteen (15) days after delivery of written notice thereof; (v) material breach of any agreement with or duty owed to the Company or any of its Affiliates, which breach, if curable, is not cured within fifteen (15) days after the delivery of written notice thereof; or (vi)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81" w:lineRule="exact"/>
        <w:rPr>
          <w:rFonts w:ascii="Times New Roman" w:cs="Times New Roman" w:eastAsia="Times New Roman" w:hAnsi="Times New Roman"/>
          <w:sz w:val="18"/>
          <w:szCs w:val="18"/>
          <w:color w:val="auto"/>
        </w:rPr>
      </w:pPr>
    </w:p>
    <w:p>
      <w:pPr>
        <w:ind w:right="320" w:firstLine="987"/>
        <w:spacing w:after="0" w:line="261"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with respect to any entity: (i) the sale, transfer, assignment or other disposition (including by merger or consolidation, but excluding any sales by stockholders made as part of an underwritten public offering of the common stock of the entity) by stockholders of the entity, in one transaction or a series of related transactions, of more than 50% of the voting power represented by the then outstanding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1" w:name="page122"/>
    <w:bookmarkEnd w:id="121"/>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stock of the entity to one or more Persons, (ii) the sale of all or substantially all of the assets of the entity (other than a transfer of financial assets made in the ordinary course of business for the purpose of securitization), or (iii) the liquidation, dissolution or winding up of the entity.</w:t>
      </w:r>
    </w:p>
    <w:p>
      <w:pPr>
        <w:spacing w:after="0" w:line="54" w:lineRule="exact"/>
        <w:rPr>
          <w:sz w:val="20"/>
          <w:szCs w:val="20"/>
          <w:color w:val="auto"/>
        </w:rPr>
      </w:pPr>
    </w:p>
    <w:p>
      <w:pPr>
        <w:ind w:left="1240" w:hanging="253"/>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 and any successor thereto.</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a committee appointed by the Board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Plan.</w:t>
      </w:r>
    </w:p>
    <w:p>
      <w:pPr>
        <w:spacing w:after="0" w:line="117" w:lineRule="exact"/>
        <w:rPr>
          <w:rFonts w:ascii="Times New Roman" w:cs="Times New Roman" w:eastAsia="Times New Roman" w:hAnsi="Times New Roman"/>
          <w:sz w:val="18"/>
          <w:szCs w:val="18"/>
          <w:color w:val="auto"/>
        </w:rPr>
      </w:pPr>
    </w:p>
    <w:p>
      <w:pPr>
        <w:ind w:right="620" w:firstLine="987"/>
        <w:spacing w:after="0" w:line="282" w:lineRule="auto"/>
        <w:tabs>
          <w:tab w:leader="none" w:pos="120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$0.0001 par value, subject to substitution or adjustment as provided in Section 3(c) hereof.</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as to any Person, the power to direct or cause the direction of the management and policies of such Person, whether through the ownership of voting securities, by contract or otherwise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have correlative meanings).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condition rendering a Participant Disabled.</w:t>
      </w:r>
    </w:p>
    <w:p>
      <w:pPr>
        <w:spacing w:after="0" w:line="117"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with respect to a particular Participant will have the same meaning as set forth in any long-term disability policy or program sponsored by the Company or any Affiliate covering such Participant, as in effect as of the date of such determination, or if no such policy or program shall be in effect, “Disabled” will have the meaning as set forth in Section 22(e)(3) of the Code.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1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as of any date: (i) the closing price of the Share as reported on the principal nationally recognized stock exchange on which the type of Shares are traded on such date, or if no prices are reported with respect to such Shares on such date, the closing price of the Share on the last preceding date on which there were reported prices of such Shares or (ii) if Shares of that type are not listed or admitted to unlisted trading privileges on a nationally recognized stock exchange, the Fair Market Value will be determined in good faith by the Board acting in its discretion based upon the reasonable application of a reasonable valuation method taking into account the facts and circumstances existing on the valuation date, which determination will be conclusive.</w:t>
      </w:r>
    </w:p>
    <w:p>
      <w:pPr>
        <w:spacing w:after="0" w:line="79"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any Option intended to be and designated as an “Incentive Stock Option” within the meaning of Section 422 of the Code.</w:t>
      </w:r>
    </w:p>
    <w:p>
      <w:pPr>
        <w:spacing w:after="0" w:line="53"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will have the meaning set forth in Rule 16b-3(b)(3)(i) promulgated by the U.S. Securities and Exchange Commission under the Exchange Act, or any successor definition adopted by the Securities and Exchange Commission.</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any Option that is not an Incentive Stock Option.</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any option to purchase Shares (including Restricted Stock, if the Board so determines) granted pursuant to </w:t>
      </w:r>
      <w:r>
        <w:rPr>
          <w:rFonts w:ascii="Times New Roman" w:cs="Times New Roman" w:eastAsia="Times New Roman" w:hAnsi="Times New Roman"/>
          <w:sz w:val="18"/>
          <w:szCs w:val="18"/>
          <w:u w:val="single" w:color="auto"/>
          <w:color w:val="auto"/>
        </w:rPr>
        <w:t>Section 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98"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of the Company (or, in the context of Section 15(c) of the Plan, of a successor corporation), whether now or hereafter existing, as defined in Section 424(e) of the Code.</w:t>
      </w:r>
    </w:p>
    <w:p>
      <w:pPr>
        <w:spacing w:after="0" w:line="53" w:lineRule="exact"/>
        <w:rPr>
          <w:rFonts w:ascii="Times New Roman" w:cs="Times New Roman" w:eastAsia="Times New Roman" w:hAnsi="Times New Roman"/>
          <w:sz w:val="18"/>
          <w:szCs w:val="18"/>
          <w:color w:val="auto"/>
        </w:rPr>
      </w:pPr>
    </w:p>
    <w:p>
      <w:pPr>
        <w:ind w:right="600" w:firstLine="987"/>
        <w:spacing w:after="0" w:line="282"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employee, leased employee, consultant, Director or other service provider of the Company or any of its Affiliates to whom an Award is granted.</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trust, joint venture, unincorporated association, or other entity or association.</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Shares that are subject to restrictions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Purchase Agreement</w:t>
      </w:r>
      <w:r>
        <w:rPr>
          <w:rFonts w:ascii="Times New Roman" w:cs="Times New Roman" w:eastAsia="Times New Roman" w:hAnsi="Times New Roman"/>
          <w:sz w:val="18"/>
          <w:szCs w:val="18"/>
          <w:color w:val="auto"/>
        </w:rPr>
        <w:t>” means a written agreement between the Company and a Participant evidencing the terms and restrictions applying to stock purchased under a Stock Purchase Right. The Restricted Stock Purchase Agreement is subject to the terms and conditions of the Plan and the Award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22" w:name="page123"/>
    <w:bookmarkEnd w:id="122"/>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xml:space="preserve">” means a right granted under and subject to restrictions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1320" w:hanging="333"/>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shares of Common Stock, subject to substitution or adjustment as provided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right="60" w:firstLine="987"/>
        <w:spacing w:after="0" w:line="256" w:lineRule="auto"/>
        <w:tabs>
          <w:tab w:leader="none" w:pos="13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any stockholders agreement, by and between the Company and certain stockholders and/or one or more agreements among the Company, a Participant (or such Participant’s estate, heirs or beneficiaries) and other parties thereto in such form determined from time to time by the Company in its sole discretion, that include terms and conditions that provide the Company and/or other stockholders with (i) a right of first refusal or impose other restrictions with respect to the transfer of Shares, (ii) a voting agreement with respect to Shares, (iii) “drag-along” rights in favor of the stockholders owning a specified threshold of Shares of the Company, (iv) “market standoff” or “lock-up” conditions or (v) such other reasonable terms and conditions as the Board may require, if any.</w:t>
      </w:r>
    </w:p>
    <w:p>
      <w:pPr>
        <w:spacing w:after="0" w:line="79" w:lineRule="exact"/>
        <w:rPr>
          <w:rFonts w:ascii="Times New Roman" w:cs="Times New Roman" w:eastAsia="Times New Roman" w:hAnsi="Times New Roman"/>
          <w:sz w:val="18"/>
          <w:szCs w:val="18"/>
          <w:color w:val="auto"/>
        </w:rPr>
      </w:pPr>
    </w:p>
    <w:p>
      <w:pPr>
        <w:ind w:right="480" w:firstLine="987"/>
        <w:spacing w:after="0" w:line="282" w:lineRule="auto"/>
        <w:tabs>
          <w:tab w:leader="none" w:pos="13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Right</w:t>
      </w:r>
      <w:r>
        <w:rPr>
          <w:rFonts w:ascii="Times New Roman" w:cs="Times New Roman" w:eastAsia="Times New Roman" w:hAnsi="Times New Roman"/>
          <w:sz w:val="18"/>
          <w:szCs w:val="18"/>
          <w:color w:val="auto"/>
        </w:rPr>
        <w:t>” means the right to purchase Common Stock pursuant to Section 5(b)(viii) of the Plan, as evidenced by a Restricted Stock Purchase Agreement or other notice.</w:t>
      </w:r>
    </w:p>
    <w:p>
      <w:pPr>
        <w:spacing w:after="0" w:line="5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in respect of the Company, a subsidiary company, whether now or hereafter existing, as defined in Section 424(f)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Code.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140" w:firstLine="987"/>
        <w:spacing w:after="0" w:line="267"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Plan will be administered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Board may at any time appoint a Committee to perform some or all of the Board’s administrative functions hereunder; </w:t>
      </w:r>
      <w:r>
        <w:rPr>
          <w:rFonts w:ascii="Times New Roman" w:cs="Times New Roman" w:eastAsia="Times New Roman" w:hAnsi="Times New Roman"/>
          <w:sz w:val="18"/>
          <w:szCs w:val="18"/>
          <w:i w:val="1"/>
          <w:iCs w:val="1"/>
          <w:color w:val="auto"/>
        </w:rPr>
        <w:t>and provided further</w:t>
      </w:r>
      <w:r>
        <w:rPr>
          <w:rFonts w:ascii="Times New Roman" w:cs="Times New Roman" w:eastAsia="Times New Roman" w:hAnsi="Times New Roman"/>
          <w:sz w:val="18"/>
          <w:szCs w:val="18"/>
          <w:color w:val="auto"/>
        </w:rPr>
        <w:t xml:space="preserve">, that the authority of any Committee appointed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will be subject to such terms and conditions as the Board may prescribe.</w:t>
      </w:r>
    </w:p>
    <w:p>
      <w:pPr>
        <w:spacing w:after="0" w:line="67"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the Company’s By-Laws (as the same may be amended and/or restated from time to time) and Certificate of Incorporation (as the same may be amended and/or restated from time to time), any Stockholders Agreement and any other agreement that governs the appointment of Board committees, any Committee established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will be composed of not fewer than one member, who shall serve for such period of time as the Board determines. From time to time the Board may increase the size of the Committee and appoint additional members thereto, remove members (with or without cause) and appoint new members in substitution therefor, fill vacancies however caused, or remove all members of the Committee and thereafter directly administer the Plan.</w:t>
      </w:r>
    </w:p>
    <w:p>
      <w:pPr>
        <w:spacing w:after="0" w:line="79" w:lineRule="exact"/>
        <w:rPr>
          <w:rFonts w:ascii="Times New Roman" w:cs="Times New Roman" w:eastAsia="Times New Roman" w:hAnsi="Times New Roman"/>
          <w:sz w:val="18"/>
          <w:szCs w:val="18"/>
          <w:color w:val="auto"/>
        </w:rPr>
      </w:pPr>
    </w:p>
    <w:p>
      <w:pPr>
        <w:ind w:firstLine="987"/>
        <w:spacing w:after="0" w:line="289" w:lineRule="auto"/>
        <w:tabs>
          <w:tab w:leader="none" w:pos="12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who are eligible for Awards or have received Awards may vote on any matters affecting the administration of the Plan or the grant of Awards, except that no such member will act upon the grant of an Award to himself or herself, but any such member may be counted in determining the existence of a quorum at any meeting of the Board during which action is taken with respect to the grant of Awards to himself or herself.</w:t>
      </w:r>
    </w:p>
    <w:p>
      <w:pPr>
        <w:spacing w:after="0" w:line="4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have full authority to grant Awards under this Plan. In particular, subject to the terms of the Plan, the Board will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w:t>
      </w:r>
    </w:p>
    <w:p>
      <w:pPr>
        <w:spacing w:after="0" w:line="98"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persons to whom Awards may from time to time be granted hereunder (consistent with the eligibility conditions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to be granted to any person hereunder;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and type of Shares, if any, to be covered by each Award;</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terms and conditions of each Award Agreement;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under what circumstances an Option may be exercised without a payment of cash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5(b)(iv</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23" w:name="page124"/>
    <w:bookmarkEnd w:id="123"/>
    <w:p>
      <w:pPr>
        <w:ind w:left="-40" w:right="60" w:firstLine="1428"/>
        <w:spacing w:after="0" w:line="282" w:lineRule="auto"/>
        <w:tabs>
          <w:tab w:leader="none" w:pos="169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determine whether, to what extent and under what circumstances Shares and other amounts payable with respect to an Award may be deferred either automatically or at the election of the Participant; and</w:t>
      </w:r>
    </w:p>
    <w:p>
      <w:pPr>
        <w:spacing w:after="0" w:line="53" w:lineRule="exact"/>
        <w:rPr>
          <w:rFonts w:ascii="Times New Roman" w:cs="Times New Roman" w:eastAsia="Times New Roman" w:hAnsi="Times New Roman"/>
          <w:sz w:val="18"/>
          <w:szCs w:val="18"/>
          <w:color w:val="auto"/>
        </w:rPr>
      </w:pPr>
    </w:p>
    <w:p>
      <w:pPr>
        <w:ind w:left="-40" w:right="180" w:firstLine="1428"/>
        <w:spacing w:after="0" w:line="282" w:lineRule="auto"/>
        <w:tabs>
          <w:tab w:leader="none" w:pos="174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that, upon exercise of any Award granted under the Plan, the Participant shall become party to (X) any Stockholder Agreement the Board may require and (Y) any other agreement the Board may require.</w:t>
      </w:r>
    </w:p>
    <w:p>
      <w:pPr>
        <w:spacing w:after="0" w:line="53" w:lineRule="exact"/>
        <w:rPr>
          <w:rFonts w:ascii="Times New Roman" w:cs="Times New Roman" w:eastAsia="Times New Roman" w:hAnsi="Times New Roman"/>
          <w:sz w:val="18"/>
          <w:szCs w:val="18"/>
          <w:color w:val="auto"/>
        </w:rPr>
      </w:pPr>
    </w:p>
    <w:p>
      <w:pPr>
        <w:ind w:left="-40" w:right="40" w:firstLine="987"/>
        <w:spacing w:after="0" w:line="258" w:lineRule="auto"/>
        <w:tabs>
          <w:tab w:leader="none" w:pos="11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have the authority to adopt, alter and repeal such administrative rules, guidelines and practices governing the Plan as it, from time to time, deems advisable; to establish the terms of each Award Agreement; to interpret the terms and provisions of the Plan and any Award issued under the Plan (and any Award Agreement); and to otherwise supervise the administration of the Plan. The Board may correct any defect, supply any omission or reconcile any inconsistency in the Plan or in any Award in the manner and to the extent it deems necessary to carry out the intent of the Plan.</w:t>
      </w:r>
    </w:p>
    <w:p>
      <w:pPr>
        <w:spacing w:after="0" w:line="75" w:lineRule="exact"/>
        <w:rPr>
          <w:rFonts w:ascii="Times New Roman" w:cs="Times New Roman" w:eastAsia="Times New Roman" w:hAnsi="Times New Roman"/>
          <w:sz w:val="18"/>
          <w:szCs w:val="18"/>
          <w:color w:val="auto"/>
        </w:rPr>
      </w:pPr>
    </w:p>
    <w:p>
      <w:pPr>
        <w:ind w:left="-40" w:firstLine="987"/>
        <w:spacing w:after="0" w:line="256" w:lineRule="auto"/>
        <w:tabs>
          <w:tab w:leader="none" w:pos="11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made by the Board pursuant to the provisions of the Plan will be final and binding on all persons, including the Company, its Affiliates and Participants. No Director or member of the Committee, nor any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0" w:right="200" w:firstLine="987"/>
        <w:spacing w:after="0" w:line="258" w:lineRule="auto"/>
        <w:tabs>
          <w:tab w:leader="none" w:pos="11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 The Shares to be subject to or related to Awards under the Plan will be authorized and unissued Shares of the Company, whether or not previously issued and subsequently acquired by the Company. The maximum number of Shares that may be subject to Awards under the Plan is Eight Million Nine Hundred Thirty-Five Thousand Two Hundred Sixty-Three (8,935,263) all of which may be issued in respect of Incentive Stock Options. The Company will reserve for the purposes of the Plan, out of its authorized and unissued Shares, such number of Shares.</w:t>
      </w:r>
    </w:p>
    <w:p>
      <w:pPr>
        <w:spacing w:after="0" w:line="75" w:lineRule="exact"/>
        <w:rPr>
          <w:rFonts w:ascii="Times New Roman" w:cs="Times New Roman" w:eastAsia="Times New Roman" w:hAnsi="Times New Roman"/>
          <w:sz w:val="18"/>
          <w:szCs w:val="18"/>
          <w:color w:val="auto"/>
        </w:rPr>
      </w:pPr>
    </w:p>
    <w:p>
      <w:pPr>
        <w:ind w:left="-40" w:right="40" w:firstLine="987"/>
        <w:spacing w:after="0" w:line="256" w:lineRule="auto"/>
        <w:tabs>
          <w:tab w:leader="none" w:pos="12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Expiration or Termination of Awards</w:t>
      </w:r>
      <w:r>
        <w:rPr>
          <w:rFonts w:ascii="Times New Roman" w:cs="Times New Roman" w:eastAsia="Times New Roman" w:hAnsi="Times New Roman"/>
          <w:sz w:val="18"/>
          <w:szCs w:val="18"/>
          <w:color w:val="auto"/>
        </w:rPr>
        <w:t xml:space="preserve">. If and to the extent that an Option expires, terminates or is canceled or forfeited for any reason without having been exercised in full, the Shares associated with that Option will again become available for grant under the Plan. Similarly, if and to the extent any Restricted Stock or Restricted Stock Unit is canceled, forfeited or repurchased for any reason, or if any Share is withheld pursuant to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in settlement of a tax withholding obligation associated with an Award, that Share will again become available for grant under the Plan. Finally, if any Share is received in satisfaction of the exercise price payable upon exercise of an Option, that Share will become available for grant under the Plan.</w:t>
      </w:r>
    </w:p>
    <w:p>
      <w:pPr>
        <w:spacing w:after="0" w:line="79" w:lineRule="exact"/>
        <w:rPr>
          <w:rFonts w:ascii="Times New Roman" w:cs="Times New Roman" w:eastAsia="Times New Roman" w:hAnsi="Times New Roman"/>
          <w:sz w:val="18"/>
          <w:szCs w:val="18"/>
          <w:color w:val="auto"/>
        </w:rPr>
      </w:pPr>
    </w:p>
    <w:p>
      <w:pPr>
        <w:ind w:left="-40" w:right="20" w:firstLine="987"/>
        <w:spacing w:after="0" w:line="253" w:lineRule="auto"/>
        <w:tabs>
          <w:tab w:leader="none" w:pos="11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Adjustment</w:t>
      </w:r>
      <w:r>
        <w:rPr>
          <w:rFonts w:ascii="Times New Roman" w:cs="Times New Roman" w:eastAsia="Times New Roman" w:hAnsi="Times New Roman"/>
          <w:sz w:val="18"/>
          <w:szCs w:val="18"/>
          <w:color w:val="auto"/>
        </w:rPr>
        <w:t>. Subject to any required action by the stockholders of the Company, the number and type of Shares covered by each outstanding Option and/or Restricted Stock Unit, and the number and type of Shares of Restricted Stock outstanding, and the number and type of Shares which have been authorized for issuance under the Plan but as to which no Awards have yet been granted or which have been returned to the Plan upon cancellation or expiration of an Award, as well as the price per Share covered by each such outstanding Option and/or Restricted Stock Unit, shall be proportionately adjusted for any recapitalization, stock split, reverse stock split, reorganization, merger, consolidation, split-up, spin-off, combination, repurchase, or exchange of Shares or other securities of the Company, any other change in the corporate structure of the Company affecting the Shares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 hereunder. With respect to any Award subject to Section 409A of the Code or could be subject to 409A, no such adjustment shall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0" w:right="479" w:bottom="1440" w:gutter="0" w:footer="0" w:header="0"/>
        </w:sectPr>
      </w:pPr>
    </w:p>
    <w:bookmarkStart w:id="124" w:name="page125"/>
    <w:bookmarkEnd w:id="1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authorized to the extent that such adjustment would cause the Plan or Award to fail to comply with Section 409A.</w:t>
      </w:r>
    </w:p>
    <w:p>
      <w:pPr>
        <w:spacing w:after="0" w:line="117" w:lineRule="exact"/>
        <w:rPr>
          <w:sz w:val="20"/>
          <w:szCs w:val="20"/>
          <w:color w:val="auto"/>
        </w:rPr>
      </w:pPr>
    </w:p>
    <w:p>
      <w:pPr>
        <w:ind w:left="4" w:firstLine="987"/>
        <w:spacing w:after="0" w:line="252" w:lineRule="auto"/>
        <w:tabs>
          <w:tab w:leader="none" w:pos="12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Events</w:t>
      </w:r>
      <w:r>
        <w:rPr>
          <w:rFonts w:ascii="Times New Roman" w:cs="Times New Roman" w:eastAsia="Times New Roman" w:hAnsi="Times New Roman"/>
          <w:sz w:val="18"/>
          <w:szCs w:val="18"/>
          <w:color w:val="auto"/>
        </w:rPr>
        <w:t>. Notwithstanding anything to the contrary set forth in the Plan, upon or in anticipation of any Change in Control of the Company or any of its Affiliates or any other merger, consolidation, reorganization or other corporate transaction involving the Company or any of its Affiliates including, without limitation, a transaction which results in the Company becoming a subsidiary of a corporate parent (each, a “Corporate Event”), the Board may, in its sole and absolute discretion and without the need for the consent of any Participant, take one or more of the following actions contingent upon the occurrence of that Corporate Event: (i) cause any or all outstanding Options held by Participants affected by the Corporate Event to become vested and immediately exercisable, in whole or in part; (ii) cause any or all outstanding unvested Options held by Participants affected by the Corporate Event to be cancelled without consideration therefor; (iii) cause any or all Restricted Stock or Restricted Stock Units held by Participants affected by the Corporate Event to become non-forfeitable, in whole or in part; (iv) cause any Option to be assumed or cancelled in exchange for a substitute option in a manner consistent with the requirements of Treas. Reg. §1.424-1(a) (notwithstanding the fact that the original Option may never have been intended to satisfy the requirements for treatment as an Incentive Stock Option); (v) cancel any Restricted Stock or Restricted Stock Units held by a Participant affected by the Corporate Event in exchange for restricted stock of or restricted stock units in respect of the capital stock of any successor or parent corporation; (vi) redeem any Restricted Stock held by a Participant affected by the Corporate Transaction for cash and/or other substitute consideration with a value equal to the Fair Market Value of an unrestricted Share on the date of the Corporate Event;</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3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 any Option held by a Participant affected by the Corporate Event in exchange for cash and/or other substitute consideration with a value equal to (A) the number of Shares subject to that Option, multiplied by (B) the difference, if any, between the Fair Market Value per Share on the date of the Corporate Event and the exercise price of that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Fair Market Value per Share on the date of the Corporate Event does not exceed the exercise price of any such Option, the Board may cancel that Option without any payment of consideration therefor; or (viii) cancel any Restricted Stock Unit held by a Participant affected by the Corporate Event in exchange for cash and/or other substitute consideration with a value equal to the Fair Market Value per Share on the date of the Corporate Event.</w:t>
      </w:r>
    </w:p>
    <w:p>
      <w:pPr>
        <w:spacing w:after="0" w:line="81"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Notwithstanding anything contained in the Plan or in an Award Agreement to the contrary, in the event of a Change in Control, each Participant shall, except to the extent otherwise determined by the Board, be subject to substantially the same escrow, indemnification and similar obligations, contingencies and encumbrances contained in the definitive agreement relating to the Change in Control as other stockholders of the Company may be subject (including, without limitation, the requirement to contribute a proportionate number of Shares issued as a result of the exercise or vesting of an Award, or any cash or property that may be received upon exercise or exchange of an Award, to an escrow fund, or otherwise have a proportionate amount of such Shares, cash or other property encumbered by the indemnification, escrow and similar provisions of such definitive agreement). By accepting an Award, a Participant agrees to execute such documents and instruments as the Board may reasonably require for the Participant to be bound by such obligations. In the event that a Participant fails or refuses to execute such documents and instruments, such Participant’s Award (to the extent outstanding as of the date of the Change in Control) shall, unless otherwise determined by the Board, be canceled and be of no further force and effect upon the consummation of a Change in Control.</w:t>
      </w:r>
    </w:p>
    <w:p>
      <w:pPr>
        <w:spacing w:after="0" w:line="190"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Employees, Directors, consultants, and other individuals who provide services to the Company or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eligible to be granted Awards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only employees of the Company or a Subsidiary are eligible to be granted Incentive Stock Options.</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0" w:firstLine="987"/>
        <w:spacing w:after="0" w:line="282" w:lineRule="auto"/>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under the Plan may be of two types: (i) Incentive Stock Options or (ii) Non-Qualified Stock Options. Any Option granted under the Plan will be in such form as the Board may at the time of such grant approve.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25" w:name="page126"/>
    <w:bookmarkEnd w:id="125"/>
    <w:p>
      <w:pPr>
        <w:ind w:right="340" w:firstLine="987"/>
        <w:spacing w:after="0" w:line="28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Award Agreement evidencing any Option will incorporate the following terms and conditions and will contain such additional terms and conditions, not inconsistent with the terms of the Plan, as the Board deems appropriate in its sole and absolute discretion:</w:t>
      </w:r>
    </w:p>
    <w:p>
      <w:pPr>
        <w:spacing w:after="0" w:line="53" w:lineRule="exact"/>
        <w:rPr>
          <w:rFonts w:ascii="Times New Roman" w:cs="Times New Roman" w:eastAsia="Times New Roman" w:hAnsi="Times New Roman"/>
          <w:sz w:val="18"/>
          <w:szCs w:val="18"/>
          <w:color w:val="auto"/>
        </w:rPr>
      </w:pPr>
    </w:p>
    <w:p>
      <w:pPr>
        <w:jc w:val="both"/>
        <w:ind w:right="180" w:firstLine="1428"/>
        <w:spacing w:after="0" w:line="261" w:lineRule="auto"/>
        <w:tabs>
          <w:tab w:leader="none" w:pos="164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exercise price per Share purchasable under an Option will be not less than 100% of the Fair Market Value of the Share on the date of the grant. However, any Incentive Stock Option granted to any Participant who, at the time the Option is granted, owns more than 10% of the voting power of all classes of shares of the Company or of a Subsidiary will have an exercise price per Share of not less than 110% of Fair Market Value per Share on the date of the grant.</w:t>
      </w:r>
    </w:p>
    <w:p>
      <w:pPr>
        <w:spacing w:after="0" w:line="71" w:lineRule="exact"/>
        <w:rPr>
          <w:rFonts w:ascii="Times New Roman" w:cs="Times New Roman" w:eastAsia="Times New Roman" w:hAnsi="Times New Roman"/>
          <w:sz w:val="18"/>
          <w:szCs w:val="18"/>
          <w:color w:val="auto"/>
        </w:rPr>
      </w:pPr>
    </w:p>
    <w:p>
      <w:pPr>
        <w:ind w:right="20" w:firstLine="1428"/>
        <w:spacing w:after="0" w:line="261" w:lineRule="auto"/>
        <w:tabs>
          <w:tab w:leader="none" w:pos="169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Option will be fixed by the Board, but no Option will be exercisable more than ten (10) years after the date the Option is granted. However, any Incentive Stock Option granted to any Participant who, at the time such Option is granted, owns more than 10% of the voting power of all classes of shares of the Company or of a Subsidiary may not have a term of more than five years. No Option may be exercised by any person after expiration of the term of the Option.</w:t>
      </w:r>
    </w:p>
    <w:p>
      <w:pPr>
        <w:spacing w:after="0" w:line="71" w:lineRule="exact"/>
        <w:rPr>
          <w:rFonts w:ascii="Times New Roman" w:cs="Times New Roman" w:eastAsia="Times New Roman" w:hAnsi="Times New Roman"/>
          <w:sz w:val="18"/>
          <w:szCs w:val="18"/>
          <w:color w:val="auto"/>
        </w:rPr>
      </w:pPr>
    </w:p>
    <w:p>
      <w:pPr>
        <w:ind w:firstLine="1428"/>
        <w:spacing w:after="0" w:line="261" w:lineRule="auto"/>
        <w:tabs>
          <w:tab w:leader="none" w:pos="174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Options will vest and be exercisable at such time or times and subject to such terms and conditions as determined by the Board at the time of grant. If the Board provides, in its discretion, that any Option is exercisable only in installments, the Board may waive such installment exercise provisions at any time at or after grant, in whole or in part, based on such factors as the Board determines, in its sole and absolute discretion.</w:t>
      </w:r>
    </w:p>
    <w:p>
      <w:pPr>
        <w:spacing w:after="0" w:line="71" w:lineRule="exact"/>
        <w:rPr>
          <w:rFonts w:ascii="Times New Roman" w:cs="Times New Roman" w:eastAsia="Times New Roman" w:hAnsi="Times New Roman"/>
          <w:sz w:val="18"/>
          <w:szCs w:val="18"/>
          <w:color w:val="auto"/>
        </w:rPr>
      </w:pPr>
    </w:p>
    <w:p>
      <w:pPr>
        <w:ind w:right="40" w:firstLine="1428"/>
        <w:spacing w:after="0" w:line="253" w:lineRule="auto"/>
        <w:tabs>
          <w:tab w:leader="none" w:pos="17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Subject to the exercisability provisions of </w:t>
      </w:r>
      <w:r>
        <w:rPr>
          <w:rFonts w:ascii="Times New Roman" w:cs="Times New Roman" w:eastAsia="Times New Roman" w:hAnsi="Times New Roman"/>
          <w:sz w:val="18"/>
          <w:szCs w:val="18"/>
          <w:u w:val="single" w:color="auto"/>
          <w:color w:val="auto"/>
        </w:rPr>
        <w:t>Section 5(b)(iii)</w:t>
      </w:r>
      <w:r>
        <w:rPr>
          <w:rFonts w:ascii="Times New Roman" w:cs="Times New Roman" w:eastAsia="Times New Roman" w:hAnsi="Times New Roman"/>
          <w:sz w:val="18"/>
          <w:szCs w:val="18"/>
          <w:color w:val="auto"/>
        </w:rPr>
        <w:t xml:space="preserve">, the termination provisions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applicable Award Agreement, Options may be exercised in whole or in part (provided that the Company shall not be required to issue fractional shares) at any time and from time to time during the term of the Option, by the delivery of written notice of exercise by the Participant to the Company specifying the number of Shares to be purchased. Such notice will be accompanied by payment in full of the purchase price, either by certified or bank check, or such other means as the Board may accept. As determined by the Board, in its sole discretion, at or after grant, payment in full or in part of the exercise price of an Option may be made in the form of previously acquired Shares based on the Fair Market Value of the Shares on the date the Option is exercised. Subject to the approval of the Board, Options may be exercised pursuant to such cashless exercise procedures as may be approved and implemented by the Board from time to time, including without limitation pursuant to broker-assisted exercise transactions and/or net exercise procedures. No Shares will be issued upon exercise of an Option until full payment therefor has been made. A Participant will not have the right to distributions or dividends or any other rights of a stockholder with respect to Shares subject to the Option until the Participant has given written notice of exercise, has paid in full for such Shares, and, if requested, has given the representation described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hereof.</w:t>
      </w:r>
    </w:p>
    <w:p>
      <w:pPr>
        <w:spacing w:after="0" w:line="83" w:lineRule="exact"/>
        <w:rPr>
          <w:rFonts w:ascii="Times New Roman" w:cs="Times New Roman" w:eastAsia="Times New Roman" w:hAnsi="Times New Roman"/>
          <w:sz w:val="18"/>
          <w:szCs w:val="18"/>
          <w:color w:val="auto"/>
        </w:rPr>
      </w:pPr>
    </w:p>
    <w:p>
      <w:pPr>
        <w:ind w:right="40" w:firstLine="1428"/>
        <w:spacing w:after="0" w:line="258" w:lineRule="auto"/>
        <w:tabs>
          <w:tab w:leader="none" w:pos="168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or any Parent or Subsidiary will not exceed $100,000. For purposes of applying the foregoing limitation, Incentive Stock Options will be taken into account in the order granted. To the extent any Option does not meet such limitation, that Option will be treated for all purposes as a Non- Qualified Stock Option.</w:t>
      </w:r>
    </w:p>
    <w:p>
      <w:pPr>
        <w:spacing w:after="0" w:line="75" w:lineRule="exact"/>
        <w:rPr>
          <w:rFonts w:ascii="Times New Roman" w:cs="Times New Roman" w:eastAsia="Times New Roman" w:hAnsi="Times New Roman"/>
          <w:sz w:val="18"/>
          <w:szCs w:val="18"/>
          <w:color w:val="auto"/>
        </w:rPr>
      </w:pPr>
    </w:p>
    <w:p>
      <w:pPr>
        <w:ind w:right="160" w:firstLine="1428"/>
        <w:spacing w:after="0" w:line="282" w:lineRule="auto"/>
        <w:tabs>
          <w:tab w:leader="none" w:pos="17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Unless otherwise specified in the applicable Award Agreement, Options will be subject to the terms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exercise upon or following termination of employment or other service.</w:t>
      </w:r>
    </w:p>
    <w:p>
      <w:pPr>
        <w:spacing w:after="0" w:line="53"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Options</w:t>
      </w:r>
      <w:r>
        <w:rPr>
          <w:rFonts w:ascii="Times New Roman" w:cs="Times New Roman" w:eastAsia="Times New Roman" w:hAnsi="Times New Roman"/>
          <w:sz w:val="18"/>
          <w:szCs w:val="18"/>
          <w:color w:val="auto"/>
        </w:rPr>
        <w:t>. Except as may otherwise be specifically determined by the Board with respect to a particular</w:t>
      </w:r>
    </w:p>
    <w:p>
      <w:pPr>
        <w:spacing w:after="0" w:line="27" w:lineRule="exact"/>
        <w:rPr>
          <w:rFonts w:ascii="Times New Roman" w:cs="Times New Roman" w:eastAsia="Times New Roman" w:hAnsi="Times New Roman"/>
          <w:sz w:val="18"/>
          <w:szCs w:val="18"/>
          <w:color w:val="auto"/>
        </w:rPr>
      </w:pPr>
    </w:p>
    <w:p>
      <w:pPr>
        <w:ind w:right="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(i) no Option will be transferable by the Participant other than by will or by the laws of descent and distribution; and (ii) all Options will be exercisable during the Participant’s lifetime only by the Participant or, in the event of his or her Disability, by his or her personal representative. Notwithstanding the foregoing, a Non-Qualified Stock Option may be assigned in whole or in part during the Participant’s lifetime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6" w:name="page127"/>
    <w:bookmarkEnd w:id="126"/>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one or more members of the Participant’s Immediate Family (as defined in the Company’s Bylaws) or to a trust established exclusively for the Participant and/or one or more such family members or to Participant’s former spouse (including, without limitation, any domestic partner or partner by virtue of same-sex marriage and/or civil union), to the extent such assignment is in connection with the Participant’s estate plan or pursuant to a domestic relations order. The assigned portion may only be exercised by the person or persons who acquire a proprietary interest in the Non-Qualified Option pursuant to the assignment. The terms applicable to the assigned portion shall be the same as those in effect for the Option immediately prior to such assignment and shall be set forth in such documents issued to the assignee as the Board may deem appropriate.</w:t>
      </w:r>
    </w:p>
    <w:p>
      <w:pPr>
        <w:spacing w:after="0" w:line="79" w:lineRule="exact"/>
        <w:rPr>
          <w:sz w:val="20"/>
          <w:szCs w:val="20"/>
          <w:color w:val="auto"/>
        </w:rPr>
      </w:pPr>
    </w:p>
    <w:p>
      <w:pPr>
        <w:ind w:left="4" w:right="120" w:firstLine="1428"/>
        <w:spacing w:after="0" w:line="253" w:lineRule="auto"/>
        <w:tabs>
          <w:tab w:leader="none" w:pos="18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Purchase Rights</w:t>
      </w:r>
      <w:r>
        <w:rPr>
          <w:rFonts w:ascii="Times New Roman" w:cs="Times New Roman" w:eastAsia="Times New Roman" w:hAnsi="Times New Roman"/>
          <w:sz w:val="18"/>
          <w:szCs w:val="18"/>
          <w:color w:val="auto"/>
        </w:rPr>
        <w:t>. An Option may be granted with a Stock Purchase Right or the Board may add a Stock Purchase Right with respect to all or any portion of an outstanding Option at any time in its sole discretion, provided that, if the Stock Purchase Right would disqualify an Incentive Stock Option as such, such Stock Purchase Right may only be added to such Incentive Stock Option with the consent of the Participant. A Stock Purchase Right may be accepted by execution of a Restricted Stock Purchase Agreement in such form as is acceptable to the Board. Unless the Board determines otherwise, the Restricted Stock Purchase Agreement shall grant the Company a repurchase option exercisable upon the voluntary or involuntary termination of the purchaser’s service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Restricted Stock Purchase Agreement shall contain such other terms, provisions and conditions not inconsistent with the Plan as may be determined by the Board in its sole discretion. During the period of the restrictions set forth in the Restricted Stock Purchase Agreement, the Shares so purchased shall be treated as Restricted Stock under the plan.</w:t>
      </w:r>
    </w:p>
    <w:p>
      <w:pPr>
        <w:spacing w:after="0" w:line="82" w:lineRule="exact"/>
        <w:rPr>
          <w:sz w:val="20"/>
          <w:szCs w:val="20"/>
          <w:color w:val="auto"/>
        </w:rPr>
      </w:pPr>
    </w:p>
    <w:p>
      <w:pPr>
        <w:ind w:left="4"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color w:val="auto"/>
        </w:rPr>
        <w:t>. Unless otherwise specified with respect to a particular Award, Options granted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 exercisable after termination of employment or other service only to the extent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4" w:right="40" w:firstLine="987"/>
        <w:spacing w:after="0" w:line="256" w:lineRule="auto"/>
        <w:tabs>
          <w:tab w:leader="none" w:pos="12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w:t>
      </w:r>
      <w:r>
        <w:rPr>
          <w:rFonts w:ascii="Times New Roman" w:cs="Times New Roman" w:eastAsia="Times New Roman" w:hAnsi="Times New Roman"/>
          <w:sz w:val="18"/>
          <w:szCs w:val="18"/>
          <w:color w:val="auto"/>
        </w:rPr>
        <w:t>. If a Participant’s service with the Company or any of its Affiliates terminates by reason of death, any Option held by such Participant may thereafter be exercised, to the extent then exercisable or on such accelerated basis as the Board may determine, at or after grant, by the legal representative of the estate or by the legatee of the Participant under the will of the Participant, for a period expiring (i) at such time as may be specified by the Board at or after the time of grant (which, in the event that the Participant resides in the state of California, shall be no less than six (6) months from the date of termination), or (ii) if not specified by the Board, then twelve (12) months from the date of death, or (iii) if sooner than the applicable period specified under (i) or (ii) above, then upon the expiration of the stated term of such Option.</w:t>
      </w:r>
    </w:p>
    <w:p>
      <w:pPr>
        <w:spacing w:after="0" w:line="79"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Reason of Disability</w:t>
      </w:r>
      <w:r>
        <w:rPr>
          <w:rFonts w:ascii="Times New Roman" w:cs="Times New Roman" w:eastAsia="Times New Roman" w:hAnsi="Times New Roman"/>
          <w:sz w:val="17"/>
          <w:szCs w:val="17"/>
          <w:color w:val="auto"/>
        </w:rPr>
        <w:t>. If a Participant’s service with the Company or any of its Affiliates terminates by reason of Disability, any Option held by such Participant may thereafter be exercised by the Participant or his or her personal representative, to the extent it was exercisable at the time of termination, or on such accelerated basis as the Board may determine at or after grant, for a period expiring (i) at such time as may be specified by the Board at or after the time of grant (which, in the event that the Participant resides in the state of California, shall be no less than six (6) months from the date of termination), or (ii) if not specified by the Board, then twelve (12) months from the date of termination of service, or</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sooner than the applicable period specified under (i) or (ii) above, then upon the expiration of the stated term of such Option.</w:t>
      </w:r>
    </w:p>
    <w:p>
      <w:pPr>
        <w:spacing w:after="0" w:line="98"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If a Participant’s service with the Company or any Affiliate is terminated for Cause: (i) any Option not already exercised will be immediately and automatically forfeited as of the date of such termination, and (ii) any Shares for which the Company has not yet delivered share certificates will be immediately and automatically forfeited and the Company will refund to the Participant the Option exercise price paid for such Shares, if any.</w:t>
      </w:r>
    </w:p>
    <w:p>
      <w:pPr>
        <w:spacing w:after="0" w:line="7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a Participant’s service with the Company or any Affiliate terminates for any reason other than death, Disability or Cause, any Option held by such Participant may thereafter be exercised by the Participant, to the extent it was exercisable at the time of such termination, or on such accelerated basis as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27" w:name="page128"/>
    <w:bookmarkEnd w:id="12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may determine at or after grant, for a period expiring (i) at such time as may be specified by the Board at or after the time of grant (which, in the event that the Participant resides in the state of California, shall be no less than thirty (30) days from the date of termination), or (ii) if not specified by the Board, then ninety (90) days from the date of termination of service or (iii) if sooner than the applicable period specified under (i) or (ii) above, then upon the expiration of the stated term of such Option.</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8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Restricted Stock may be issued either alone or in conjunction with other Awards. The Board will determine the time or times within which Restricted Stock may be subject to forfeiture, and all other conditions of such Awards.</w:t>
      </w:r>
    </w:p>
    <w:p>
      <w:pPr>
        <w:spacing w:after="0" w:line="53"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and Certificates</w:t>
      </w:r>
      <w:r>
        <w:rPr>
          <w:rFonts w:ascii="Times New Roman" w:cs="Times New Roman" w:eastAsia="Times New Roman" w:hAnsi="Times New Roman"/>
          <w:sz w:val="18"/>
          <w:szCs w:val="18"/>
          <w:color w:val="auto"/>
        </w:rPr>
        <w:t>. The Award Agreement evidencing the grant of any Restricted Stock will contain such terms and conditions, not inconsistent with the terms of the Plan, as the Board deems appropriate in its sole and absolute discretion. The prospective recipient of an Award of Restricted Stock will not have any rights with respect to such Award, unless and until such recipient has executed an Award Agreement and has delivered a fully executed copy thereof to the Company, and has otherwise complied with the applicable terms and conditions of such Award. The purchase price for Restricted Stock may, but need not, be zero. A share certificate will be issued in connection with each Award of Restricted Stock. Such certificate will be registered in the name of the Participant receiving the Award, and will bear the following legend and/or any other legend required by this Plan, the Award Agreement, Stockholders Agreement, if any, or by applicable law:</w:t>
      </w:r>
    </w:p>
    <w:p>
      <w:pPr>
        <w:spacing w:after="0" w:line="77" w:lineRule="exact"/>
        <w:rPr>
          <w:sz w:val="20"/>
          <w:szCs w:val="20"/>
          <w:color w:val="auto"/>
        </w:rPr>
      </w:pPr>
    </w:p>
    <w:p>
      <w:pPr>
        <w:ind w:left="980" w:right="1120"/>
        <w:spacing w:after="0" w:line="254" w:lineRule="auto"/>
        <w:rPr>
          <w:sz w:val="20"/>
          <w:szCs w:val="20"/>
          <w:color w:val="auto"/>
        </w:rPr>
      </w:pPr>
      <w:r>
        <w:rPr>
          <w:rFonts w:ascii="Times New Roman" w:cs="Times New Roman" w:eastAsia="Times New Roman" w:hAnsi="Times New Roman"/>
          <w:sz w:val="18"/>
          <w:szCs w:val="18"/>
          <w:b w:val="1"/>
          <w:bCs w:val="1"/>
          <w:color w:val="auto"/>
        </w:rPr>
        <w:t>THE TRANSFERABILITY OF THIS CERTIFICATE AND THE SHARES REPRESENTED HEREBY ARE SUBJECT TO THE TERMS AND CONDITIONS OF THE CLOVER HEALTH INVESTMENTS, CORP. AMENDED AND RESTATED 2014 EQUITY INCENTIVE PLAN AND AN AGREEMENT ENTERED INTO BETWEEN THE PARTICIPANT AND CLOVER HEALTH INVESTMENTS, CORP. (WHICH TERMS AND CONDITIONS MAY INCLUDE, WITHOUT LIMITATION, CERTAIN TRANSFER RESTRICTIONS, REPURCHASE RIGHTS AND FORFEITURE CONDITIONS). COPIES OF THAT PLAN AND AGREEMENT ARE ON FILE IN THE PRINCIPAL OFFICES OF CLOVER HEALTH INVESTMENTS, CORP. AND WILL BE MADE AVAILABLE TO THE HOLDER OF THIS CERTIFICATE WITHOUT CHARGE UPON REQUEST TO THE SECRETARY OF THE COMPANY.</w:t>
      </w:r>
    </w:p>
    <w:p>
      <w:pPr>
        <w:spacing w:after="0" w:line="1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Share certificates evidencing Restricted Stock will be held in custody by the Company or in escrow by an escrow agent until the restrictions thereon have lapsed. As a condition to any Restricted Stock award, the Participant may be required to deliver to the Company a share power, endorsed in blank, relating to the Shares covered by such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 xml:space="preserve">. The Restricted Stock awarded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subject to the following restrictions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w:t>
      </w:r>
    </w:p>
    <w:p>
      <w:pPr>
        <w:spacing w:after="0" w:line="99" w:lineRule="exact"/>
        <w:rPr>
          <w:sz w:val="20"/>
          <w:szCs w:val="20"/>
          <w:color w:val="auto"/>
        </w:rPr>
      </w:pPr>
    </w:p>
    <w:p>
      <w:pPr>
        <w:ind w:right="60" w:firstLine="1428"/>
        <w:spacing w:after="0" w:line="281" w:lineRule="auto"/>
        <w:tabs>
          <w:tab w:leader="none" w:pos="164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commencing with the date of an Award of Restricted Stock and ending at such time or times as specified by the Board (the “</w:t>
      </w:r>
      <w:r>
        <w:rPr>
          <w:rFonts w:ascii="Times New Roman" w:cs="Times New Roman" w:eastAsia="Times New Roman" w:hAnsi="Times New Roman"/>
          <w:sz w:val="17"/>
          <w:szCs w:val="17"/>
          <w:u w:val="single" w:color="auto"/>
          <w:color w:val="auto"/>
        </w:rPr>
        <w:t>Restriction Period</w:t>
      </w:r>
      <w:r>
        <w:rPr>
          <w:rFonts w:ascii="Times New Roman" w:cs="Times New Roman" w:eastAsia="Times New Roman" w:hAnsi="Times New Roman"/>
          <w:sz w:val="17"/>
          <w:szCs w:val="17"/>
          <w:color w:val="auto"/>
        </w:rPr>
        <w:t>”), the Participant will not be permitted to sell, transfer, pledge, assign or otherwise encumber Restricted Stock awarded under the Plan. The Board may condition the lapse of restrictions on Restricted Stock upon the continued employment or service of the recipient, the attainment of specified individual or corporate performance goals, or such other factors as the Board may determine, in its sole and absolute discretion.</w:t>
      </w:r>
    </w:p>
    <w:p>
      <w:pPr>
        <w:spacing w:after="0" w:line="56" w:lineRule="exact"/>
        <w:rPr>
          <w:rFonts w:ascii="Times New Roman" w:cs="Times New Roman" w:eastAsia="Times New Roman" w:hAnsi="Times New Roman"/>
          <w:sz w:val="17"/>
          <w:szCs w:val="17"/>
          <w:color w:val="auto"/>
        </w:rPr>
      </w:pPr>
    </w:p>
    <w:p>
      <w:pPr>
        <w:ind w:firstLine="1428"/>
        <w:spacing w:after="0" w:line="258" w:lineRule="auto"/>
        <w:tabs>
          <w:tab w:leader="none" w:pos="169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this Paragraph (ii) or </w:t>
      </w:r>
      <w:r>
        <w:rPr>
          <w:rFonts w:ascii="Times New Roman" w:cs="Times New Roman" w:eastAsia="Times New Roman" w:hAnsi="Times New Roman"/>
          <w:sz w:val="18"/>
          <w:szCs w:val="18"/>
          <w:u w:val="single" w:color="auto"/>
          <w:color w:val="auto"/>
        </w:rPr>
        <w:t>Section 7(c)(i)</w:t>
      </w:r>
      <w:r>
        <w:rPr>
          <w:rFonts w:ascii="Times New Roman" w:cs="Times New Roman" w:eastAsia="Times New Roman" w:hAnsi="Times New Roman"/>
          <w:sz w:val="18"/>
          <w:szCs w:val="18"/>
          <w:color w:val="auto"/>
        </w:rPr>
        <w:t xml:space="preserve">, once the Participant has been issued a certificate or certificates for Restricted Stock, the Participant will have, with respect to the Restricted Stock, all of the rights of a stockholder of the Company, including the right to vote the Shares, and the right to receive any cash distributions or dividends. The Board, in its sole discretion, as determined at the time of award, may permit or require the payment of cash distributions or dividends to be deferred and, if the Board so determines, reinvested in additional Restricted Stock to the extent Shares are available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128" w:name="page129"/>
    <w:bookmarkEnd w:id="128"/>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Any distributions or dividends paid in the form of securities with respect to Restricted Stock will be subject to the same terms and conditions as the Restricted Stock with respect to which they were paid, including, without limitation, the same Restriction Period.</w:t>
      </w:r>
    </w:p>
    <w:p>
      <w:pPr>
        <w:spacing w:after="0" w:line="54" w:lineRule="exact"/>
        <w:rPr>
          <w:sz w:val="20"/>
          <w:szCs w:val="20"/>
          <w:color w:val="auto"/>
        </w:rPr>
      </w:pPr>
    </w:p>
    <w:p>
      <w:pPr>
        <w:ind w:left="4" w:right="140" w:firstLine="1428"/>
        <w:spacing w:after="0" w:line="266" w:lineRule="auto"/>
        <w:tabs>
          <w:tab w:leader="none" w:pos="17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provisions of the Award Agreement, if a Participant’s service with the Company and its Affiliates terminates prior to the expiration of the Restriction Period, all of that Participant’s Restricted Stock which then remain subject to forfeiture will then be forfeited automatically.</w:t>
      </w:r>
    </w:p>
    <w:p>
      <w:pPr>
        <w:spacing w:after="0" w:line="67"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7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when the Restriction Period expires without a prior forfeiture of the Restricted Stock subject to such Restriction Period (or if and when the restrictions applicable to Restricted Stock lapse pursuant to </w:t>
      </w:r>
      <w:r>
        <w:rPr>
          <w:rFonts w:ascii="Times New Roman" w:cs="Times New Roman" w:eastAsia="Times New Roman" w:hAnsi="Times New Roman"/>
          <w:sz w:val="18"/>
          <w:szCs w:val="18"/>
          <w:u w:val="single" w:color="auto"/>
          <w:color w:val="auto"/>
        </w:rPr>
        <w:t>Sections 3(d)</w:t>
      </w:r>
      <w:r>
        <w:rPr>
          <w:rFonts w:ascii="Times New Roman" w:cs="Times New Roman" w:eastAsia="Times New Roman" w:hAnsi="Times New Roman"/>
          <w:sz w:val="18"/>
          <w:szCs w:val="18"/>
          <w:color w:val="auto"/>
        </w:rPr>
        <w:t xml:space="preserve">), the certificates for such Shares will be replaced with new certificates, without the restrictive legends described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applicable to such lapsed restrictions, and such new certificates will be promptly delivered to the Participant, the Participant’s representative (if the Participant has suffered a Disability), or the Participant’s estate or heir (if the Participant has died).</w:t>
      </w:r>
    </w:p>
    <w:p>
      <w:pPr>
        <w:spacing w:after="0" w:line="71"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Subject to the other terms of the Plan, the Board may grant Restricted Stock Units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and may impose conditions on such units as it may deem appropriate. Each granted Restricted Stock Unit shall be evidenced by an Award Agreement in the form that is approved by the Board and that is not inconsistent with the terms and conditions of the Plan. Each granted Restricted Stock Unit shall entitle the Participant to whom it is granted a distribution from the Company in an amount equal to the Fair Market Value (at the time of the distribution) of one Share. Distributions may be made in cash, Shares or a combination of cash and Shares. All other terms governing Restricted Stock Units, such as vesting, time and form of payment and termination of units shall be set forth in the Award Agreement.</w:t>
      </w:r>
    </w:p>
    <w:p>
      <w:pPr>
        <w:spacing w:after="0" w:line="74"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Amendments and Termination</w:t>
      </w:r>
      <w:r>
        <w:rPr>
          <w:rFonts w:ascii="Times New Roman" w:cs="Times New Roman" w:eastAsia="Times New Roman" w:hAnsi="Times New Roman"/>
          <w:sz w:val="18"/>
          <w:szCs w:val="18"/>
          <w:color w:val="auto"/>
        </w:rPr>
        <w:t>. The Board may amend, alter or discontinue the Plan at any time. However,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provided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of the Plan, no amendment, alteration or discontinuation will be made which would adversely affect the rights of a Participant with respect to an Award, without that Participant’s consent, or which, without the approval of such amendment within one year (365 days) of its adoption by the Board, by the Company’s stockholders in a manner consistent with Section 1.422-5 of the Treasury Regulations, would:</w:t>
      </w:r>
    </w:p>
    <w:p>
      <w:pPr>
        <w:spacing w:after="0" w:line="3" w:lineRule="exact"/>
        <w:rPr>
          <w:sz w:val="20"/>
          <w:szCs w:val="20"/>
          <w:color w:val="auto"/>
        </w:rPr>
      </w:pPr>
    </w:p>
    <w:p>
      <w:pPr>
        <w:ind w:left="4" w:hanging="4"/>
        <w:spacing w:after="0" w:line="271" w:lineRule="auto"/>
        <w:tabs>
          <w:tab w:leader="none" w:pos="2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increase the total number of Shares reserved for the purposes of the Plan (except as otherwise provided in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or (ii) change the persons or class of persons eligible to receive Awards. Notwithstanding the foregoing or any provision of the Plan or an Award to the contrary, the Board may at any time (without the consent of a Participant) modify, amend or terminate any or all of the provisions of this Plan or an Award to the extent necessary to conform the provisions of the Plan or an Award with Section 409A of the Code other applicable law, the regulations issued thereunder or an exception thereto, regardless of whether such modification, amendment, or termination of the Plan and/or Award shall adversely affect the rights of a Participant.</w:t>
      </w:r>
    </w:p>
    <w:p>
      <w:pPr>
        <w:spacing w:after="0" w:line="62" w:lineRule="exact"/>
        <w:rPr>
          <w:sz w:val="20"/>
          <w:szCs w:val="20"/>
          <w:color w:val="auto"/>
        </w:rPr>
      </w:pPr>
    </w:p>
    <w:p>
      <w:pPr>
        <w:ind w:left="4" w:right="2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Unfunded Status of Plan</w:t>
      </w:r>
      <w:r>
        <w:rPr>
          <w:rFonts w:ascii="Times New Roman" w:cs="Times New Roman" w:eastAsia="Times New Roman" w:hAnsi="Times New Roman"/>
          <w:sz w:val="18"/>
          <w:szCs w:val="18"/>
          <w:color w:val="auto"/>
        </w:rPr>
        <w:t>. The Plan is intended to be “unfunded.” With respect to any payments not yet made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by the Company, nothing contained herein will give any such Participant any rights that are greater than those of a general creditor of the Company. In its sole discretion, the Board may authorize the creation of grantor trusts or other arrangements to meet the obligations created under the Plan to deliver Shares or payments in lieu of Shares or with respect to Awards.</w:t>
      </w:r>
    </w:p>
    <w:p>
      <w:pPr>
        <w:spacing w:after="0" w:line="68" w:lineRule="exact"/>
        <w:rPr>
          <w:sz w:val="20"/>
          <w:szCs w:val="20"/>
          <w:color w:val="auto"/>
        </w:rPr>
      </w:pPr>
    </w:p>
    <w:p>
      <w:pPr>
        <w:ind w:left="4"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Substitute Options</w:t>
      </w:r>
      <w:r>
        <w:rPr>
          <w:rFonts w:ascii="Times New Roman" w:cs="Times New Roman" w:eastAsia="Times New Roman" w:hAnsi="Times New Roman"/>
          <w:sz w:val="18"/>
          <w:szCs w:val="18"/>
          <w:color w:val="auto"/>
        </w:rPr>
        <w:t>. In the event that the Company, directly or indirectly, acquires another entity, the Board may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stock options (“</w:t>
      </w:r>
      <w:r>
        <w:rPr>
          <w:rFonts w:ascii="Times New Roman" w:cs="Times New Roman" w:eastAsia="Times New Roman" w:hAnsi="Times New Roman"/>
          <w:sz w:val="18"/>
          <w:szCs w:val="18"/>
          <w:u w:val="single" w:color="auto"/>
          <w:color w:val="auto"/>
        </w:rPr>
        <w:t>Substitute Options</w:t>
      </w:r>
      <w:r>
        <w:rPr>
          <w:rFonts w:ascii="Times New Roman" w:cs="Times New Roman" w:eastAsia="Times New Roman" w:hAnsi="Times New Roman"/>
          <w:sz w:val="18"/>
          <w:szCs w:val="18"/>
          <w:color w:val="auto"/>
        </w:rPr>
        <w:t>”)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w:t>
      </w:r>
    </w:p>
    <w:p>
      <w:pPr>
        <w:spacing w:after="0" w:line="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0" w:firstLine="987"/>
        <w:spacing w:after="0" w:line="282" w:lineRule="auto"/>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condition any Award upon compliance with applicable securities laws. The Board may require each Participant to represent to and agree with the Company in writing that the Participant is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9" w:name="page130"/>
    <w:bookmarkEnd w:id="12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acquiring securities of the Company for investment purposes and without a view to distribution thereof and as to such other matters as the Board believes are appropriate. The certificate evidencing any Award and any securities issued pursuant thereto may include any legend which the Board deems appropriate to reflect any restrictions on transfer and compliance with applicable securities laws. All certificates for Shares or other securities delivered under the Plan will be subject to such share-transfer orders and other restrictions as the Board may deem advisable under the rules, regulations, and other requirements of the Securities Act of 1933, as amended, the Exchange Act, any stock exchange upon which the Shares are then listed, and any other applicable federal or state securities laws, and the Board may cause a legend or legends to be put on any such certificates to make appropriate reference to such restrictions.</w:t>
      </w:r>
    </w:p>
    <w:p>
      <w:pPr>
        <w:spacing w:after="0" w:line="189" w:lineRule="exact"/>
        <w:rPr>
          <w:sz w:val="20"/>
          <w:szCs w:val="20"/>
          <w:color w:val="auto"/>
        </w:rPr>
      </w:pPr>
    </w:p>
    <w:p>
      <w:pPr>
        <w:jc w:val="both"/>
        <w:ind w:right="600" w:firstLine="987"/>
        <w:spacing w:after="0" w:line="312" w:lineRule="auto"/>
        <w:tabs>
          <w:tab w:leader="none" w:pos="124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the Plan will prevent the Board from adopting other or additional compensation arrangements, subject to stockholder approval if such approval is required; and such arrangements may be either generally applicable or applicable only in specific cases.</w:t>
      </w:r>
    </w:p>
    <w:p>
      <w:pPr>
        <w:spacing w:after="0" w:line="31" w:lineRule="exact"/>
        <w:rPr>
          <w:rFonts w:ascii="Times New Roman" w:cs="Times New Roman" w:eastAsia="Times New Roman" w:hAnsi="Times New Roman"/>
          <w:sz w:val="17"/>
          <w:szCs w:val="17"/>
          <w:color w:val="auto"/>
        </w:rPr>
      </w:pPr>
    </w:p>
    <w:p>
      <w:pPr>
        <w:jc w:val="both"/>
        <w:ind w:right="260" w:firstLine="987"/>
        <w:spacing w:after="0" w:line="266"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adoption of the Plan nor the execution of any document in connection with the Plan will (i) confer upon any person any right to continued employment or engagement with the Company or any of its Affiliates, or (ii) interfere in any way with the right of the Company or any Affiliate to terminate the employment of any of its employees at any time.</w:t>
      </w:r>
    </w:p>
    <w:p>
      <w:pPr>
        <w:spacing w:after="0" w:line="67"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date as of which an amount first becomes includible in the gross income of the Participant for federal income tax purposes with respect to any Award under the Plan, the Participant will pay to the Company, or make arrangements satisfactory to the Board regarding the payment of any federal, state or local taxes of any kind required by law to be withheld with respect to such amount. Unless otherwise determined by the Board, the minimum required withholding obligations may be settled with Shares, including Shares that are part of the Award that gives rise to the withholding requirement. The obligations of the Company under the Plan will be conditioned on such payment or arrangements and the Company will, to the extent permitted by law, have the right to deduct any such taxes from any payment of any kind otherwise due to the Participant.</w:t>
      </w:r>
    </w:p>
    <w:p>
      <w:pPr>
        <w:spacing w:after="0" w:line="75" w:lineRule="exact"/>
        <w:rPr>
          <w:sz w:val="20"/>
          <w:szCs w:val="20"/>
          <w:color w:val="auto"/>
        </w:rPr>
      </w:pPr>
    </w:p>
    <w:p>
      <w:pPr>
        <w:ind w:right="4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13. </w:t>
      </w:r>
      <w:r>
        <w:rPr>
          <w:rFonts w:ascii="Times New Roman" w:cs="Times New Roman" w:eastAsia="Times New Roman" w:hAnsi="Times New Roman"/>
          <w:sz w:val="17"/>
          <w:szCs w:val="17"/>
          <w:b w:val="1"/>
          <w:bCs w:val="1"/>
          <w:u w:val="single" w:color="auto"/>
          <w:color w:val="auto"/>
        </w:rPr>
        <w:t>Effective Date of Plan</w:t>
      </w:r>
      <w:r>
        <w:rPr>
          <w:rFonts w:ascii="Times New Roman" w:cs="Times New Roman" w:eastAsia="Times New Roman" w:hAnsi="Times New Roman"/>
          <w:sz w:val="17"/>
          <w:szCs w:val="17"/>
          <w:color w:val="auto"/>
        </w:rPr>
        <w:t>. Subject to the approval of the Plan by the Company’ stockholders within twelve (12) months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Plan’s adoption by the Board, the Plan will become effective on the date that it is adopted by the Board. In the absence of such stockholder approval, any Incentive Stock Option granted prior to the expiration of such 12- month period shall be treated for all purposes as a Non-Qualified Option.</w:t>
      </w:r>
    </w:p>
    <w:p>
      <w:pPr>
        <w:spacing w:after="0" w:line="45"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color w:val="auto"/>
        </w:rPr>
        <w:t>. The Plan will continue in effect until terminated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be granted hereunder on or after the 10th anniversary of the earlier of: (a) the date of the Plan’s adoption by the Board; or (b) the date of stockholder approval of the Plan (or, if the stockholders approve an amendment that increases the number of shares subject to the Plan,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date of such approval); </w:t>
      </w:r>
      <w:r>
        <w:rPr>
          <w:rFonts w:ascii="Times New Roman" w:cs="Times New Roman" w:eastAsia="Times New Roman" w:hAnsi="Times New Roman"/>
          <w:sz w:val="18"/>
          <w:szCs w:val="18"/>
          <w:i w:val="1"/>
          <w:iCs w:val="1"/>
          <w:color w:val="auto"/>
        </w:rPr>
        <w:t>but provided further</w:t>
      </w:r>
      <w:r>
        <w:rPr>
          <w:rFonts w:ascii="Times New Roman" w:cs="Times New Roman" w:eastAsia="Times New Roman" w:hAnsi="Times New Roman"/>
          <w:sz w:val="18"/>
          <w:szCs w:val="18"/>
          <w:color w:val="auto"/>
        </w:rPr>
        <w:t>, that Awards granted prior to such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may extend beyond that date.</w:t>
      </w:r>
    </w:p>
    <w:p>
      <w:pPr>
        <w:spacing w:after="0" w:line="68"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Invalid Provisions</w:t>
      </w:r>
      <w:r>
        <w:rPr>
          <w:rFonts w:ascii="Times New Roman" w:cs="Times New Roman" w:eastAsia="Times New Roman" w:hAnsi="Times New Roman"/>
          <w:sz w:val="18"/>
          <w:szCs w:val="18"/>
          <w:color w:val="auto"/>
        </w:rPr>
        <w:t>. In the event that any provision of this Plan is found to be invalid or otherwise unenforceable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68" w:lineRule="exact"/>
        <w:rPr>
          <w:sz w:val="20"/>
          <w:szCs w:val="20"/>
          <w:color w:val="auto"/>
        </w:rPr>
      </w:pPr>
    </w:p>
    <w:p>
      <w:pPr>
        <w:jc w:val="both"/>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and all Awards granted hereunder will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judicial decisions of the state of Delaware, without regard to the application of the principles of conflicts of laws of the state of Delaware or any other jurisdiction.</w:t>
      </w:r>
    </w:p>
    <w:p>
      <w:pPr>
        <w:spacing w:after="0" w:line="63"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Board Action</w:t>
      </w:r>
      <w:r>
        <w:rPr>
          <w:rFonts w:ascii="Times New Roman" w:cs="Times New Roman" w:eastAsia="Times New Roman" w:hAnsi="Times New Roman"/>
          <w:sz w:val="18"/>
          <w:szCs w:val="18"/>
          <w:color w:val="auto"/>
        </w:rPr>
        <w:t>. Notwithstanding anything to the contrary set forth in the Plan, any and all actions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as the case may be, taken under or in connection with the Plan and any agreements, instruments, documents, certificates or other writings entered into, executed, granted, issued and/or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0" w:name="page131"/>
    <w:bookmarkEnd w:id="130"/>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pursuant to the terms hereof, will be subject to and limited by any and all votes, consents, approvals, waivers or other actions of all or certain stockholders of the Company or other persons required by:</w:t>
      </w:r>
    </w:p>
    <w:p>
      <w:pPr>
        <w:spacing w:after="0" w:line="54" w:lineRule="exact"/>
        <w:rPr>
          <w:sz w:val="20"/>
          <w:szCs w:val="20"/>
          <w:color w:val="auto"/>
        </w:rPr>
      </w:pPr>
    </w:p>
    <w:p>
      <w:pPr>
        <w:ind w:left="1240" w:hanging="253"/>
        <w:spacing w:after="0"/>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(as the same may be amended and/or restated from time to time);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(as the same may be amended and/or restated from time to time); and</w:t>
      </w:r>
    </w:p>
    <w:p>
      <w:pPr>
        <w:spacing w:after="0" w:line="117"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instrument, document or writing now or hereafter existing, between or among the Company and its stockholders or other persons (as the same may be amended from time to time).</w:t>
      </w:r>
    </w:p>
    <w:p>
      <w:pPr>
        <w:spacing w:after="0" w:line="5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to be given to the Company pursuant to the provisions of the Plan will be given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postage prepaid, and, addressed, if to the Company to its Secretary (or such other person as the Company may designate in writing from time to time) at its principal executive office, and, if to a Participant, to the address given beneath his or her signature on his or her Award Agreement, or at such other address as such Participant may hereafter designate in writing to the Company. Any such notice will be deemed duly given on the date and at the time delivered via personal, courier or recognized overnight delivery service or, if sent via telecopier, on the date and at the time telecopied with confirmation of delivery or, if mailed, on the date five (5) days after the date of the mailing (which will be by regular, registered or certified mail). Delivery of a notice by telecopy (with confirmation) will be permitted and will be considered delivery of a notice notwithstanding that it is not an original that is received. Notwithstanding the foregoing, the Company may give notice to any Participant by electronic transmission, which shall be deemed effective if given by a form of electronic transmission consented to by such Person.</w:t>
      </w:r>
    </w:p>
    <w:p>
      <w:pPr>
        <w:spacing w:after="0" w:line="80"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 provision of the Plan or an Award to the contrary, if any Award or benefit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is subject to the provisions of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provisions of the Plan and any applicable Award shall be administered, interpreted and construed in a manner necessary to comply with Section 409A or an exception thereto (or disregarded to the extent such provision cannot be so administered, interpreted or construed). The following provisions shall apply, as applicable:</w:t>
      </w:r>
    </w:p>
    <w:p>
      <w:pPr>
        <w:spacing w:after="0" w:line="180" w:lineRule="exact"/>
        <w:rPr>
          <w:sz w:val="20"/>
          <w:szCs w:val="20"/>
          <w:color w:val="auto"/>
        </w:rPr>
      </w:pPr>
    </w:p>
    <w:p>
      <w:pPr>
        <w:ind w:firstLine="987"/>
        <w:spacing w:after="0" w:line="257"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and to the extent applicable to any Award or benefit under the Plan, it is intended that distribution events qualify as permissible distribution events for purposes of Section 409A and shall be interpreted and construed accordingly. With respect to payments subject to Section 409A, the Company reserves the right to accelerate and/or defer any payment to the extent permitted and consistent with</w:t>
      </w:r>
    </w:p>
    <w:p>
      <w:pPr>
        <w:spacing w:after="0" w:line="1" w:lineRule="exact"/>
        <w:rPr>
          <w:rFonts w:ascii="Times New Roman" w:cs="Times New Roman" w:eastAsia="Times New Roman" w:hAnsi="Times New Roman"/>
          <w:sz w:val="18"/>
          <w:szCs w:val="18"/>
          <w:color w:val="auto"/>
        </w:rPr>
      </w:pPr>
    </w:p>
    <w:p>
      <w:pPr>
        <w:ind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Whether a Participant has separated from service or employment will be determined based on all of the facts and circumstances and, to the extent applicable to any Award or benefit, in accordance with the guidance issued under Section 409A.</w:t>
      </w:r>
    </w:p>
    <w:p>
      <w:pPr>
        <w:spacing w:after="0" w:line="73"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Non-Qualified Stock Options and other stock rights shall be granted under terms and conditions consistent with Treas. Reg. § 1.409A-1(b)(5) such that any such Award does not constitute a deferral of compensation under Section 409A.</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member of the Board, the Committee or the Company (or its employees, officers or directors) have any liability to any Participant (or any other Person) due to the failure of an Award to satisfy the requirements of Section 409A.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ADOPTION AND APPROVAL OF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Plan initially adopted by Board: July 23, 2014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Plan initially approved by Stockholders: October 7, 2014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Date of Plan: July 23, 2014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First Amendment to Plan adopted by Board: April 24, 2015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First Amendment to Plan approved by Stockholders: April 24, 2015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Amended and Restated Plan adopted by Board: July 9, 2015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Amended and Restated Plan adopted by Stockholders: July 9, 2015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Date of Plan as Amended and Restated: July 9, 2015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266" w:right="1440" w:bottom="1440" w:gutter="0" w:footer="0" w:header="0"/>
        </w:sectPr>
      </w:pPr>
    </w:p>
    <w:bookmarkStart w:id="132" w:name="page133"/>
    <w:bookmarkEnd w:id="13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FOURTH AMENDMENT</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(adopted as of December 4, 2020)</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Amended and Restated 2014 Equity Incentive Plan (as currently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Clover Health Investments,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hereby amended as follows: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Amendment to Section 3(a)</w:t>
      </w:r>
      <w:r>
        <w:rPr>
          <w:rFonts w:ascii="Times New Roman" w:cs="Times New Roman" w:eastAsia="Times New Roman" w:hAnsi="Times New Roman"/>
          <w:sz w:val="18"/>
          <w:szCs w:val="18"/>
          <w:color w:val="auto"/>
        </w:rPr>
        <w:t>. Section 3(a) of the Plan is hereby amended and restated in its entirety to read as follows:</w:t>
      </w:r>
    </w:p>
    <w:p>
      <w:pPr>
        <w:spacing w:after="0" w:line="121" w:lineRule="exact"/>
        <w:rPr>
          <w:sz w:val="20"/>
          <w:szCs w:val="20"/>
          <w:color w:val="auto"/>
        </w:rPr>
      </w:pPr>
    </w:p>
    <w:p>
      <w:pPr>
        <w:ind w:left="980" w:right="720"/>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Shares Subject to the Plan</w:t>
      </w:r>
      <w:r>
        <w:rPr>
          <w:rFonts w:ascii="Times New Roman" w:cs="Times New Roman" w:eastAsia="Times New Roman" w:hAnsi="Times New Roman"/>
          <w:sz w:val="17"/>
          <w:szCs w:val="17"/>
          <w:color w:val="auto"/>
        </w:rPr>
        <w:t>. The Shares to be subject to or related to Awards under the Plan will be authorized and unissued Shares of the Company, whether or not previously issued and subsequently acquired by the Company. The maximum number of Shares that may be subject to Awards under the Plan is Twenty-Six Million, Three Hundred and Five Thousand, Seven Hundred Fifty-Six (26,305,756), all of which may be issued in respect of Incentive Stock Options. The Company will reserve for the purposes of the Plan, out of its authorized and unissued Shares, such number of Shares.”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set forth herein, the Plan shall remain in full force and effect without modification.</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[Certification Page Follows]</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440" w:top="266" w:right="91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officer hereby certifies that the foregoing amendment to the Plan was duly adopted and approved by the Board as of December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CLOVER HEALTH INVESTMENTS, CORP.</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Gia Lee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Gia Lee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4 to 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2014 Equity Incentive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34" w:name="page135"/>
    <w:bookmarkEnd w:id="13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OPTION GRANT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THIS STOCK OPTION GRANT AGREEMENT (the “</w:t>
      </w:r>
      <w:r>
        <w:rPr>
          <w:rFonts w:ascii="Times New Roman" w:cs="Times New Roman" w:eastAsia="Times New Roman" w:hAnsi="Times New Roman"/>
          <w:sz w:val="17"/>
          <w:szCs w:val="17"/>
          <w:u w:val="single" w:color="auto"/>
          <w:color w:val="auto"/>
        </w:rPr>
        <w:t>Grant Agreement</w:t>
      </w:r>
      <w:r>
        <w:rPr>
          <w:rFonts w:ascii="Times New Roman" w:cs="Times New Roman" w:eastAsia="Times New Roman" w:hAnsi="Times New Roman"/>
          <w:sz w:val="17"/>
          <w:szCs w:val="17"/>
          <w:color w:val="auto"/>
        </w:rPr>
        <w:t>”) is made and entered into by and between Clover Health Investments, Corp., a</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following individual:</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rPr>
                <w:sz w:val="17"/>
                <w:szCs w:val="17"/>
                <w:color w:val="auto"/>
              </w:rPr>
            </w:pPr>
          </w:p>
        </w:tc>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“Optionee”)</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top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bl>
    <w:p>
      <w:pPr>
        <w:spacing w:after="0" w:line="238" w:lineRule="exact"/>
        <w:rPr>
          <w:sz w:val="20"/>
          <w:szCs w:val="20"/>
          <w:color w:val="auto"/>
        </w:rPr>
      </w:pPr>
    </w:p>
    <w:p>
      <w:pPr>
        <w:ind w:left="4" w:right="400"/>
        <w:spacing w:after="0" w:line="289" w:lineRule="auto"/>
        <w:rPr>
          <w:sz w:val="20"/>
          <w:szCs w:val="20"/>
          <w:color w:val="auto"/>
        </w:rPr>
      </w:pPr>
      <w:r>
        <w:rPr>
          <w:rFonts w:ascii="Times New Roman" w:cs="Times New Roman" w:eastAsia="Times New Roman" w:hAnsi="Times New Roman"/>
          <w:sz w:val="17"/>
          <w:szCs w:val="17"/>
          <w:color w:val="auto"/>
        </w:rPr>
        <w:t>Capitalized terms used but not otherwise defined herein shall have the meanings set forth in the Clover Health Investments, Corp. Amended and Restated 2014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The Optionee agrees to be bound by the terms and conditions of the Plan, which are incorporated herein by reference and which control in case of any conflict with this Grant Agreement, except as otherwise specifically provided in the Plan.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Optionee is granted an Option to purchase Common Stock of the Company, subject in all events to the terms and conditions of the Plan and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Grant Agreement, as follows:</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[See eShares for date of grant]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TYPE(S) OF OPTION</w:t>
      </w:r>
      <w:r>
        <w:rPr>
          <w:rFonts w:ascii="Times New Roman" w:cs="Times New Roman" w:eastAsia="Times New Roman" w:hAnsi="Times New Roman"/>
          <w:sz w:val="18"/>
          <w:szCs w:val="18"/>
          <w:color w:val="auto"/>
        </w:rPr>
        <w:t>: [See eShares for type of option]</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To the extent designated as an Incentive Stock Option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this Option is intended to qualify as an Incentive Stock Option under Section 422 of the Code. However, notwithstanding such designation, if the Optionee becomes eligible in any given year to exercise ISO’s for Shares having a Fair Market Value in excess of $100,000, those Options representing the excess shall be treated as Non-Qualified Stock Options (“</w:t>
      </w:r>
      <w:r>
        <w:rPr>
          <w:rFonts w:ascii="Times New Roman" w:cs="Times New Roman" w:eastAsia="Times New Roman" w:hAnsi="Times New Roman"/>
          <w:sz w:val="18"/>
          <w:szCs w:val="18"/>
          <w:u w:val="single" w:color="auto"/>
          <w:color w:val="auto"/>
        </w:rPr>
        <w:t>NSO’s</w:t>
      </w:r>
      <w:r>
        <w:rPr>
          <w:rFonts w:ascii="Times New Roman" w:cs="Times New Roman" w:eastAsia="Times New Roman" w:hAnsi="Times New Roman"/>
          <w:sz w:val="18"/>
          <w:szCs w:val="18"/>
          <w:color w:val="auto"/>
        </w:rPr>
        <w:t>”). In the previous sentence, “ISO’s” include ISO’s granted under any plan of the Company or any Parent or any Subsidiary. For the purpose of deciding which Options apply to Shares that “exceed” the $100,000 limit, ISO’s shall be taken into account in the same order as granted. The Fair Market Value of the Shares shall be determined as of the time the Option with respect to such Shares is granted. Optionee hereby acknowledges that there is no assurance that the Option will, in fact, be treated as an Incentive Stock Option under Code Section 422.</w:t>
      </w:r>
    </w:p>
    <w:p>
      <w:pPr>
        <w:spacing w:after="0" w:line="200" w:lineRule="exact"/>
        <w:rPr>
          <w:sz w:val="20"/>
          <w:szCs w:val="20"/>
          <w:color w:val="auto"/>
        </w:rPr>
      </w:pPr>
    </w:p>
    <w:p>
      <w:pPr>
        <w:spacing w:after="0" w:line="255"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SHARES OF COMMON STOCK COVERED BY OPTION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[See eShares for total number of shares] Shares, as follows: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Number Covered by Incentive Stock Options: __________</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Number Covered by Non-Qualified Stock Options: __________</w:t>
      </w:r>
    </w:p>
    <w:p>
      <w:pPr>
        <w:spacing w:after="0" w:line="127"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 OF OPTION</w:t>
      </w:r>
      <w:r>
        <w:rPr>
          <w:rFonts w:ascii="Times New Roman" w:cs="Times New Roman" w:eastAsia="Times New Roman" w:hAnsi="Times New Roman"/>
          <w:sz w:val="18"/>
          <w:szCs w:val="18"/>
          <w:color w:val="auto"/>
        </w:rPr>
        <w:t>: [See eShares for exercise price] per Share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[See eShares for expiration data] (</w:t>
      </w:r>
      <w:r>
        <w:rPr>
          <w:rFonts w:ascii="Times New Roman" w:cs="Times New Roman" w:eastAsia="Times New Roman" w:hAnsi="Times New Roman"/>
          <w:sz w:val="18"/>
          <w:szCs w:val="18"/>
          <w:b w:val="1"/>
          <w:bCs w:val="1"/>
          <w:color w:val="auto"/>
        </w:rPr>
        <w:t>subject to earlier termination as provided herein and in the Plan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6" w:lineRule="auto"/>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SCHEDULE</w:t>
      </w:r>
      <w:r>
        <w:rPr>
          <w:rFonts w:ascii="Times New Roman" w:cs="Times New Roman" w:eastAsia="Times New Roman" w:hAnsi="Times New Roman"/>
          <w:sz w:val="18"/>
          <w:szCs w:val="18"/>
          <w:color w:val="auto"/>
        </w:rPr>
        <w:t>: Except as otherwise provided in this Grant Agreement, this Option (to the extent not previously exercised)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in whole or in part, with respect to the Shares in accordance with the following vesting schedule:</w:t>
      </w:r>
    </w:p>
    <w:p>
      <w:pPr>
        <w:spacing w:after="0" w:line="5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[See eShares for vesting schedule]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sectPr>
      </w:pPr>
    </w:p>
    <w:bookmarkStart w:id="135" w:name="page136"/>
    <w:bookmarkEnd w:id="13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the Option vests and becomes exercisable, the Shares underlying the Option that vest become exercisable shall be cumulative and may be exercised in whole or in part (provided that the Company shall not be required to issue fractional shares). For the avoidance of doubt, no Shares underlying the Option shall vest and become exercisable after the date on which the Optionee ceases to be a Service Provider (as defined below).</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RESTRICTED STOCK PURCHASE RIGHTS</w:t>
      </w:r>
      <w:r>
        <w:rPr>
          <w:rFonts w:ascii="Times New Roman" w:cs="Times New Roman" w:eastAsia="Times New Roman" w:hAnsi="Times New Roman"/>
          <w:sz w:val="18"/>
          <w:szCs w:val="18"/>
          <w:color w:val="auto"/>
        </w:rPr>
        <w:t>: Notwithstanding anything contained herein to the contrary, the Optionee shall have the right to exercise this Option with respect to all or a portion of the Shares subject to the Option which have not become exercisable pursuant to Paragraph F above and to receive Shares in exchange for payment of the Exercise Price; provided that the Optionee executes a Restrictions Agreement (as defined in Paragraph I below), subject to such modifications as the Board may in its discretion require, which Restrictions Agreement shall, among other things, set forth terms under which the Shares acquired by the Optionee will be subject to forfeiture on the same vesting schedule as applies under Paragraph F above.</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Optionee hereby acknowledges that the Optionee has been informed that, with respect to Shares acquired pursuant to exercise of the Option under this Paragraph G, Optionee may file an election with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within 30 days of such exercise electing pursuant to Section 83(b)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to be taxed currently on the excess, if any, of the fair market value of the Shares purchased on the date of exercise over the exercise price of the Option with respect to such Shares. Absent such an election, taxable income will be measured and recognized by the Optionee at the time or times at which the forfeiture restrictions on the Shares lapse. The Optionee is strongly encouraged to seek the advice of his or her own tax consultants in connection with the filing of the election under Section 83(b) of the Code. A form of election under Section 83(b)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reference. If Optionee files an election under Section 83(b) of the Code with the IRS, he or she agrees to promptly furnish a copy of such election to the Company.</w:t>
      </w:r>
    </w:p>
    <w:p>
      <w:pPr>
        <w:spacing w:after="0" w:line="8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EXERCISE OF OPTION FOLLOWING TERMINATION OF SERVICE</w:t>
      </w:r>
      <w:r>
        <w:rPr>
          <w:rFonts w:ascii="Times New Roman" w:cs="Times New Roman" w:eastAsia="Times New Roman" w:hAnsi="Times New Roman"/>
          <w:sz w:val="18"/>
          <w:szCs w:val="18"/>
          <w:color w:val="auto"/>
        </w:rPr>
        <w:t>: This Option shall terminate and be cancelled to the extent not exercised within ninety (90) days after the Optionee ceases to be an employee, leased employee, member of the Board of Directors (including an advisory member) or consultant of the Company or any of its Affiliates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except that if such cessation is due to the death or Disability of the Optionee, this Option shall terminate and be cancelled twelve months after the Optionee ceases to be a Service Provider. To the extent not exercised within such period of time, the Option shall be cancelled.</w:t>
      </w:r>
    </w:p>
    <w:p>
      <w:pPr>
        <w:spacing w:after="0" w:line="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Notwithstanding the foregoing, in the event that the Service Provider’s service with the Company or any Affiliate is terminated for “Cause” (as defined in the Plan), then the Option shall immediately terminate on the date of such termination of service and shall not be exercisable for any period following such date. In no event, however, shall this Option be exercised later than the Expiration Date as provided above and in no event shall this Option be exercised for more Shares than the Shares which otherwise have become exercisable as of the date of cessation of status as a Service Provider.</w:t>
      </w:r>
    </w:p>
    <w:p>
      <w:pPr>
        <w:spacing w:after="0" w:line="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RESTRICTIONS AGREEMENT; STOCKHOLDERS AGREEMENTS</w:t>
      </w:r>
      <w:r>
        <w:rPr>
          <w:rFonts w:ascii="Times New Roman" w:cs="Times New Roman" w:eastAsia="Times New Roman" w:hAnsi="Times New Roman"/>
          <w:sz w:val="18"/>
          <w:szCs w:val="18"/>
          <w:color w:val="auto"/>
        </w:rPr>
        <w:t xml:space="preserve">. As a condition precedent to the exercise of this Option, the Board may require the Optionee (or his/her estate or heir, or other permitted person exercising on the Optionee’s behalf, if applicable) to execute and deliver a Stock Restrictions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the Board or Committee may require (the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and/or such other Stockholders Agreements (as defined in the Plan) as the Board or Committee may require.</w:t>
      </w:r>
    </w:p>
    <w:p>
      <w:pPr>
        <w:spacing w:after="0" w:line="6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color w:val="auto"/>
        </w:rPr>
        <w:t>COVENANTS AGREEMENT</w:t>
      </w:r>
      <w:r>
        <w:rPr>
          <w:rFonts w:ascii="Times New Roman" w:cs="Times New Roman" w:eastAsia="Times New Roman" w:hAnsi="Times New Roman"/>
          <w:sz w:val="18"/>
          <w:szCs w:val="18"/>
          <w:color w:val="auto"/>
        </w:rPr>
        <w:t>. This Option shall be forfeited, nonexercisable and of no force or effect in the event that the Optionee breaches any agreement between the Optionee and the Company with respect to non-competition, non-solicitation, assignment of inventions and contributions and/or non-disclosure obligations of the Optionee.</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xml:space="preserve">. This Option is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or such other form as the Committee may require, which shall state the election to exercise the Option, the number of Shares with respect to which the Option is being exercised (the “</w:t>
      </w:r>
      <w:r>
        <w:rPr>
          <w:rFonts w:ascii="Times New Roman" w:cs="Times New Roman" w:eastAsia="Times New Roman" w:hAnsi="Times New Roman"/>
          <w:sz w:val="18"/>
          <w:szCs w:val="18"/>
          <w:u w:val="single" w:color="auto"/>
          <w:color w:val="auto"/>
        </w:rPr>
        <w:t>Exercised Shares</w:t>
      </w:r>
      <w:r>
        <w:rPr>
          <w:rFonts w:ascii="Times New Roman" w:cs="Times New Roman" w:eastAsia="Times New Roman" w:hAnsi="Times New Roman"/>
          <w:sz w:val="18"/>
          <w:szCs w:val="18"/>
          <w:color w:val="auto"/>
        </w:rPr>
        <w:t>”), and such other representations and agreements as may be required by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36" w:name="page137"/>
    <w:bookmarkEnd w:id="1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provisions of the Plan. The Exercise Notice shall be completed by the Optionee and delivered to the Committee. The Exercise Notice shall be accompanied by payment of the aggregate Exercise Price for the Exercised Shares. This Option shall be deemed to be exercised upon receipt by the Company of the fully executed Exercise Notice accompanied by the aggregate Exercise Price. Notwithstanding the foregoing, no Exercised Shares shall be issued unless such exercise and issuance complies with the requirements relating to the administration of stock option plans and other applicable equity plans under U.S. state corporate laws, U.S. federal and state securities laws, the Code, any stock exchange or quotation system on which the Common Stock is listed or quoted, and the applicable laws of any foreign country or jurisdiction where stock grants or other applicable equity grants are made under the Plan; assuming such compliance, for income tax purposes the Exercised Shares shall be considered transferred to the Optionee on the date the Option is exercised with respect to such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w:t>
      </w:r>
    </w:p>
    <w:p>
      <w:pPr>
        <w:spacing w:after="0" w:line="135" w:lineRule="exact"/>
        <w:rPr>
          <w:sz w:val="20"/>
          <w:szCs w:val="20"/>
          <w:color w:val="auto"/>
        </w:rPr>
      </w:pPr>
    </w:p>
    <w:p>
      <w:pPr>
        <w:ind w:left="960" w:hanging="532"/>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or bank check; or</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form of consideration and/or pursuant to such method as the Committee shall determine in its sole and absolute discretion, provided that such form of consideration and/or method is permitted by the Plan and by applicable law.</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Upon exercise of the Option by the Optionee and prior to the delivery of such Exercised Shares, the Company shall have the right to require the Optionee to remit to the Company cash in an amount sufficient to satisfy applicable Federal and state tax withholding requirements (or to make such other provision for such tax withholding requirements permitted by the Plan and by applicable law).</w:t>
      </w:r>
    </w:p>
    <w:p>
      <w:pPr>
        <w:spacing w:after="0" w:line="64"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TAX CONSEQUENCES OF OPTION</w:t>
      </w:r>
      <w:r>
        <w:rPr>
          <w:rFonts w:ascii="Times New Roman" w:cs="Times New Roman" w:eastAsia="Times New Roman" w:hAnsi="Times New Roman"/>
          <w:sz w:val="18"/>
          <w:szCs w:val="18"/>
          <w:color w:val="auto"/>
        </w:rPr>
        <w:t xml:space="preserve">. Some of the federal income tax consequences relating to the grant and exercise of this Option, as of the date of this Option, are set forth below. </w:t>
      </w:r>
      <w:r>
        <w:rPr>
          <w:rFonts w:ascii="Times New Roman" w:cs="Times New Roman" w:eastAsia="Times New Roman" w:hAnsi="Times New Roman"/>
          <w:sz w:val="18"/>
          <w:szCs w:val="18"/>
          <w:b w:val="1"/>
          <w:bCs w:val="1"/>
          <w:color w:val="auto"/>
        </w:rPr>
        <w:t>THE FOLLOWING DESCRIPTION OF FEDERAL INCOME TAX CONSEQUENCES IS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NECESSARILY INCOMPLETE (AS THE TAX LAWS AND REGULATIONS ARE SUBJECT TO CHANGE), AND ASSUMES THAT THE EXERCISE PRICE OF THIS OPTION IS NO LESS THAN THE FAIR MARKET VALUE OF THE COMMON STOCK UNDERLYING THE OPTION AT THE DATE OF GRANT. MOREOVER, THIS SUMMARY ONLY ADDRESSES THE FEDERAL INCOME TAX CONSEQUENCES UNDER THE LAWS OF THE UNITED STATES, AND DOES NOT ADDRESS WHETHER AND HOW THE TAX LAWS OF ANY OTHER JURISDICTION MAY APPLY TO THIS OPTION OR TO THE OPTIONEE. ACCORDINGLY, THE OPTIONEE SHOULD CONSULT A TAX ADVISER BEFORE EXERCISING THIS OPTION OR DISPOSING OF ANY EXERCISED SHARES.</w:t>
      </w:r>
    </w:p>
    <w:p>
      <w:pPr>
        <w:spacing w:after="0" w:line="95" w:lineRule="exact"/>
        <w:rPr>
          <w:sz w:val="20"/>
          <w:szCs w:val="20"/>
          <w:color w:val="auto"/>
        </w:rPr>
      </w:pPr>
    </w:p>
    <w:p>
      <w:pPr>
        <w:ind w:left="960" w:hanging="53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Option</w:t>
      </w:r>
      <w:r>
        <w:rPr>
          <w:rFonts w:ascii="Times New Roman" w:cs="Times New Roman" w:eastAsia="Times New Roman" w:hAnsi="Times New Roman"/>
          <w:sz w:val="18"/>
          <w:szCs w:val="18"/>
          <w:color w:val="auto"/>
        </w:rPr>
        <w:t>. The grant of an Option generally will not result in the imposition of a tax under the federal income tax laws.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Exercising the Option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980" w:right="20" w:firstLine="7"/>
        <w:spacing w:after="0" w:line="257" w:lineRule="auto"/>
        <w:tabs>
          <w:tab w:leader="none" w:pos="122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The Optionee may incur regular federal income tax liability upon exercise of an NSO. The Optionee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having received compensation income (taxable at ordinary income tax rates) equal to the excess, if any, of the Fair Market Value of the Exercised Shares on the date of exercise over their aggregate Exercise Price. If the Optionee is an Employee or a former Employee, the Company will be required to withhold from his or her compensation or collect from the Optionee and pay to the applicable taxing authorities an amount in cash equal to a specified percentage of this compensation income at the time of exercise, and may refuse to honor the exercise and refuse to deliver Shares if such withholding amounts are not delivered at the time of exercise.</w:t>
      </w:r>
    </w:p>
    <w:p>
      <w:pPr>
        <w:spacing w:after="0" w:line="74" w:lineRule="exact"/>
        <w:rPr>
          <w:rFonts w:ascii="Times New Roman" w:cs="Times New Roman" w:eastAsia="Times New Roman" w:hAnsi="Times New Roman"/>
          <w:sz w:val="18"/>
          <w:szCs w:val="18"/>
          <w:color w:val="auto"/>
        </w:rPr>
      </w:pPr>
    </w:p>
    <w:p>
      <w:pPr>
        <w:ind w:left="980" w:right="20" w:firstLine="7"/>
        <w:spacing w:after="0" w:line="267" w:lineRule="auto"/>
        <w:tabs>
          <w:tab w:leader="none" w:pos="123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If this Option qualifies as an ISO, the Optionee will have no regular federal income tax liability upon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although the excess, if any, of the Fair Market Value of the Exercised Shares on the date of exercise over their aggregate Exercise Price will be treated as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37" w:name="page138"/>
    <w:bookmarkEnd w:id="137"/>
    <w:p>
      <w:pPr>
        <w:ind w:left="98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 to alternative minimum taxable income for federal tax purposes and may subject the Optionee to alternative minimum tax in the year of exercise. In the event that the Optionee ceases to be an Employee but remains a Service Provider, any Incentive Stock Option of the Optionee that remains unexercised shall cease to qualify as an Incentive Stock Option and will be treated for tax purposes as a Non-Qualified Stock Option on the date three (3) months and one (1) day following such change of status.</w:t>
      </w:r>
    </w:p>
    <w:p>
      <w:pPr>
        <w:spacing w:after="0" w:line="70" w:lineRule="exact"/>
        <w:rPr>
          <w:sz w:val="20"/>
          <w:szCs w:val="20"/>
          <w:color w:val="auto"/>
        </w:rPr>
      </w:pPr>
    </w:p>
    <w:p>
      <w:pPr>
        <w:ind w:left="984" w:right="20" w:firstLine="7"/>
        <w:spacing w:after="0" w:line="253" w:lineRule="auto"/>
        <w:tabs>
          <w:tab w:leader="none" w:pos="1228"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Exercise and 83(b) Election</w:t>
      </w:r>
      <w:r>
        <w:rPr>
          <w:rFonts w:ascii="Times New Roman" w:cs="Times New Roman" w:eastAsia="Times New Roman" w:hAnsi="Times New Roman"/>
          <w:sz w:val="18"/>
          <w:szCs w:val="18"/>
          <w:color w:val="auto"/>
        </w:rPr>
        <w:t>. To the extent that the Optionee exercises the Option pursuant to Paragraph G hereof, the Shares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Optionee receives will be taxable to the Optionee if and when such Shares become vested. However, the Optionee may, no later than thirty (30) days following the transfer of the Shares to the Optionee, file an “83(b) election” (so named because the election is available under section 83(b) of the Code). If an 83(b) election is made, the Optionee will recognize income (or have an adjustment to alternative minimum taxable income) in an amount equal to the excess of the fair market value of the Shares at the time of exercise of the Option over the exercise price, but no additional income will be recognized (or further adjustment made to alternative minimum taxable income) by the Optionee upon the lapse of restrictions on the Shares (and prior to the sale of such shares). The advantages of a section 83(b) election can include (i) reducing the amount of tax that must be paid (because the value of the Shares may be significantly lower on the date of exercise than on the date the restrictions with respect to the Shares lapse) and (ii) shortening the time the Shares must be held in order for gain upon a subsequent sale or other disposition to be eligible for favorable long-term capital gain rates. However, a section 83(b) election could have adverse tax consequences, for example, if the Shares are subsequently forfeited, the Optionee may not deduct the income that was recognized (or included as an adjustment to alternative minimum taxable income) pursuant to the 83(b) election at the time of the receipt of the Shares.</w:t>
      </w:r>
    </w:p>
    <w:p>
      <w:pPr>
        <w:spacing w:after="0" w:line="9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Shares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984" w:firstLine="7"/>
        <w:spacing w:after="0" w:line="261" w:lineRule="auto"/>
        <w:tabs>
          <w:tab w:leader="none" w:pos="122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NSO</w:t>
      </w:r>
      <w:r>
        <w:rPr>
          <w:rFonts w:ascii="Times New Roman" w:cs="Times New Roman" w:eastAsia="Times New Roman" w:hAnsi="Times New Roman"/>
          <w:sz w:val="18"/>
          <w:szCs w:val="18"/>
          <w:color w:val="auto"/>
        </w:rPr>
        <w:t>. If no 83(b) election has been made (see paragraph 2(c) above), upon disposition of the NSO Shares, the Optionee will recognize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or loss equal to the difference between the selling price and the sum of the amount paid for the NSO Shares plus any amount recognized as ordinary income upon exercise of the NSO. If the Optionee holds NSO Shares for at least one year, any gain (or loss) realized on disposition of the NSO Shares will be treated as long-term capital gain (or loss) for federal income tax purposes.</w:t>
      </w:r>
    </w:p>
    <w:p>
      <w:pPr>
        <w:spacing w:after="0" w:line="71" w:lineRule="exact"/>
        <w:rPr>
          <w:rFonts w:ascii="Times New Roman" w:cs="Times New Roman" w:eastAsia="Times New Roman" w:hAnsi="Times New Roman"/>
          <w:sz w:val="18"/>
          <w:szCs w:val="18"/>
          <w:color w:val="auto"/>
        </w:rPr>
      </w:pPr>
    </w:p>
    <w:p>
      <w:pPr>
        <w:ind w:left="984" w:right="40" w:firstLine="7"/>
        <w:spacing w:after="0" w:line="256" w:lineRule="auto"/>
        <w:tabs>
          <w:tab w:leader="none" w:pos="1239"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w:t>
      </w:r>
      <w:r>
        <w:rPr>
          <w:rFonts w:ascii="Times New Roman" w:cs="Times New Roman" w:eastAsia="Times New Roman" w:hAnsi="Times New Roman"/>
          <w:sz w:val="18"/>
          <w:szCs w:val="18"/>
          <w:color w:val="auto"/>
        </w:rPr>
        <w:t>. If the Optionee holds ISO Shares for more than one year after exercise and two years after the grant date, any gain realized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the Shares will be treated as long-term capital gain for federal income tax purposes. If the Optionee disposes of ISO Shares within one year after exercise or within two years after the grant date, any gain realized on such disposition will be treated as compensation income (taxable at ordinary income rates) to the extent of the excess, if any, of the lesser of (A) the difference between the Fair Market Value of the Shares acquired on the date of exercise and the aggregate Exercise Price, or (B) the difference between the sale price of such Shares and the aggregate Exercise Price. Any additional gain will be taxed as capital gain, short-term or long-term depending on the period that the ISO Shares were held.</w:t>
      </w:r>
    </w:p>
    <w:p>
      <w:pPr>
        <w:spacing w:after="0" w:line="74" w:lineRule="exact"/>
        <w:rPr>
          <w:rFonts w:ascii="Times New Roman" w:cs="Times New Roman" w:eastAsia="Times New Roman" w:hAnsi="Times New Roman"/>
          <w:sz w:val="18"/>
          <w:szCs w:val="18"/>
          <w:color w:val="auto"/>
        </w:rPr>
      </w:pPr>
    </w:p>
    <w:p>
      <w:pPr>
        <w:ind w:left="984" w:right="20" w:firstLine="7"/>
        <w:spacing w:after="0" w:line="258" w:lineRule="auto"/>
        <w:tabs>
          <w:tab w:leader="none" w:pos="122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Disqualifying Disposition of ISO Shares</w:t>
      </w:r>
      <w:r>
        <w:rPr>
          <w:rFonts w:ascii="Times New Roman" w:cs="Times New Roman" w:eastAsia="Times New Roman" w:hAnsi="Times New Roman"/>
          <w:sz w:val="18"/>
          <w:szCs w:val="18"/>
          <w:color w:val="auto"/>
        </w:rPr>
        <w:t>. If the Optionee sells or otherwise disposes of any of the Shares acquired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ISO on or before the later of (i) two years after the grant date, or (ii) one year after the exercise date, the Optionee shall promptly notify the Company in writing of such disposition. The Optionee agrees that he or she may be subject to income tax withholding by the Company on the compensation income recognized from such early disposition of ISO Shares by payment in cash or out of the current earnings paid to the Optionee.</w:t>
      </w:r>
    </w:p>
    <w:p>
      <w:pPr>
        <w:spacing w:after="0" w:line="73" w:lineRule="exact"/>
        <w:rPr>
          <w:rFonts w:ascii="Times New Roman" w:cs="Times New Roman" w:eastAsia="Times New Roman" w:hAnsi="Times New Roman"/>
          <w:sz w:val="18"/>
          <w:szCs w:val="18"/>
          <w:color w:val="auto"/>
        </w:rPr>
      </w:pPr>
    </w:p>
    <w:p>
      <w:pPr>
        <w:ind w:left="4" w:right="100" w:hanging="4"/>
        <w:spacing w:after="0" w:line="268" w:lineRule="auto"/>
        <w:tabs>
          <w:tab w:leader="none" w:pos="2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NON-TRANSFERABILITY OF OPTION</w:t>
      </w:r>
      <w:r>
        <w:rPr>
          <w:rFonts w:ascii="Times New Roman" w:cs="Times New Roman" w:eastAsia="Times New Roman" w:hAnsi="Times New Roman"/>
          <w:sz w:val="18"/>
          <w:szCs w:val="18"/>
          <w:color w:val="auto"/>
        </w:rPr>
        <w:t>. Unless otherwise consented to in advance in writing by the Committee, this Option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any manner otherwise than by will or by the laws of descent or distribution and may be exercised during the lifetime of the Optionee only by the Optionee. The terms of the Plan</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this Grant Agreement shall be binding upon the executors, administrators, heirs, successors and assigns of the Optionee.</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SECURITIES MATTERS</w:t>
      </w:r>
      <w:r>
        <w:rPr>
          <w:rFonts w:ascii="Times New Roman" w:cs="Times New Roman" w:eastAsia="Times New Roman" w:hAnsi="Times New Roman"/>
          <w:sz w:val="18"/>
          <w:szCs w:val="18"/>
          <w:color w:val="auto"/>
        </w:rPr>
        <w:t>. All Shares and Exercised Shares shall be subject to the restrictions on sale, encumbrance and other disposition provided by Federal or state law. The Company shall not be obligated to sell or issue any Shares or Exercised Shares pursuant to this Grant Agreement unless, on the date of sale and issuance thereof, such Shares are either registered under the Securities Act of 1933, as amended, and all applicable state securities laws, or are exempt from registration thereunder.</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b w:val="1"/>
          <w:bCs w:val="1"/>
          <w:color w:val="auto"/>
        </w:rPr>
        <w:t>OTHER PLANS</w:t>
      </w:r>
      <w:r>
        <w:rPr>
          <w:rFonts w:ascii="Times New Roman" w:cs="Times New Roman" w:eastAsia="Times New Roman" w:hAnsi="Times New Roman"/>
          <w:sz w:val="18"/>
          <w:szCs w:val="18"/>
          <w:color w:val="auto"/>
        </w:rPr>
        <w:t>. No amounts of income received by the Optionee pursuant to this Grant Agreement shall be considered compensation for purposes of any pension or retirement plan, insurance plan or any other employee benefit plan of the Company or its subsidiaries, unless otherwise provided in such plan.</w:t>
      </w:r>
    </w:p>
    <w:p>
      <w:pPr>
        <w:spacing w:after="0" w:line="6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Q. NO GUARANTEE OF CONTINUED SERVICE. THE OPTIONEE ACKNOWLEDGES AND AGREES THAT THE RIGHT TO EXERCISE SHARES PURSUANT TO THE EXERCISE SCHEDULE HEREOF IS EARNED ONLY BY CONTINUING EMPLOYMENT WITH THE COMPANY (AND NOT THROUGH THE ACT OF BEING HIRED, BEING GRANTED AN OPTION OR PURCHASING SHARES HEREUNDER). THE OPTIONEE FURTHER ACKNOWLEDGES AND AGREES THAT THIS GRANT AGREEMENT, THE TRANSACTIONS CONTEMPLATED HEREUNDER AND THE EXERCISE SCHEDULE SET FORTH HEREIN DO NOT CONSTITUTE AN EXPRESS OR IMPLIED PROMISE OF CONTINUED EMPLOYMENT FOR THE EXERCISE PERIOD, FOR ANY PERIOD, OR AT ALL, AND SHALL NOT INTERFERE WITH THE OPTIONEE’S RIGHT OR THE COMPANY’S RIGHT TO TERMINATE THE EMPLOYMENT RELATIONSHIP AT ANY TIME, WITH OR WITHOUT CAUSE.</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ENTIRE AGREEMENT; GOVERNING LAW</w:t>
      </w:r>
      <w:r>
        <w:rPr>
          <w:rFonts w:ascii="Times New Roman" w:cs="Times New Roman" w:eastAsia="Times New Roman" w:hAnsi="Times New Roman"/>
          <w:sz w:val="18"/>
          <w:szCs w:val="18"/>
          <w:color w:val="auto"/>
        </w:rPr>
        <w:t>. The Plan is incorporated herein by reference. The Plan and this Grant Agreement constitute the entire agreement of the parties with respect to the subject matter hereof and supersede in their entirety all prior undertakings and agreements of the Company and the Optionee with respect to the subject matter hereof (including, without limitation, any statements in the Optionee’s offer letter from the Company), and may not be modified adversely to the Optionee’s interest except by means of a writing signed by the Company and Optionee. This Grant Agreement is governed by the internal substantive laws, but not the choice of law rules, of the state of Delaware.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139" w:name="page140"/>
    <w:bookmarkEnd w:id="13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Plan and this Grant Agreement. The Optionee has reviewed the Plan and this Grant Agreement in their entirety, has had an opportunity to obtain the advice of counsel prior to executing this Grant Agreement and fully understands all provisions of the Plan and this Grant Agreement. The Optionee hereby agrees to accept as binding, conclusive and final all decisions or interpretations of the Committee upon any questions relating to the Plan and this Grant Agreement. The Optionee further agrees to notify the Company upon any change in the residence address indicated herein.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512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c>
          <w:tcPr>
            <w:tcW w:w="0" w:type="dxa"/>
            <w:vAlign w:val="bottom"/>
          </w:tcPr>
          <w:p>
            <w:pPr>
              <w:spacing w:after="0"/>
              <w:rPr>
                <w:sz w:val="1"/>
                <w:szCs w:val="1"/>
                <w:color w:val="auto"/>
              </w:rPr>
            </w:pPr>
          </w:p>
        </w:tc>
      </w:tr>
      <w:tr>
        <w:trPr>
          <w:trHeight w:val="28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3460" w:type="dxa"/>
            <w:vAlign w:val="bottom"/>
            <w:tcBorders>
              <w:bottom w:val="single" w:sz="8" w:color="auto"/>
            </w:tcBorders>
            <w:gridSpan w:val="4"/>
          </w:tcPr>
          <w:p>
            <w:pPr>
              <w:spacing w:after="0"/>
              <w:rPr>
                <w:sz w:val="24"/>
                <w:szCs w:val="24"/>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2"/>
              </w:rPr>
              <w:t>By:</w:t>
            </w:r>
          </w:p>
        </w:tc>
        <w:tc>
          <w:tcPr>
            <w:tcW w:w="37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Print Name:</w:t>
            </w:r>
          </w:p>
        </w:tc>
        <w:tc>
          <w:tcPr>
            <w:tcW w:w="512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99"/>
        </w:trPr>
        <w:tc>
          <w:tcPr>
            <w:tcW w:w="3720" w:type="dxa"/>
            <w:vAlign w:val="bottom"/>
            <w:gridSpan w:val="5"/>
            <w:vMerge w:val="continue"/>
          </w:tcPr>
          <w:p>
            <w:pPr>
              <w:spacing w:after="0"/>
              <w:rPr>
                <w:sz w:val="8"/>
                <w:szCs w:val="8"/>
                <w:color w:val="auto"/>
              </w:rPr>
            </w:pPr>
          </w:p>
        </w:tc>
        <w:tc>
          <w:tcPr>
            <w:tcW w:w="5120" w:type="dxa"/>
            <w:vAlign w:val="bottom"/>
            <w:gridSpan w:val="4"/>
            <w:vMerge w:val="restart"/>
          </w:tcPr>
          <w:p>
            <w:pPr>
              <w:ind w:left="11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1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85"/>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3560" w:type="dxa"/>
            <w:vAlign w:val="bottom"/>
            <w:tcBorders>
              <w:top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140" w:name="page141"/>
    <w:bookmarkEnd w:id="140"/>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 Effective as of today,__________, 201_, the undersigned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hereby elects to purchase __________ shares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Common Stock of Clover Health Investments, Corp. (the “Company”) under and pursuant to the Clover Health Investments, Corp.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Amended and Restated 2014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Stock Option Agreement dated __________, 201_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per share purchase price for the Shares shall be $______ for an aggregate purchase price of $_______, as required by the Option Agreement. All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shall represent Shares acquired by reason of the exercise of [see eShares for type of option].</w:t>
      </w:r>
    </w:p>
    <w:p>
      <w:pPr>
        <w:spacing w:after="0" w:line="95" w:lineRule="exact"/>
        <w:rPr>
          <w:sz w:val="20"/>
          <w:szCs w:val="20"/>
          <w:color w:val="auto"/>
        </w:rPr>
      </w:pPr>
    </w:p>
    <w:p>
      <w:pPr>
        <w:ind w:left="4" w:right="160" w:hanging="4"/>
        <w:spacing w:after="0" w:line="286"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Payment, Restrictions Agreement and Stockholders Agreement</w:t>
      </w:r>
      <w:r>
        <w:rPr>
          <w:rFonts w:ascii="Times New Roman" w:cs="Times New Roman" w:eastAsia="Times New Roman" w:hAnsi="Times New Roman"/>
          <w:sz w:val="18"/>
          <w:szCs w:val="18"/>
          <w:color w:val="auto"/>
        </w:rPr>
        <w:t>. Purchaser herewith delivers to the Company the full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Shares and the applicable Restrictions Agreement and Stockholders Agreement(s) required by the Board, duly executed by Purchaser.</w:t>
      </w:r>
    </w:p>
    <w:p>
      <w:pPr>
        <w:spacing w:after="0" w:line="46" w:lineRule="exact"/>
        <w:rPr>
          <w:rFonts w:ascii="Times New Roman" w:cs="Times New Roman" w:eastAsia="Times New Roman" w:hAnsi="Times New Roman"/>
          <w:sz w:val="18"/>
          <w:szCs w:val="18"/>
          <w:color w:val="auto"/>
        </w:rPr>
      </w:pPr>
    </w:p>
    <w:p>
      <w:pPr>
        <w:jc w:val="both"/>
        <w:ind w:left="4" w:right="20" w:hanging="4"/>
        <w:spacing w:after="0" w:line="262"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of the Shares, no right to vote or receive dividends or any other rights as a stockholder shall exist with respect to the Shares covered by the Option, notwithstanding the exercise of the Option. The Shares so acquired shall be issued to the Purchaser as soon as practicable after exercise of the Option. No adjustment will be made for a dividend or other right for which the record date is prior to the date of issuance.</w:t>
      </w:r>
    </w:p>
    <w:p>
      <w:pPr>
        <w:spacing w:after="0" w:line="68" w:lineRule="exact"/>
        <w:rPr>
          <w:rFonts w:ascii="Times New Roman" w:cs="Times New Roman" w:eastAsia="Times New Roman" w:hAnsi="Times New Roman"/>
          <w:sz w:val="18"/>
          <w:szCs w:val="18"/>
          <w:color w:val="auto"/>
        </w:rPr>
      </w:pPr>
    </w:p>
    <w:p>
      <w:pPr>
        <w:ind w:left="4" w:hanging="4"/>
        <w:spacing w:after="0" w:line="268"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Purchaser represents that Purchaser has consulted with any tax consultants Purchaser deems advisable in connection with the purchase or disposition of the Shares and that Purchaser is not relying on the Company for any tax advice.</w:t>
      </w:r>
    </w:p>
    <w:p>
      <w:pPr>
        <w:spacing w:after="0" w:line="62" w:lineRule="exact"/>
        <w:rPr>
          <w:rFonts w:ascii="Times New Roman" w:cs="Times New Roman" w:eastAsia="Times New Roman" w:hAnsi="Times New Roman"/>
          <w:sz w:val="18"/>
          <w:szCs w:val="18"/>
          <w:color w:val="auto"/>
        </w:rPr>
      </w:pPr>
    </w:p>
    <w:p>
      <w:pPr>
        <w:ind w:left="4" w:right="80" w:hanging="4"/>
        <w:spacing w:after="0" w:line="253"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and other communications given or made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specifying next business day delivery, with written verification of receipt. Subject to the limitations set forth in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Purchaser consents to the delivery of any notice or communications to stockholders given by the Company under this Agreement, the DGCL or the Company’s Certificate of Incorporation or Bylaws by (i) facsimile telecommunication to the facsimile number set forth below (or to any other facsimile number for the Purchaser in the Company’s records), (ii) electronic mail to the electronic mail address set forth below (or to any other electronic mail address for the Purchaser in the Company’s records), (iii) posting on an electronic network together with separate notice to the Purchaser of such specific posting or (iv) any other form of electronic transmission (as defined in the DGCL) directed to the Purchaser. This consent may be revoked by the Purchaser by written notice to the Company (the “</w:t>
      </w:r>
      <w:r>
        <w:rPr>
          <w:rFonts w:ascii="Times New Roman" w:cs="Times New Roman" w:eastAsia="Times New Roman" w:hAnsi="Times New Roman"/>
          <w:sz w:val="18"/>
          <w:szCs w:val="18"/>
          <w:u w:val="single" w:color="auto"/>
          <w:color w:val="auto"/>
        </w:rPr>
        <w:t>Consent Revocation</w:t>
      </w:r>
      <w:r>
        <w:rPr>
          <w:rFonts w:ascii="Times New Roman" w:cs="Times New Roman" w:eastAsia="Times New Roman" w:hAnsi="Times New Roman"/>
          <w:sz w:val="18"/>
          <w:szCs w:val="18"/>
          <w:color w:val="auto"/>
        </w:rPr>
        <w:t>”) and may be deemed revoked in the circumstances specified in Section 232 of the DGCL. A copy of the Consent Revocation (which shall not constitute notice) shall also be sent to Edward M. Zimmerman, Esq. at Lowenstein Sandler LLP, 1251 Avenue of the Americas, New York, NY 10020.</w:t>
      </w:r>
    </w:p>
    <w:p>
      <w:pPr>
        <w:spacing w:after="0" w:line="79" w:lineRule="exact"/>
        <w:rPr>
          <w:rFonts w:ascii="Times New Roman" w:cs="Times New Roman" w:eastAsia="Times New Roman" w:hAnsi="Times New Roman"/>
          <w:sz w:val="18"/>
          <w:szCs w:val="18"/>
          <w:color w:val="auto"/>
        </w:rPr>
      </w:pPr>
    </w:p>
    <w:p>
      <w:pPr>
        <w:ind w:left="4" w:right="20" w:hanging="4"/>
        <w:spacing w:after="0" w:line="286"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Governing Law</w:t>
      </w:r>
      <w:r>
        <w:rPr>
          <w:rFonts w:ascii="Times New Roman" w:cs="Times New Roman" w:eastAsia="Times New Roman" w:hAnsi="Times New Roman"/>
          <w:sz w:val="18"/>
          <w:szCs w:val="18"/>
          <w:color w:val="auto"/>
        </w:rPr>
        <w:t>. The Plan and Option Agreement are incorporated herein by reference. This Agreement, the Plan and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 the entire agreement of the parties with respect to</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141" w:name="page142"/>
    <w:bookmarkEnd w:id="14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subject matter hereof and supersede in their entirety all prior undertakings and agreements of the Company and the Purchaser with respect to the subject matter hereof, and may not be modified adversely to the Purchaser’s interest except by means of a writing signed by the Company and Purchaser. This Agreement will be interpreted and enforced under the laws of the state of Delaware, without regard to conflict or choice of law principles.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20" w:type="dxa"/>
            <w:vAlign w:val="bottom"/>
            <w:gridSpan w:val="6"/>
          </w:tcPr>
          <w:p>
            <w:pPr>
              <w:ind w:left="1720"/>
              <w:spacing w:after="0"/>
              <w:rPr>
                <w:sz w:val="20"/>
                <w:szCs w:val="20"/>
                <w:color w:val="auto"/>
              </w:rPr>
            </w:pPr>
            <w:r>
              <w:rPr>
                <w:rFonts w:ascii="Times New Roman" w:cs="Times New Roman" w:eastAsia="Times New Roman" w:hAnsi="Times New Roman"/>
                <w:sz w:val="18"/>
                <w:szCs w:val="18"/>
                <w:color w:val="auto"/>
              </w:rPr>
              <w:t>Accepted by:</w:t>
            </w:r>
          </w:p>
        </w:tc>
        <w:tc>
          <w:tcPr>
            <w:tcW w:w="0" w:type="dxa"/>
            <w:vAlign w:val="bottom"/>
          </w:tcPr>
          <w:p>
            <w:pPr>
              <w:spacing w:after="0"/>
              <w:rPr>
                <w:sz w:val="1"/>
                <w:szCs w:val="1"/>
                <w:color w:val="auto"/>
              </w:rPr>
            </w:pPr>
          </w:p>
        </w:tc>
      </w:tr>
      <w:tr>
        <w:trPr>
          <w:trHeight w:val="432"/>
        </w:trPr>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17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6"/>
          </w:tcPr>
          <w:p>
            <w:pPr>
              <w:ind w:left="1720"/>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196"/>
        </w:trPr>
        <w:tc>
          <w:tcPr>
            <w:tcW w:w="408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ind w:left="172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6"/>
        </w:trPr>
        <w:tc>
          <w:tcPr>
            <w:tcW w:w="3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2"/>
              </w:rPr>
              <w:t>E-mail:</w:t>
            </w:r>
          </w:p>
        </w:tc>
        <w:tc>
          <w:tcPr>
            <w:tcW w:w="354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3"/>
              </w:rPr>
              <w:t>Fax:</w:t>
            </w:r>
          </w:p>
        </w:tc>
        <w:tc>
          <w:tcPr>
            <w:tcW w:w="376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gridSpan w:val="2"/>
          </w:tcPr>
          <w:p>
            <w:pPr>
              <w:spacing w:after="0"/>
              <w:rPr>
                <w:sz w:val="24"/>
                <w:szCs w:val="24"/>
                <w:color w:val="auto"/>
              </w:rPr>
            </w:pPr>
          </w:p>
        </w:tc>
        <w:tc>
          <w:tcPr>
            <w:tcW w:w="19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440" w:top="270" w:right="79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RESTRICTIONS AGREEMENT</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STOCK RESTRICTIONS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the day of , 20 __, by and between Clover Health Investments,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valuable consideration, the receipt and sufficiency of which are hereby acknowledged, the parties hereto agree as follows:</w:t>
      </w:r>
    </w:p>
    <w:p>
      <w:pPr>
        <w:spacing w:after="0" w:line="117" w:lineRule="exact"/>
        <w:rPr>
          <w:sz w:val="20"/>
          <w:szCs w:val="20"/>
          <w:color w:val="auto"/>
        </w:rPr>
      </w:pPr>
    </w:p>
    <w:p>
      <w:pPr>
        <w:ind w:right="20" w:firstLine="436"/>
        <w:spacing w:after="0" w:line="272" w:lineRule="auto"/>
        <w:tabs>
          <w:tab w:leader="none" w:pos="6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of Shares</w:t>
      </w:r>
      <w:r>
        <w:rPr>
          <w:rFonts w:ascii="Times New Roman" w:cs="Times New Roman" w:eastAsia="Times New Roman" w:hAnsi="Times New Roman"/>
          <w:sz w:val="17"/>
          <w:szCs w:val="17"/>
          <w:color w:val="auto"/>
        </w:rPr>
        <w:t>. The Stockholder, pursuant to the exercise of options granted to him or her by the Company under the Clover Health Investments, Corp. Amended and Restated 2014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has purchased on even date herewith, subject to the terms and conditions set forth in this Agreement, __________ shares of common stock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at a purchase price of __________</w:t>
      </w:r>
    </w:p>
    <w:p>
      <w:pPr>
        <w:spacing w:after="0" w:line="1" w:lineRule="exact"/>
        <w:rPr>
          <w:rFonts w:ascii="Times New Roman" w:cs="Times New Roman" w:eastAsia="Times New Roman" w:hAnsi="Times New Roman"/>
          <w:sz w:val="17"/>
          <w:szCs w:val="17"/>
          <w:color w:val="auto"/>
        </w:rPr>
      </w:pPr>
    </w:p>
    <w:p>
      <w:pPr>
        <w:ind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aggregate purchase price for the Shares shall be paid by the Stockholder. Upon receipt of payment by the Company for the Shares, the Company shall issue to the Stockholder one or more certificates in the name of the Stockholder for that number of Shares purchased by the Stockholder. The Stockholder agrees that the Shares shall be subject to the terms, conditions and restrictions set forth in this Agreement. The Stockholder further agrees that any additional shares of Common Stock acquired by the Stockholder shall be subject to the terms, conditions and restrictions set forth in this Agreement, and such shares of Common Stock shall be deemed Shares for all purposes hereunder; provided, further, that Shares acquired pursuant to the provisions of Paragraph G of the Stock Option Grant Agreement (the “</w:t>
      </w:r>
      <w:r>
        <w:rPr>
          <w:rFonts w:ascii="Times New Roman" w:cs="Times New Roman" w:eastAsia="Times New Roman" w:hAnsi="Times New Roman"/>
          <w:sz w:val="18"/>
          <w:szCs w:val="18"/>
          <w:u w:val="single" w:color="auto"/>
          <w:color w:val="auto"/>
        </w:rPr>
        <w:t>Grant Agreement</w:t>
      </w:r>
      <w:r>
        <w:rPr>
          <w:rFonts w:ascii="Times New Roman" w:cs="Times New Roman" w:eastAsia="Times New Roman" w:hAnsi="Times New Roman"/>
          <w:sz w:val="18"/>
          <w:szCs w:val="18"/>
          <w:color w:val="auto"/>
        </w:rPr>
        <w:t>”) shall also be subject to the terms and conditions of Section 3 of this Agreement.</w:t>
      </w:r>
    </w:p>
    <w:p>
      <w:pPr>
        <w:spacing w:after="0" w:line="80"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Stockholder shall not transfer any of the Shares, except by a transfer that meets the following requirements:</w:t>
      </w:r>
    </w:p>
    <w:p>
      <w:pPr>
        <w:spacing w:after="0" w:line="117"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Requirement</w:t>
      </w:r>
      <w:r>
        <w:rPr>
          <w:rFonts w:ascii="Times New Roman" w:cs="Times New Roman" w:eastAsia="Times New Roman" w:hAnsi="Times New Roman"/>
          <w:sz w:val="18"/>
          <w:szCs w:val="18"/>
          <w:color w:val="auto"/>
        </w:rPr>
        <w:t>. If at any time the Stockholder proposes to sell or otherwise transfer or assign for cash, cash equivalents or any other form of consideration (including a promissory note) pursuant to a bona fide offer from any third party all or any part of his or her Shares (the “</w:t>
      </w:r>
      <w:r>
        <w:rPr>
          <w:rFonts w:ascii="Times New Roman" w:cs="Times New Roman" w:eastAsia="Times New Roman" w:hAnsi="Times New Roman"/>
          <w:sz w:val="18"/>
          <w:szCs w:val="18"/>
          <w:u w:val="single" w:color="auto"/>
          <w:color w:val="auto"/>
        </w:rPr>
        <w:t>Offered Shares</w:t>
      </w:r>
      <w:r>
        <w:rPr>
          <w:rFonts w:ascii="Times New Roman" w:cs="Times New Roman" w:eastAsia="Times New Roman" w:hAnsi="Times New Roman"/>
          <w:sz w:val="18"/>
          <w:szCs w:val="18"/>
          <w:color w:val="auto"/>
        </w:rPr>
        <w:t>”), the Stockholder shall first give written notice of the proposed transfer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to the Company. The Transfer Notice shall name the proposed transferee(s) and state the number of shares to be transferred, the price per share and all other material terms and conditions of the transfer.</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Purchase</w:t>
      </w:r>
      <w:r>
        <w:rPr>
          <w:rFonts w:ascii="Times New Roman" w:cs="Times New Roman" w:eastAsia="Times New Roman" w:hAnsi="Times New Roman"/>
          <w:sz w:val="18"/>
          <w:szCs w:val="18"/>
          <w:color w:val="auto"/>
        </w:rPr>
        <w:t>. For fifteen (15) days following its receipt of such Transfer Notice, the Company shall have the right to purchase all or any lesser part of the Offered Shares at the price and upon the terms and conditions set forth in the Transfer Notice. In the event the Company elects to purchase all or any lesser part of the Offered Shares, it shall give written notice of its election to the Stockholder within such 15-day period, and the settlement of the sale on such Offered Shares shall be made as provided below in Section 2(c) of this Agreement.</w:t>
      </w:r>
    </w:p>
    <w:p>
      <w:pPr>
        <w:spacing w:after="0" w:line="71"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If the Company elects to acquire all or any lesser part of the Offered Shares, the Company shall so notify the Stockholder, and settlement shall be made at the principal office of the Company in cash within thirty (30) days after the Company receives the Transfer Notice; provided, however, if the terms of payment set forth in the Stockholder’s Transfer Notice were other than cash against delivery, the Company may pay for such Offered Shares on the same terms and conditions set forth in the Transfer Notice.</w:t>
      </w:r>
    </w:p>
    <w:p>
      <w:pPr>
        <w:spacing w:after="0" w:line="7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Free of Restrictions</w:t>
      </w:r>
      <w:r>
        <w:rPr>
          <w:rFonts w:ascii="Times New Roman" w:cs="Times New Roman" w:eastAsia="Times New Roman" w:hAnsi="Times New Roman"/>
          <w:sz w:val="18"/>
          <w:szCs w:val="18"/>
          <w:color w:val="auto"/>
        </w:rPr>
        <w:t>. If the Company does not elect to purchase all of the Offered Shares, the Stockholder may, not sooner than fifteen (15) or later than sixty (60) days following the Company’s receipt of the Transfer Notice, enter into an agreement providing for the closing of the transfer of the Offered Shares covered by the Transfer Notice within thirty (30) days of the date such agreement is entered into on the same terms and conditions as those described in the Transfer Notice. Any proposed transfer on different terms and conditions than those described in the Transfer Notice, as well as any subsequent proposed transfer of any of the Shares, shall again be subject to the right of first refusal of the Company and shall require compliance by the Stockholder with the procedures described in this Section 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143" w:name="page144"/>
    <w:bookmarkEnd w:id="143"/>
    <w:p>
      <w:pPr>
        <w:ind w:left="1240" w:hanging="253"/>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Exempt Transactions</w:t>
      </w:r>
      <w:r>
        <w:rPr>
          <w:rFonts w:ascii="Times New Roman" w:cs="Times New Roman" w:eastAsia="Times New Roman" w:hAnsi="Times New Roman"/>
          <w:sz w:val="18"/>
          <w:szCs w:val="18"/>
          <w:color w:val="auto"/>
        </w:rPr>
        <w:t>. The following transactions shall be exempt from the provisions of this Section 2:</w:t>
      </w:r>
    </w:p>
    <w:p>
      <w:pPr>
        <w:spacing w:after="0" w:line="117"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transfer of any or all of the Stockholder’s Shares, either during the Stockholder’s lifetime or on death by will or the laws of descent and distribution, to one or more members of the Stockholder’s immediate family, to a trust for the exclusive benefit of the Stockholder or such immediate family members, to any other entity owned exclusively by the Stockholder or such immediate family members, or to any combination thereof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transfers made pursuant to any divorce or separation proceedings or settlements shall be exempt from this Section 2. “Immediate family” shall mean spouse (including, without limitation, any domestic partner or partner by virtue of same-sex marriage and/or civil union), children, grandchildren, parents or siblings of the Stockholder, including in each case adoptive relations; or</w:t>
      </w:r>
    </w:p>
    <w:p>
      <w:pPr>
        <w:spacing w:after="0" w:line="80"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pursuant to a registration statement filed by the Company with the Securities and Exchange Commission.</w:t>
      </w:r>
    </w:p>
    <w:p>
      <w:pPr>
        <w:spacing w:after="0" w:line="11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elsewhere in this Section 2, except with respect to a transfer pursuant to Section 2(e) (ii), any proposed transferee or Permitted Transferee of the Stockholder shall receive and hold such stock subject to the provisions of this Agreement, and, as a condition of such transfer, shall deliver to the Company a written instrument confirming that such transferee shall be bound by all of the terms and conditions of this Agreement. There shall be no subsequent transfer of such stock except in accordance with this Section 2.</w:t>
      </w:r>
    </w:p>
    <w:p>
      <w:pPr>
        <w:spacing w:after="0" w:line="72" w:lineRule="exact"/>
        <w:rPr>
          <w:sz w:val="20"/>
          <w:szCs w:val="20"/>
          <w:color w:val="auto"/>
        </w:rPr>
      </w:pPr>
    </w:p>
    <w:p>
      <w:pPr>
        <w:ind w:firstLine="987"/>
        <w:spacing w:after="0" w:line="282" w:lineRule="auto"/>
        <w:tabs>
          <w:tab w:leader="none" w:pos="121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In the event of a conflict between this Agreement and the Company’s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containing a preexisting right of first refusal, the terms of the Bylaws will control and compliance with the Bylaws shall be deemed compliance with this Section 2.</w:t>
      </w:r>
    </w:p>
    <w:p>
      <w:pPr>
        <w:spacing w:after="0" w:line="5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Restrictions on Transfer</w:t>
      </w:r>
      <w:r>
        <w:rPr>
          <w:rFonts w:ascii="Times New Roman" w:cs="Times New Roman" w:eastAsia="Times New Roman" w:hAnsi="Times New Roman"/>
          <w:sz w:val="18"/>
          <w:szCs w:val="18"/>
          <w:color w:val="auto"/>
        </w:rPr>
        <w:t>. The foregoing restrictions on transfer shall terminate upon the closing of the first public offering of securities of the Company that is effected pursuant to a registration statement filed with, and declared effective by, the Securities and Exchange Commission under the Securities Act of 1933, as amended. In addition, in the event that the Stockholder has entered into, or subsequently enters into, another agreement with the Company with respect to rights of first refusal or any other rights and/or obligations substantially similar to those set forth in this Section 2, the Stockholder and the Company agree and acknowledge that this Section 2 shall be automatically voided and shall have no further legal binding effect on either the Stockholder or the Company.</w:t>
      </w:r>
    </w:p>
    <w:p>
      <w:pPr>
        <w:spacing w:after="0" w:line="79"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Restrictions with respect to Shares acquired upon “Early Exercise” of the Option</w:t>
      </w:r>
      <w:r>
        <w:rPr>
          <w:rFonts w:ascii="Times New Roman" w:cs="Times New Roman" w:eastAsia="Times New Roman" w:hAnsi="Times New Roman"/>
          <w:sz w:val="18"/>
          <w:szCs w:val="18"/>
          <w:color w:val="auto"/>
        </w:rPr>
        <w:t>. Notwithstanding anything in this Agreement to the contrary, the following terms and conditions of this Section 3 shall apply to the Shares if and to the extent they were acquired as a result of the Stockholder’s exercise of the Option pursuant to the provisions of Paragraph G of the Grant Agreement:</w:t>
      </w:r>
    </w:p>
    <w:p>
      <w:pPr>
        <w:spacing w:after="0" w:line="67"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such Shares become “Vested Shares” in accordance with Paragraph (b) below, the Shares may not be sold, transferred, assigned or pledged or otherwise be the subject of any disposition whatsoever, and shall be subject to the special repurchase rights of the Company set forth in Paragraph (c). Until such Shares become Vested Shares, they shall be held physically by the Company or in book entry form on the Company’s records.</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become Vested Shares in accordance with the following schedule: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eShares for Vesting Schedule]</w:t>
      </w:r>
    </w:p>
    <w:p>
      <w:pPr>
        <w:spacing w:after="0" w:line="117" w:lineRule="exact"/>
        <w:rPr>
          <w:sz w:val="20"/>
          <w:szCs w:val="20"/>
          <w:color w:val="auto"/>
        </w:rPr>
      </w:pPr>
    </w:p>
    <w:p>
      <w:pPr>
        <w:ind w:right="20" w:firstLine="987"/>
        <w:spacing w:after="0" w:line="258"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restrictions set forth in this Section 3, or as otherwise provided in this Agreement or the Grant Agreement, the Stockholder shall have all the rights of a Stockholder of Common Stock with respect to the Shares (whether Vested or not) including the right to vote the Shares and receive all dividends and other distributions paid or made with respect thereto; provided, however, that such dividends and other distributions shall be retained by the Company for the Stockholder’s account and for delivery to the Stockholder, together with the stock certificate or certificates representing such Shares, as and when the Shares to which such dividends relate become Vested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44" w:name="page145"/>
    <w:bookmarkEnd w:id="144"/>
    <w:p>
      <w:pPr>
        <w:ind w:right="20" w:firstLine="987"/>
        <w:spacing w:after="0" w:line="252" w:lineRule="auto"/>
        <w:tabs>
          <w:tab w:leader="none" w:pos="12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voluntary or involuntary termination of the Stockholder’s service with the Company or any Affiliate (as defined in the Plan) for any reason (including death or disability)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any dividends or distributions paid or declared on Shares which have not become Vested Shares shall be forfeited, and the Company shall have the right (the “</w:t>
      </w:r>
      <w:r>
        <w:rPr>
          <w:rFonts w:ascii="Times New Roman" w:cs="Times New Roman" w:eastAsia="Times New Roman" w:hAnsi="Times New Roman"/>
          <w:sz w:val="18"/>
          <w:szCs w:val="18"/>
          <w:u w:val="single" w:color="auto"/>
          <w:color w:val="auto"/>
        </w:rPr>
        <w:t>Repurchase Right</w:t>
      </w:r>
      <w:r>
        <w:rPr>
          <w:rFonts w:ascii="Times New Roman" w:cs="Times New Roman" w:eastAsia="Times New Roman" w:hAnsi="Times New Roman"/>
          <w:sz w:val="18"/>
          <w:szCs w:val="18"/>
          <w:color w:val="auto"/>
        </w:rPr>
        <w:t>”) for a period of one hundred eighty (180) days from the Termination Date (the “</w:t>
      </w:r>
      <w:r>
        <w:rPr>
          <w:rFonts w:ascii="Times New Roman" w:cs="Times New Roman" w:eastAsia="Times New Roman" w:hAnsi="Times New Roman"/>
          <w:sz w:val="18"/>
          <w:szCs w:val="18"/>
          <w:u w:val="single" w:color="auto"/>
          <w:color w:val="auto"/>
        </w:rPr>
        <w:t>Repurchase Period</w:t>
      </w:r>
      <w:r>
        <w:rPr>
          <w:rFonts w:ascii="Times New Roman" w:cs="Times New Roman" w:eastAsia="Times New Roman" w:hAnsi="Times New Roman"/>
          <w:sz w:val="18"/>
          <w:szCs w:val="18"/>
          <w:color w:val="auto"/>
        </w:rPr>
        <w:t>”) to repurchase any Shares that have not become Vested Shares as of the date the Stockholder ceases to be in the employ or service of the Company or any Affiliate. The Company shall pay the Stockholder an amount equal to the original purchase price paid by the Stockholder for such Shares, and, notwithstanding any provision in this Agreement to the contrary, such amount may be paid by cancellation of an equal amount of any indebtedness of the Stockholder to the Company. Unless the Company notifies the Stockholder in writing during the Repurchase Period that it does not intend to exercise its Repurchase Right with respect to some or all of the unvested Shares, the Repurchase Right shall be deemed automatically exercised by the Company on the last day of the Repurchase Period; provided, that the Company may notify the Stockholder that it is exercising its Repurchase Right as of an earlier date. Unless the Stockholder is otherwise notified by the Company pursuant to the preceding sentence that the Company does not intend to exercise its Repurchase Right as to some or all of the unvested Shares to which it applies at the time of termination, execution of this Agreement by the Stockholder constitutes written notice to the Stockholder of the Company’s intention to exercise its Repurchase Right with respect to all unvested Shares to which such Repurchase Right applies. As a result of any repurchase of unvested Shares pursuant to this Section 3, the Company shall become the legal and beneficial owner of the Shares being repurchased and shall have all rights and interest therein or related thereto, and the Company shall have the right to transfer to its own name the number of unvested Shares being repurchased by the Company, without further action by the Stockholder. Fractional shares shall be rounded to the nearest whole share.</w:t>
      </w:r>
    </w:p>
    <w:p>
      <w:pPr>
        <w:spacing w:after="0" w:line="86"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hereby acknowledges that the Stockholder has been informed that, with respect to the Shares, the Stockholder may file an election with the Internal Revenue Service, within 30 days of the exercise of the Option, electing pursuant to Section 83(b) of the Code to be taxed currently on any difference between the purchase price of the Shares and their fair market value on the date of exercise of the Option. Absent such an election, taxable income will be measured and recognized by the Stockholder at the time or times at which the Shares become Vested Shares. The Stockholder is strongly encouraged to seek the advice of his or her own tax consultant in connection with the issuance of the Shares and the advisability of filing of the election under Section 83(b) of the Code. THE STOCKHOLDER ACKNOWLEDGES THAT IT IS NOT THE COMPANY’S RESPONSIBILTY, BUT RATHER IS THE STOCKHOLDER’S SOLE RESPONSIBILITY, TO FILE THE ELECTION UNDER SECTION 83(b) TIMELY. If the Stockholder files an election under Section 83(b) of the Code, the Stockholder shall promptly furnish the Company with a copy of the election.</w:t>
      </w:r>
    </w:p>
    <w:p>
      <w:pPr>
        <w:spacing w:after="0" w:line="80"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Prohibited Transfer</w:t>
      </w:r>
      <w:r>
        <w:rPr>
          <w:rFonts w:ascii="Times New Roman" w:cs="Times New Roman" w:eastAsia="Times New Roman" w:hAnsi="Times New Roman"/>
          <w:sz w:val="18"/>
          <w:szCs w:val="18"/>
          <w:color w:val="auto"/>
        </w:rPr>
        <w:t>. The Company shall not be required to (a) transfer on its books any of the Shares that have been sold or transferred in violation of any of the provisions set forth in this Agreement or (b) treat as owner of such Shares or to pay dividends or other distributions to any transferee to whom any such Shares shall have been so sold or transferred.</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Drag-Along Right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if at any time a stockholder of the Company, or a group of stockholders, owning at least a majority of the capital stock of the Company (hereinafter, collectively the “</w:t>
      </w:r>
      <w:r>
        <w:rPr>
          <w:rFonts w:ascii="Times New Roman" w:cs="Times New Roman" w:eastAsia="Times New Roman" w:hAnsi="Times New Roman"/>
          <w:sz w:val="18"/>
          <w:szCs w:val="18"/>
          <w:u w:val="single" w:color="auto"/>
          <w:color w:val="auto"/>
        </w:rPr>
        <w:t>Transferring Stockholders</w:t>
      </w:r>
      <w:r>
        <w:rPr>
          <w:rFonts w:ascii="Times New Roman" w:cs="Times New Roman" w:eastAsia="Times New Roman" w:hAnsi="Times New Roman"/>
          <w:sz w:val="18"/>
          <w:szCs w:val="18"/>
          <w:color w:val="auto"/>
        </w:rPr>
        <w:t>”) proposes to enter into any transaction involving a Change in Control (as defined below) of the Company that involves the sale, assignment, tender or transfer of capital stock, the Company or the Transferring Stockholders may require the Stockholder to participate in such Change in Control transaction with respect to all or such number of the Stockholder’s Shares as the Company or the Transferring Stockholders may specify in its or their discretion, by giving the Stockholder written notice thereof at least ten (10) days in advance of the date of the transaction or the date that tender is required, as the case may be. Upon receipt of such notice, the Stockholder shall tender the specified number of Shares, at the same price and upon the same terms and conditions applicable to the Transferring Stockholders in the transaction or, in the discretion of the acquiror or successor to the Company, upon payment of the purchase price to the Stockholder in immediately available funds. In addition, if at any time the Company and/or any Transferring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145" w:name="page146"/>
    <w:bookmarkEnd w:id="14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propose to enter into any Change in Control transaction, the Company may require the Stockholder to vote in favor of such transaction, where approval of the stockholders is required by law or otherwise sought, by giving the Stockholder notice thereof within the time prescribed by law and the Company’s Certificate of Incorporation and Bylaws for giving notice of a meeting of stockholders called for the purpose of approving such transaction. If the Company requires such vote, the Stockholder agrees that he or she will, if requested, deliver his or her proxy to the person designated by the Company to vote his or her Shares in favor of such Change in Control transaction.</w:t>
      </w:r>
    </w:p>
    <w:p>
      <w:pPr>
        <w:spacing w:after="0" w:line="75" w:lineRule="exact"/>
        <w:rPr>
          <w:sz w:val="20"/>
          <w:szCs w:val="20"/>
          <w:color w:val="auto"/>
        </w:rPr>
      </w:pPr>
    </w:p>
    <w:p>
      <w:pPr>
        <w:ind w:firstLine="987"/>
        <w:spacing w:after="0" w:line="253" w:lineRule="auto"/>
        <w:tabs>
          <w:tab w:leader="none" w:pos="124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hereby constitutes and appoints as the proxies of the party and hereby grants a power of attorney to a designee of the Transferring Stockholders, with full power of substitution, with respect to the matters set forth herein, and hereby authorizes each of them to represent and to vote, if and only if the Stockholder (i) fails to vote or (ii) attempts to vote (whether by proxy, in person or by written consent), in a manner which is inconsistent with the terms of this Agreement, all of such Stockholder’s Shares in favor of approval of any Change in Control pursuant to and in accordance with the terms and provisions of this Section 5 of this Agreement. Each of the proxy and power of attorney granted pursuant to this Section 5 of this Agreement is given in consideration of the agreements and covenants of the Company, and as such, each is coupled with an interest and shall be irrevocable unless and until this Agreement terminates or expires. The Stockholder hereby revokes any and all previous proxies or powers of attorney with respect to the Shares and shall not hereafter, unless this Agreement terminates or expires,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p>
    <w:p>
      <w:pPr>
        <w:spacing w:after="0" w:line="83" w:lineRule="exact"/>
        <w:rPr>
          <w:rFonts w:ascii="Times New Roman" w:cs="Times New Roman" w:eastAsia="Times New Roman" w:hAnsi="Times New Roman"/>
          <w:sz w:val="18"/>
          <w:szCs w:val="18"/>
          <w:color w:val="auto"/>
        </w:rPr>
      </w:pPr>
    </w:p>
    <w:p>
      <w:pPr>
        <w:ind w:right="80" w:firstLine="987"/>
        <w:spacing w:after="0" w:line="277" w:lineRule="auto"/>
        <w:tabs>
          <w:tab w:leader="none" w:pos="123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as to any entity: (i) the sale, transfer, assignment or other disposition (including by merger or consolidation, but excluding any sales by stockholders made as part of an underwritten public offering of the common stock of the entity) by stockholders of the entity, in one transaction or a series of related transactions, of more than 50% of the voting power represented by the then outstanding capital stock of the entity to one or more Persons, (ii) the sale of all or substantially all of the assets of the entity (other than a transfer of financial assets made in the ordinary course of business for the purpose of securitization), or (iii) the liquidation, dissolution or winding up of the entity.</w:t>
      </w:r>
    </w:p>
    <w:p>
      <w:pPr>
        <w:spacing w:after="0" w:line="59" w:lineRule="exact"/>
        <w:rPr>
          <w:rFonts w:ascii="Times New Roman" w:cs="Times New Roman" w:eastAsia="Times New Roman" w:hAnsi="Times New Roman"/>
          <w:sz w:val="17"/>
          <w:szCs w:val="17"/>
          <w:color w:val="auto"/>
        </w:rPr>
      </w:pPr>
    </w:p>
    <w:p>
      <w:pPr>
        <w:ind w:right="120" w:firstLine="987"/>
        <w:spacing w:after="0" w:line="261" w:lineRule="auto"/>
        <w:tabs>
          <w:tab w:leader="none" w:pos="124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Stockholder has entered into, or subsequently enters into, another agreement with the Company with respect to drag-along rights or any other rights and/or obligations substantially similar to those set forth in this Section 5, the Stockholder and the Company agree and acknowledge that this Section 5 shall be automatically voided and shall have no further legal binding effect on either the Stockholder or the Company.</w:t>
      </w:r>
    </w:p>
    <w:p>
      <w:pPr>
        <w:spacing w:after="0" w:line="7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representing Shares shall have affixed thereto a legend in substantially the following form, in addition to any other legends that may be required under federal or state securities laws:</w:t>
      </w:r>
    </w:p>
    <w:p>
      <w:pPr>
        <w:spacing w:after="0" w:line="54" w:lineRule="exact"/>
        <w:rPr>
          <w:sz w:val="20"/>
          <w:szCs w:val="20"/>
          <w:color w:val="auto"/>
        </w:rPr>
      </w:pPr>
    </w:p>
    <w:p>
      <w:pPr>
        <w:ind w:left="980" w:right="1240"/>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THE TERMS, CONDITIONS AND RESTRICTIONS SET FORTH IN A CERTAIN STOCK RESTRICTIONS AGREEMENT BETWEEN THE CORPORATION AND THE REGISTERED OWNER OF THIS CERTIFICATE (OR HIS/HER PREDECESSOR IN INTEREST), AND NO TRANSFER OF SUCH SHARES MAY BE MADE WITHOUT COMPLIANCE WITH THAT AGREEMENT. A COPY OF THAT AGREEMENT IS AVAILABLE FOR INSPECTION AT THE OFFICE OF THE CORPORATION UPON APPROPRIATE REQUEST AND WITHOUT CHARGE.</w:t>
      </w:r>
    </w:p>
    <w:p>
      <w:pPr>
        <w:spacing w:after="0" w:line="79" w:lineRule="exact"/>
        <w:rPr>
          <w:sz w:val="20"/>
          <w:szCs w:val="20"/>
          <w:color w:val="auto"/>
        </w:rPr>
      </w:pPr>
    </w:p>
    <w:p>
      <w:pPr>
        <w:ind w:left="620" w:hanging="184"/>
        <w:spacing w:after="0"/>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Stockholder represents, warrants and covenants as follows:</w:t>
      </w:r>
    </w:p>
    <w:p>
      <w:pPr>
        <w:spacing w:after="0" w:line="117" w:lineRule="exact"/>
        <w:rPr>
          <w:rFonts w:ascii="Times New Roman" w:cs="Times New Roman" w:eastAsia="Times New Roman" w:hAnsi="Times New Roman"/>
          <w:sz w:val="18"/>
          <w:szCs w:val="18"/>
          <w:color w:val="auto"/>
        </w:rPr>
      </w:pPr>
    </w:p>
    <w:p>
      <w:pPr>
        <w:jc w:val="both"/>
        <w:ind w:right="440" w:firstLine="987"/>
        <w:spacing w:after="0" w:line="266"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is purchasing the Shares for the Stockholder’s own account for investment only, and not with a view to, or for sale in connection with, any distribution of the Shares in violation of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rule or regulation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46" w:name="page147"/>
    <w:bookmarkEnd w:id="146"/>
    <w:p>
      <w:pPr>
        <w:ind w:right="600" w:firstLine="987"/>
        <w:spacing w:after="0" w:line="282" w:lineRule="auto"/>
        <w:tabs>
          <w:tab w:leader="none" w:pos="124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has had such opportunity as the Stockholder deemed adequate to obtain from representatives of the Company such information as is necessary to permit the Stockholder to evaluate the merits and risks of the Stockholder’s investment in the Company.</w:t>
      </w:r>
    </w:p>
    <w:p>
      <w:pPr>
        <w:spacing w:after="0" w:line="53"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has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can afford a complete loss of the value of the Shares and is able to bear the economic risk of holding such Shares for 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 period.</w:t>
      </w:r>
    </w:p>
    <w:p>
      <w:pPr>
        <w:spacing w:after="0" w:line="9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(or, if the Shares were acquired in compliance with Rule 701 of the Securities Act, ninety days after an initial public offering of the Common Stock) and even then will not be available unless a public market then exists for the Common Stock, adequate information concerning the Company is then available to the public, and other terms and conditions of Rule 144 are met;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Stock Dividends, etc.</w:t>
      </w:r>
    </w:p>
    <w:p>
      <w:pPr>
        <w:spacing w:after="0" w:line="117" w:lineRule="exact"/>
        <w:rPr>
          <w:rFonts w:ascii="Times New Roman" w:cs="Times New Roman" w:eastAsia="Times New Roman" w:hAnsi="Times New Roman"/>
          <w:sz w:val="18"/>
          <w:szCs w:val="18"/>
          <w:color w:val="auto"/>
        </w:rPr>
      </w:pPr>
    </w:p>
    <w:p>
      <w:pPr>
        <w:jc w:val="both"/>
        <w:ind w:right="120" w:firstLine="987"/>
        <w:spacing w:after="0" w:line="289" w:lineRule="auto"/>
        <w:tabs>
          <w:tab w:leader="none" w:pos="1236"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from time to time there is any stock split-up, stock dividend, stock distribution or other reclassification of the Common Stock of the Company, any and all new, substituted or additional securities to which the Stockholder is entitled by reason of his or her ownership of the Shares shall be immediately subject to the restrictions on transfer and other provisions of this Agreement in the same manner and to the same extent as the Shares.</w:t>
      </w:r>
    </w:p>
    <w:p>
      <w:pPr>
        <w:spacing w:after="0" w:line="49" w:lineRule="exact"/>
        <w:rPr>
          <w:rFonts w:ascii="Times New Roman" w:cs="Times New Roman" w:eastAsia="Times New Roman" w:hAnsi="Times New Roman"/>
          <w:sz w:val="17"/>
          <w:szCs w:val="17"/>
          <w:color w:val="auto"/>
        </w:rPr>
      </w:pPr>
    </w:p>
    <w:p>
      <w:pPr>
        <w:jc w:val="both"/>
        <w:ind w:right="40" w:firstLine="987"/>
        <w:spacing w:after="0" w:line="261" w:lineRule="auto"/>
        <w:tabs>
          <w:tab w:leader="none" w:pos="124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converted into or exchanged for, or stockholders of the Company receive by reason of any distribution in total or partial liquidation, securities of another corporation, or other property (including cash), pursuant to any merger of the Company or acquisition of its assets, then the rights of the Company under this Agreement shall inure to the benefit of the Company’s successor, and this Agreement shall apply to the securities or other property received upon such conversion, exchange or distribution in the same manner and to the same extent as the Shares.</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Following the effective date of a registration statement of the Company filed under the Securities Act, the Stockholder, for the duration specified by and to the extent requested by the Company and an underwriter of Common Stock or other securities of the Company, shall not directly or indirectly sell, offer to sell, contract to sell (including, without limitation, any short sale), grant any option to purchase, or otherwise transfer or dispose of (other than to a donee who agrees to be similarly bound) any securities of the Company held by the Stockholder at any time during such period except Common Stock (or other securities) included in such registration, provided however, that the restrictions set forth in this Section 9 shall be applicable only:</w:t>
      </w:r>
    </w:p>
    <w:p>
      <w:pPr>
        <w:spacing w:after="0" w:line="79"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first such registration statement of the Company which covers Common Stock (or other securities) to be sold on its behalf to the public in an underwritten offering; and</w:t>
      </w:r>
    </w:p>
    <w:p>
      <w:pPr>
        <w:spacing w:after="0" w:line="53"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officers and directors of the Company and all persons with registration rights with respect to the Company’s capital stock enter into similar agreements.</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7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Stockholder acknowledges and agrees that the Company has the right to deduct from payments of any kind otherwise due to the Stockholder any federal, state or local taxes of any kind required by law to be withheld with respect to the purchase or disposition of the Shares by the Stockholder.</w:t>
      </w:r>
    </w:p>
    <w:p>
      <w:pPr>
        <w:spacing w:after="0" w:line="67" w:lineRule="exact"/>
        <w:rPr>
          <w:rFonts w:ascii="Times New Roman" w:cs="Times New Roman" w:eastAsia="Times New Roman" w:hAnsi="Times New Roman"/>
          <w:sz w:val="18"/>
          <w:szCs w:val="18"/>
          <w:color w:val="auto"/>
        </w:rPr>
      </w:pPr>
    </w:p>
    <w:p>
      <w:pPr>
        <w:ind w:right="240" w:firstLine="436"/>
        <w:spacing w:after="0" w:line="282" w:lineRule="auto"/>
        <w:tabs>
          <w:tab w:leader="none" w:pos="70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or Unenforceability</w:t>
      </w:r>
      <w:r>
        <w:rPr>
          <w:rFonts w:ascii="Times New Roman" w:cs="Times New Roman" w:eastAsia="Times New Roman" w:hAnsi="Times New Roman"/>
          <w:sz w:val="18"/>
          <w:szCs w:val="18"/>
          <w:color w:val="auto"/>
        </w:rPr>
        <w:t>. It is the intention of the Company and the Stockholder that this Agreement shall be enforceable to the fullest extent allowed by law. In the event that a court having jurisdiction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47" w:name="page148"/>
    <w:bookmarkEnd w:id="147"/>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holds any provision of this Agreement to be invalid or unenforceable, in whole or in part, the Company and the Stockholder agree that, if allowed by law, that provision shall be reduced to the degree necessary to render it valid and enforceable without affecting the rest of this Agreement.</w:t>
      </w:r>
    </w:p>
    <w:p>
      <w:pPr>
        <w:spacing w:after="0" w:line="54" w:lineRule="exact"/>
        <w:rPr>
          <w:sz w:val="20"/>
          <w:szCs w:val="20"/>
          <w:color w:val="auto"/>
        </w:rPr>
      </w:pPr>
    </w:p>
    <w:p>
      <w:pPr>
        <w:jc w:val="both"/>
        <w:ind w:right="380" w:firstLine="436"/>
        <w:spacing w:after="0" w:line="266"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67"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Company and the Stockholder and their respective heirs, executors, administrators, legal representatives, successors and assigns, subject to the terms, conditions and restrictions on transfer set forth in Section 2 of this Agreement. The Company may assign its rights under this Agreement to a third party, provided such assignee agrees to be bound by all of the Company’s obligations under this Agreement.</w:t>
      </w:r>
    </w:p>
    <w:p>
      <w:pPr>
        <w:spacing w:after="0" w:line="71"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w:t>
      </w:r>
      <w:r>
        <w:rPr>
          <w:rFonts w:ascii="Times New Roman" w:cs="Times New Roman" w:eastAsia="Times New Roman" w:hAnsi="Times New Roman"/>
          <w:sz w:val="18"/>
          <w:szCs w:val="18"/>
          <w:color w:val="auto"/>
        </w:rPr>
        <w:t>. Nothing contained in this Agreement shall be construed as giving the Stockholder any right to be retained, in any position, as an employee or consultant of the Company for any period of time or to restrict the Company’s right to terminate the Stockholder’s employment or consulting relationship at any time with or without cause or notice.</w:t>
      </w:r>
    </w:p>
    <w:p>
      <w:pPr>
        <w:spacing w:after="0" w:line="67" w:lineRule="exact"/>
        <w:rPr>
          <w:rFonts w:ascii="Times New Roman" w:cs="Times New Roman" w:eastAsia="Times New Roman" w:hAnsi="Times New Roman"/>
          <w:sz w:val="18"/>
          <w:szCs w:val="18"/>
          <w:color w:val="auto"/>
        </w:rPr>
      </w:pPr>
    </w:p>
    <w:p>
      <w:pPr>
        <w:jc w:val="both"/>
        <w:ind w:firstLine="436"/>
        <w:spacing w:after="0" w:line="261"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made or given pursuant to this Agreement shall be in writing and shall be sufficiently made or given if hand delivered or mailed by certified mail, addressed to the Stockholder at the address contained in the records of the Company, or addressed to the Company for the attention of its Corporate Secretary at its principal office or, if the receiving party consents in advance, transmitted and received via telecopy or via such other electronic transmission mechanism as may be available to the parties.</w:t>
      </w:r>
    </w:p>
    <w:p>
      <w:pPr>
        <w:spacing w:after="0" w:line="71"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 of nouns and pronouns shall include the plural, and vice-versa.</w:t>
      </w:r>
    </w:p>
    <w:p>
      <w:pPr>
        <w:spacing w:after="0" w:line="53" w:lineRule="exact"/>
        <w:rPr>
          <w:rFonts w:ascii="Times New Roman" w:cs="Times New Roman" w:eastAsia="Times New Roman" w:hAnsi="Times New Roman"/>
          <w:sz w:val="18"/>
          <w:szCs w:val="18"/>
          <w:color w:val="auto"/>
        </w:rPr>
      </w:pPr>
    </w:p>
    <w:p>
      <w:pPr>
        <w:ind w:right="200" w:firstLine="436"/>
        <w:spacing w:after="0" w:line="261"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Whenever the word “Stockholder” is used in any provision of this Agreement under circumstances where the provision should logically be construed, as determined by the Board of Directors of the Company, to apply to the Stockholder’s estate, personal representative, beneficiary to whom the Shares may be transferred by will or by the laws of descent and distribution, transferees, successors or assignees, the word “Stockholder” shall be deemed to include such persons.</w:t>
      </w:r>
    </w:p>
    <w:p>
      <w:pPr>
        <w:spacing w:after="0" w:line="71" w:lineRule="exact"/>
        <w:rPr>
          <w:rFonts w:ascii="Times New Roman" w:cs="Times New Roman" w:eastAsia="Times New Roman" w:hAnsi="Times New Roman"/>
          <w:sz w:val="18"/>
          <w:szCs w:val="18"/>
          <w:color w:val="auto"/>
        </w:rPr>
      </w:pPr>
    </w:p>
    <w:p>
      <w:pPr>
        <w:ind w:right="1020" w:firstLine="436"/>
        <w:spacing w:after="0" w:line="282"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all prior agreements and understandings, relating to the subject matter of this Agreement.</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Stockholder.</w:t>
      </w:r>
    </w:p>
    <w:p>
      <w:pPr>
        <w:spacing w:after="0" w:line="117"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interpreted and enforced in accordance with the laws of the state of Delaware, without application of the principles of conflict of laws thereof.</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Stock Restrictions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[Print]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17145</wp:posOffset>
            </wp:positionV>
            <wp:extent cx="23145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[Print]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314325</wp:posOffset>
            </wp:positionV>
            <wp:extent cx="2314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840"/>
          </w:cols>
          <w:pgMar w:left="880" w:top="270" w:right="1179" w:bottom="1440" w:gutter="0" w:footer="0" w:header="0"/>
        </w:sectPr>
      </w:pPr>
    </w:p>
    <w:bookmarkStart w:id="149" w:name="page150"/>
    <w:bookmarkEnd w:id="149"/>
    <w:p>
      <w:pPr>
        <w:jc w:val="center"/>
        <w:ind w:right="-16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ELECTION UNDER SECTION 83(B)</w:t>
      </w:r>
    </w:p>
    <w:p>
      <w:pPr>
        <w:spacing w:after="0" w:line="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OF THE INTERNAL REVENUE CODE OF 1986</w:t>
      </w:r>
    </w:p>
    <w:p>
      <w:pPr>
        <w:spacing w:after="0" w:line="207"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undersigned taxpayer hereby makes an election pursuant to Section 83(b) of the Internal Revenue Code of 1986, as amended, and the regulations thereunder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and in connection with this election supplies the following information: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The name, address and taxpayer identification number of the undersigned are:</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Social Security Number: </w:t>
      </w:r>
      <w:r>
        <w:rPr>
          <w:rFonts w:ascii="Times New Roman" w:cs="Times New Roman" w:eastAsia="Times New Roman" w:hAnsi="Times New Roman"/>
          <w:sz w:val="18"/>
          <w:szCs w:val="18"/>
          <w:u w:val="single" w:color="auto"/>
          <w:color w:val="auto"/>
        </w:rPr>
        <w:t>____</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___</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____</w:t>
      </w:r>
    </w:p>
    <w:p>
      <w:pPr>
        <w:spacing w:after="0" w:line="99" w:lineRule="exact"/>
        <w:rPr>
          <w:sz w:val="20"/>
          <w:szCs w:val="20"/>
          <w:color w:val="auto"/>
        </w:rPr>
      </w:pPr>
    </w:p>
    <w:p>
      <w:pPr>
        <w:ind w:left="4" w:right="500" w:hanging="4"/>
        <w:spacing w:after="0" w:line="282" w:lineRule="auto"/>
        <w:tabs>
          <w:tab w:leader="none" w:pos="1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is being made with respect to __________ shares of common stock, par value $0.0001 per share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Clover Health Investments,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Stock was transferred to the undersigned was __________. The taxable year for which this election is being made is calendar year __________.</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the following restrictions:</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above-mentioned shares may not be transferred and are subject to forfeiture under the terms of an agreement between the taxpayer and the Company. These restrictions lapse upon the satisfaction of certain conditions contained in such agreement.</w:t>
      </w:r>
    </w:p>
    <w:p>
      <w:pPr>
        <w:spacing w:after="0" w:line="162"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Disposition of the Stock is also subject to restrictions imposed under applicable federal and state securities laws regulating the transfer of unregistered securities.</w:t>
      </w:r>
    </w:p>
    <w:p>
      <w:pPr>
        <w:spacing w:after="0" w:line="54" w:lineRule="exact"/>
        <w:rPr>
          <w:sz w:val="20"/>
          <w:szCs w:val="20"/>
          <w:color w:val="auto"/>
        </w:rPr>
      </w:pPr>
    </w:p>
    <w:p>
      <w:pPr>
        <w:ind w:left="4" w:right="680" w:hanging="4"/>
        <w:spacing w:after="0" w:line="282" w:lineRule="auto"/>
        <w:tabs>
          <w:tab w:leader="none" w:pos="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Stock at the time of transfer (determined without regard to any lapse restriction, as defined in §1.83-3(i) of the Regulations) was $ per share, for an aggregate fair market value of $ __________.</w:t>
      </w:r>
    </w:p>
    <w:p>
      <w:pPr>
        <w:spacing w:after="0" w:line="53"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paid $ __________ the Stock. Therefore, $__________ (the difference between the full fair market value of the Stock stated above and the amount paid by the undersigned, if any) is includible in the undersigned’s gross income as compensation for services.</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election has been furnished to the Company as required by §1.83-2(d) of the Regulations.</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17145</wp:posOffset>
            </wp:positionV>
            <wp:extent cx="2383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27946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signature]</w:t>
      </w:r>
    </w:p>
    <w:p>
      <w:pPr>
        <w:spacing w:after="0" w:line="15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4"/>
          </w:cols>
          <w:pgMar w:left="436" w:top="266" w:right="619" w:bottom="1440" w:gutter="0" w:footer="0" w:header="0"/>
        </w:sectPr>
      </w:pPr>
    </w:p>
    <w:bookmarkStart w:id="150" w:name="page151"/>
    <w:bookmarkEnd w:id="15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INSTRUCTIONS FOR FILING SECTION 83(B) ELECTION</w:t>
      </w:r>
    </w:p>
    <w:p>
      <w:pPr>
        <w:spacing w:after="0" w:line="229"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Attached is a form of election under Section 83(b) of the Internal Revenue Code. You should consult your tax advisor to determine whether you wish to make an election under Section 83(b). If, after consultation with your tax advisor, you wish to make such an election, you should complete, sign and date the election and then proceed as follows:</w:t>
      </w:r>
    </w:p>
    <w:p>
      <w:pPr>
        <w:spacing w:after="0" w:line="68" w:lineRule="exact"/>
        <w:rPr>
          <w:sz w:val="20"/>
          <w:szCs w:val="20"/>
          <w:color w:val="auto"/>
        </w:rPr>
      </w:pPr>
    </w:p>
    <w:p>
      <w:pPr>
        <w:ind w:left="4" w:hanging="4"/>
        <w:spacing w:after="0" w:line="282" w:lineRule="auto"/>
        <w:tabs>
          <w:tab w:leader="none" w:pos="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three counterparts of your completed election (plus one extra counterpart for each person other than you, if any, who receives property that is the subject of your election), retaining at least one photocopy for your records.</w:t>
      </w:r>
    </w:p>
    <w:p>
      <w:pPr>
        <w:spacing w:after="0" w:line="53"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one counterpart to the Internal Revenue Service Center with which you will file your federal income tax return for the current year via certified mail, return receipt requested. THE ELECTION SHOULD BE SENT IMMEDIATELY, AS YOU ONLY HAVE 30 DAYS FROM THE GRANT DATE WITHIN WHICH TO MAKE THE ELECTION – NO WAIVERS, LATE FILINGS, OR EXTENSIONS ARE PERMITTED.</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one counterpart of the completed election to the Company for its files.</w:t>
      </w:r>
    </w:p>
    <w:p>
      <w:pPr>
        <w:spacing w:after="0" w:line="117" w:lineRule="exact"/>
        <w:rPr>
          <w:rFonts w:ascii="Times New Roman" w:cs="Times New Roman" w:eastAsia="Times New Roman" w:hAnsi="Times New Roman"/>
          <w:sz w:val="18"/>
          <w:szCs w:val="18"/>
          <w:color w:val="auto"/>
        </w:rPr>
      </w:pPr>
    </w:p>
    <w:p>
      <w:pPr>
        <w:ind w:left="4" w:right="200" w:hanging="4"/>
        <w:spacing w:after="0" w:line="282" w:lineRule="auto"/>
        <w:tabs>
          <w:tab w:leader="none" w:pos="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anyone other than you (e.g., one of your family members) will receive property that is the subject of your election, deliver one counterpart of the completed election to each such person.</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 one counterpart of the completed election to your federal income tax return for this year when you file that return next year.</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66" w:right="499" w:bottom="1440" w:gutter="0" w:footer="0" w:header="0"/>
        </w:sectPr>
      </w:pPr>
    </w:p>
    <w:bookmarkStart w:id="151" w:name="page152"/>
    <w:bookmarkEnd w:id="151"/>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13" w:lineRule="exact"/>
        <w:rPr>
          <w:sz w:val="20"/>
          <w:szCs w:val="20"/>
          <w:color w:val="auto"/>
        </w:rPr>
      </w:pPr>
    </w:p>
    <w:p>
      <w:pPr>
        <w:ind w:left="4" w:right="180" w:hanging="4"/>
        <w:spacing w:after="0" w:line="259"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 Effective as of today, ____________, 201_, the undersigned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hereby elects to purchase ____________shares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Common Stock of Clover Health Investments,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 and pursuant to the Clover Health Investments, Corp. Amended and Restated 2014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Stock Option Agreement dated ______________, 201_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per share purchase price for the Shares shall be $____ for an aggregate purchase price of $____, as required by the Option Agreement. All of the Shares shall represent Shares acquired by reason of the exercise of [see eShares for type of option].</w:t>
      </w:r>
    </w:p>
    <w:p>
      <w:pPr>
        <w:spacing w:after="0" w:line="71" w:lineRule="exact"/>
        <w:rPr>
          <w:rFonts w:ascii="Times New Roman" w:cs="Times New Roman" w:eastAsia="Times New Roman" w:hAnsi="Times New Roman"/>
          <w:sz w:val="18"/>
          <w:szCs w:val="18"/>
          <w:color w:val="auto"/>
        </w:rPr>
      </w:pPr>
    </w:p>
    <w:p>
      <w:pPr>
        <w:ind w:left="4" w:right="160" w:hanging="4"/>
        <w:spacing w:after="0" w:line="286"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Payment, Restrictions Agreement and Stockholders Agreement</w:t>
      </w:r>
      <w:r>
        <w:rPr>
          <w:rFonts w:ascii="Times New Roman" w:cs="Times New Roman" w:eastAsia="Times New Roman" w:hAnsi="Times New Roman"/>
          <w:sz w:val="18"/>
          <w:szCs w:val="18"/>
          <w:color w:val="auto"/>
        </w:rPr>
        <w:t>. Purchaser herewith delivers to the Company the full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Shares and the applicable Restrictions Agreement and Stockholders Agreement(s) required by the Board, duly executed by Purchaser.</w:t>
      </w:r>
    </w:p>
    <w:p>
      <w:pPr>
        <w:spacing w:after="0" w:line="46" w:lineRule="exact"/>
        <w:rPr>
          <w:rFonts w:ascii="Times New Roman" w:cs="Times New Roman" w:eastAsia="Times New Roman" w:hAnsi="Times New Roman"/>
          <w:sz w:val="18"/>
          <w:szCs w:val="18"/>
          <w:color w:val="auto"/>
        </w:rPr>
      </w:pPr>
    </w:p>
    <w:p>
      <w:pPr>
        <w:jc w:val="both"/>
        <w:ind w:left="4" w:right="20" w:hanging="4"/>
        <w:spacing w:after="0" w:line="262"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of the Shares, no right to vote or receive dividends or any other rights as a stockholder shall exist with respect to the Shares covered by the Option, notwithstanding the exercise of the Option. The Shares so acquired shall be issued to the Purchaser as soon as practicable after exercise of the Option. No adjustment will be made for a dividend or other right for which the record date is prior to the date of issuance.</w:t>
      </w:r>
    </w:p>
    <w:p>
      <w:pPr>
        <w:spacing w:after="0" w:line="68" w:lineRule="exact"/>
        <w:rPr>
          <w:rFonts w:ascii="Times New Roman" w:cs="Times New Roman" w:eastAsia="Times New Roman" w:hAnsi="Times New Roman"/>
          <w:sz w:val="18"/>
          <w:szCs w:val="18"/>
          <w:color w:val="auto"/>
        </w:rPr>
      </w:pPr>
    </w:p>
    <w:p>
      <w:pPr>
        <w:ind w:left="4" w:hanging="4"/>
        <w:spacing w:after="0" w:line="268"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Purchaser represents that Purchaser has consulted with any tax consultants Purchaser deems advisable in connection with the purchase or disposition of the Shares and that Purchaser is not relying on the Company for any tax advice.</w:t>
      </w:r>
    </w:p>
    <w:p>
      <w:pPr>
        <w:spacing w:after="0" w:line="62" w:lineRule="exact"/>
        <w:rPr>
          <w:rFonts w:ascii="Times New Roman" w:cs="Times New Roman" w:eastAsia="Times New Roman" w:hAnsi="Times New Roman"/>
          <w:sz w:val="18"/>
          <w:szCs w:val="18"/>
          <w:color w:val="auto"/>
        </w:rPr>
      </w:pPr>
    </w:p>
    <w:p>
      <w:pPr>
        <w:ind w:left="4" w:right="80" w:hanging="4"/>
        <w:spacing w:after="0" w:line="253"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and other communications given or made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specifying next business day delivery, with written verification of receipt. Subject to the limitations set forth in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Purchaser consents to the delivery of any notice or communications to stockholders given by the Company under this Agreement, the DGCL or the Company’s Certificate of Incorporation or Bylaws by (i) facsimile telecommunication to the facsimile number set forth below (or to any other facsimile number for the Purchaser in the Company’s records), (ii) electronic mail to the electronic mail address set forth below (or to any other electronic mail address for the Purchaser in the Company’s records), (iii) posting on an electronic network together with separate notice to the Purchaser of such specific posting or (iv) any other form of electronic transmission (as defined in the DGCL) directed to the Purchaser. This consent may be revoked by the Purchaser by written notice to the Company (the “</w:t>
      </w:r>
      <w:r>
        <w:rPr>
          <w:rFonts w:ascii="Times New Roman" w:cs="Times New Roman" w:eastAsia="Times New Roman" w:hAnsi="Times New Roman"/>
          <w:sz w:val="18"/>
          <w:szCs w:val="18"/>
          <w:u w:val="single" w:color="auto"/>
          <w:color w:val="auto"/>
        </w:rPr>
        <w:t>Consent Revocation</w:t>
      </w:r>
      <w:r>
        <w:rPr>
          <w:rFonts w:ascii="Times New Roman" w:cs="Times New Roman" w:eastAsia="Times New Roman" w:hAnsi="Times New Roman"/>
          <w:sz w:val="18"/>
          <w:szCs w:val="18"/>
          <w:color w:val="auto"/>
        </w:rPr>
        <w:t>”) and may be deemed revoked in the circumstances specified in Section 232 of the DGCL. A copy of the Consent Revocation (which shall not constitute notice) shall also be sent to Edward M. Zimmerman, Esq. at Lowenstein Sandler LLP, 1251 Avenue of the Americas, New York, NY 10020.</w:t>
      </w:r>
    </w:p>
    <w:p>
      <w:pPr>
        <w:spacing w:after="0" w:line="79" w:lineRule="exact"/>
        <w:rPr>
          <w:rFonts w:ascii="Times New Roman" w:cs="Times New Roman" w:eastAsia="Times New Roman" w:hAnsi="Times New Roman"/>
          <w:sz w:val="18"/>
          <w:szCs w:val="18"/>
          <w:color w:val="auto"/>
        </w:rPr>
      </w:pPr>
    </w:p>
    <w:p>
      <w:pPr>
        <w:ind w:left="4" w:right="20" w:hanging="4"/>
        <w:spacing w:after="0" w:line="286" w:lineRule="auto"/>
        <w:tabs>
          <w:tab w:leader="none" w:pos="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Governing Law</w:t>
      </w:r>
      <w:r>
        <w:rPr>
          <w:rFonts w:ascii="Times New Roman" w:cs="Times New Roman" w:eastAsia="Times New Roman" w:hAnsi="Times New Roman"/>
          <w:sz w:val="18"/>
          <w:szCs w:val="18"/>
          <w:color w:val="auto"/>
        </w:rPr>
        <w:t>. The Plan and Option Agreement are incorporated herein by reference. This Agreement, the Plan and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 the entire agreement of the parties with respect to</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66" w:right="459" w:bottom="1440" w:gutter="0" w:footer="0" w:header="0"/>
        </w:sectPr>
      </w:pPr>
    </w:p>
    <w:bookmarkStart w:id="152" w:name="page153"/>
    <w:bookmarkEnd w:id="152"/>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subject matter hereof and supersede in their entirety all prior undertakings and agreements of the Company and the Purchaser with respect to the subject matter hereof, and may not be modified adversely to the Purchaser’s interest except by means of a writing signed by the Company and Purchaser. This Agreement will be interpreted and enforced under the laws of the state of Delaware, without regard to conflict or choice of law principles.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2160" w:type="dxa"/>
            <w:vAlign w:val="bottom"/>
          </w:tcPr>
          <w:p>
            <w:pPr>
              <w:spacing w:after="0"/>
              <w:rPr>
                <w:sz w:val="20"/>
                <w:szCs w:val="20"/>
                <w:color w:val="auto"/>
              </w:rPr>
            </w:pPr>
          </w:p>
        </w:tc>
        <w:tc>
          <w:tcPr>
            <w:tcW w:w="5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Accepted by:</w:t>
            </w:r>
          </w:p>
        </w:tc>
        <w:tc>
          <w:tcPr>
            <w:tcW w:w="0" w:type="dxa"/>
            <w:vAlign w:val="bottom"/>
          </w:tcPr>
          <w:p>
            <w:pPr>
              <w:spacing w:after="0"/>
              <w:rPr>
                <w:sz w:val="1"/>
                <w:szCs w:val="1"/>
                <w:color w:val="auto"/>
              </w:rPr>
            </w:pP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160" w:type="dxa"/>
            <w:vAlign w:val="bottom"/>
          </w:tcPr>
          <w:p>
            <w:pPr>
              <w:spacing w:after="0"/>
              <w:rPr>
                <w:sz w:val="24"/>
                <w:szCs w:val="24"/>
                <w:color w:val="auto"/>
              </w:rPr>
            </w:pPr>
          </w:p>
        </w:tc>
        <w:tc>
          <w:tcPr>
            <w:tcW w:w="56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3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2160" w:type="dxa"/>
            <w:vAlign w:val="bottom"/>
          </w:tcPr>
          <w:p>
            <w:pPr>
              <w:spacing w:after="0"/>
              <w:rPr>
                <w:sz w:val="20"/>
                <w:szCs w:val="20"/>
                <w:color w:val="auto"/>
              </w:rPr>
            </w:pP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6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56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bottom w:val="single" w:sz="8" w:color="auto"/>
            </w:tcBorders>
            <w:gridSpan w:val="2"/>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2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23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33</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ADOPTION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Adoption Agreement (“</w:t>
      </w:r>
      <w:r>
        <w:rPr>
          <w:rFonts w:ascii="Times New Roman" w:cs="Times New Roman" w:eastAsia="Times New Roman" w:hAnsi="Times New Roman"/>
          <w:sz w:val="18"/>
          <w:szCs w:val="18"/>
          <w:b w:val="1"/>
          <w:bCs w:val="1"/>
          <w:color w:val="auto"/>
        </w:rPr>
        <w:t>Adoption Agreement</w:t>
      </w:r>
      <w:r>
        <w:rPr>
          <w:rFonts w:ascii="Times New Roman" w:cs="Times New Roman" w:eastAsia="Times New Roman" w:hAnsi="Times New Roman"/>
          <w:sz w:val="18"/>
          <w:szCs w:val="18"/>
          <w:color w:val="auto"/>
        </w:rPr>
        <w:t>”) is executed as of ___________, 201_, by the undersigned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pursuant to the</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terms of (i) that certain Right of First Refusal and Co-Sale Agreement, dated as of April 24, 2015 (as may be amended and/or restated from time to time, the “</w:t>
      </w:r>
      <w:r>
        <w:rPr>
          <w:rFonts w:ascii="Times New Roman" w:cs="Times New Roman" w:eastAsia="Times New Roman" w:hAnsi="Times New Roman"/>
          <w:sz w:val="18"/>
          <w:szCs w:val="18"/>
          <w:b w:val="1"/>
          <w:bCs w:val="1"/>
          <w:color w:val="auto"/>
        </w:rPr>
        <w:t>ROFR Agreement</w:t>
      </w:r>
      <w:r>
        <w:rPr>
          <w:rFonts w:ascii="Times New Roman" w:cs="Times New Roman" w:eastAsia="Times New Roman" w:hAnsi="Times New Roman"/>
          <w:sz w:val="18"/>
          <w:szCs w:val="18"/>
          <w:color w:val="auto"/>
        </w:rPr>
        <w:t>”), by and among Clover Health Investments,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other parties thereto and (ii) that certain Voting Agreement, dated as of April 24, 2015 (as may be amended and/or restated from time to time,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and together with the ROFR Agreement, the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by and among the Company and the parties thereto. Capitalized terms used but not defined in this Adoption Agreement shall have the respective meanings ascribed to such terms in the Agreements. By the execution of this Adoption Agreement, the Holder agrees as follows.</w:t>
      </w:r>
    </w:p>
    <w:p>
      <w:pPr>
        <w:spacing w:after="0" w:line="186"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Holder acknowledges that Holder is acquiring certain shares of the capital stock of the Company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such party’s capacity as a “Stockholder” and “Key Holder” bound by the Agreements, and after such acquisition, Holder shall be a “Stockholder” and “Key Holder” for all purposes of the Agreements.</w:t>
      </w:r>
    </w:p>
    <w:p>
      <w:pPr>
        <w:spacing w:after="0" w:line="17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Holder hereby (a) agrees that the Stock, and any other shares of capital stock or securities required by the Agreements to be bound thereby, shall be bound by and subject to the terms of the Agreements and (b) adopts the Agreements with the same force and effect as if Holder were originally a party thereto.</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Agreements shall be given to Holder at the mailing address, electronic mailing address or facsimile number listed below Holder’s signature hereto.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5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ACCEPTED AND AGREED:</w:t>
            </w:r>
          </w:p>
        </w:tc>
      </w:tr>
      <w:tr>
        <w:trPr>
          <w:trHeight w:val="432"/>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331"/>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8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Name:</w:t>
            </w:r>
          </w:p>
        </w:tc>
      </w:tr>
      <w:tr>
        <w:trPr>
          <w:trHeight w:val="32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(if Holder is entity):</w:t>
            </w:r>
          </w:p>
        </w:tc>
        <w:tc>
          <w:tcPr>
            <w:tcW w:w="58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Title:</w:t>
            </w:r>
          </w:p>
        </w:tc>
      </w:tr>
      <w:tr>
        <w:trPr>
          <w:trHeight w:val="32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13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3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54" w:name="page155"/>
    <w:bookmarkEnd w:id="15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this Restricted Stock Unit Grant Notice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the Clover Health Investments, Corp. Amended and Restated 2014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attached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set forth below. Unless otherwise defined herein, the terms used in this Notice of Grant shall have the meanings defined in the Plan.</w:t>
      </w:r>
    </w:p>
    <w:p>
      <w:pPr>
        <w:sectPr>
          <w:pgSz w:w="11900" w:h="16838" w:orient="portrait"/>
          <w:cols w:equalWidth="0" w:num="1">
            <w:col w:w="10860"/>
          </w:cols>
          <w:pgMar w:left="440" w:top="266" w:right="599" w:bottom="1440" w:gutter="0" w:footer="0" w:header="0"/>
        </w:sect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8"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ectPr>
          <w:pgSz w:w="11900" w:h="16838" w:orient="portrait"/>
          <w:cols w:equalWidth="0" w:num="1">
            <w:col w:w="10860"/>
          </w:cols>
          <w:pgMar w:left="440" w:top="266" w:right="599" w:bottom="1440" w:gutter="0" w:footer="0" w:header="0"/>
          <w:type w:val="continuous"/>
        </w:sectPr>
      </w:pPr>
    </w:p>
    <w:p>
      <w:pPr>
        <w:spacing w:after="0" w:line="23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3 of the Award Agreement, the Restricted Stock Units will vest in accordance with the following schedule: [INSERT VESTING SCHEDULE].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ectPr>
          <w:pgSz w:w="11900" w:h="16838" w:orient="portrait"/>
          <w:cols w:equalWidth="0" w:num="1">
            <w:col w:w="10860"/>
          </w:cols>
          <w:pgMar w:left="440" w:top="266" w:right="599" w:bottom="1440" w:gutter="0" w:footer="0" w:header="0"/>
          <w:type w:val="continuous"/>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accepting this Award (whether electronically or otherwise), Participant acknowledges and agrees to the following:</w:t>
      </w:r>
    </w:p>
    <w:p>
      <w:pPr>
        <w:spacing w:after="0" w:line="117" w:lineRule="exact"/>
        <w:rPr>
          <w:sz w:val="20"/>
          <w:szCs w:val="20"/>
          <w:color w:val="auto"/>
        </w:rPr>
      </w:pPr>
    </w:p>
    <w:p>
      <w:pPr>
        <w:jc w:val="both"/>
        <w:ind w:right="180" w:firstLine="436"/>
        <w:spacing w:after="0" w:line="26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Award and the Plan.</w:t>
      </w:r>
    </w:p>
    <w:p>
      <w:pPr>
        <w:spacing w:after="0" w:line="67" w:lineRule="exact"/>
        <w:rPr>
          <w:rFonts w:ascii="Times New Roman" w:cs="Times New Roman" w:eastAsia="Times New Roman" w:hAnsi="Times New Roman"/>
          <w:sz w:val="18"/>
          <w:szCs w:val="18"/>
          <w:color w:val="auto"/>
        </w:rPr>
      </w:pPr>
    </w:p>
    <w:p>
      <w:pPr>
        <w:ind w:right="660" w:firstLine="436"/>
        <w:spacing w:after="0" w:line="282"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Award is subject to Participant’s continuous status as a service provider, which is for an unspecified duration and may be terminated at any time, with or without Cause, and nothing in the Award Agreement or the Plan changes the nature of that relationship.</w:t>
      </w:r>
    </w:p>
    <w:p>
      <w:pPr>
        <w:spacing w:after="0" w:line="5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consents to electronic delivery and participation as set forth in the Plan and the Award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5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CLOVER HEALTH INVESTMENTS, CORP.</w:t>
            </w:r>
          </w:p>
        </w:tc>
      </w:tr>
      <w:tr>
        <w:trPr>
          <w:trHeight w:val="432"/>
        </w:trPr>
        <w:tc>
          <w:tcPr>
            <w:tcW w:w="51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7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PARTICIPANT NAME</w:t>
            </w:r>
          </w:p>
        </w:tc>
        <w:tc>
          <w:tcPr>
            <w:tcW w:w="7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[INSERT NAME]</w:t>
            </w:r>
          </w:p>
        </w:tc>
        <w:tc>
          <w:tcPr>
            <w:tcW w:w="7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60"/>
        </w:trPr>
        <w:tc>
          <w:tcPr>
            <w:tcW w:w="518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25" w:lineRule="exact"/>
        <w:rPr>
          <w:sz w:val="20"/>
          <w:szCs w:val="20"/>
          <w:color w:val="auto"/>
        </w:rPr>
      </w:pPr>
    </w:p>
    <w:p>
      <w:pPr>
        <w:ind w:right="40" w:firstLine="436"/>
        <w:spacing w:after="0" w:line="259"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named in the Notice of Restricted Stock Unit Grant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an Award of Restricted Stock Units under the Clover Health Investments, Corp. Amended and Restated 2014 Equity Incentive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all of the terms and conditions in the Notice of Grant, this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which is incorporated herein by reference. [If there is a conflict between the terms and conditions of the Plan and the terms and conditions of this Award Agreement, the terms and conditions of the Plan will prevail.]</w:t>
      </w:r>
    </w:p>
    <w:p>
      <w:pPr>
        <w:spacing w:after="0" w:line="75"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and Section 13, such vested Restricted Stock Units will be settled by delivery of whole Shares on the applicable vesting date; provided that settlement can be made during the period from the vesting date until December 31 of the year in which vesting occurs. In no event will Participant be permitted, directly or indirectly, to specify the taxable year in which Shares will be issued upon payment of any Restricted Stock Units under this Award Agreement.</w:t>
      </w:r>
    </w:p>
    <w:p>
      <w:pPr>
        <w:spacing w:after="0" w:line="80"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the Notice of Grant. Status as a service provider for purposes of this Award will end on the day that Participant is no longer actively providing services as an employee, Director, or independent contractor of the Company or any Affiliate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79"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 (y) the payment of such accelerated Restricted Stock Units will result in the imposition of additional tax under Code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57" w:name="page158"/>
    <w:bookmarkEnd w:id="157"/>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w:t>
      </w:r>
      <w:r>
        <w:rPr>
          <w:rFonts w:ascii="Times New Roman" w:cs="Times New Roman" w:eastAsia="Times New Roman" w:hAnsi="Times New Roman"/>
          <w:sz w:val="17"/>
          <w:szCs w:val="17"/>
          <w:b w:val="1"/>
          <w:bCs w:val="1"/>
          <w:i w:val="1"/>
          <w:iCs w:val="1"/>
          <w:color w:val="auto"/>
        </w:rPr>
        <w:t>Code Section 409A</w:t>
      </w:r>
      <w:r>
        <w:rPr>
          <w:rFonts w:ascii="Times New Roman" w:cs="Times New Roman" w:eastAsia="Times New Roman" w:hAnsi="Times New Roman"/>
          <w:sz w:val="17"/>
          <w:szCs w:val="17"/>
          <w:color w:val="auto"/>
        </w:rPr>
        <w:t>” means Section 409A of the Code, and any final U.S. Treasury Regulations and U.S. Internal Revenue Service guidance thereunder, as each may be amended from time to time.</w:t>
      </w:r>
    </w:p>
    <w:p>
      <w:pPr>
        <w:spacing w:after="0" w:line="60" w:lineRule="exact"/>
        <w:rPr>
          <w:sz w:val="20"/>
          <w:szCs w:val="20"/>
          <w:color w:val="auto"/>
        </w:rPr>
      </w:pPr>
    </w:p>
    <w:p>
      <w:pPr>
        <w:jc w:val="both"/>
        <w:ind w:right="180" w:firstLine="436"/>
        <w:spacing w:after="0" w:line="266"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Except as otherwise provided in the Notice of Grant, any Restricted Stock Units that have not vested will be forfeited and will return to the Plan on the date that is thirty (30) days following the termination of Participant’s status as a service provider.</w:t>
      </w:r>
    </w:p>
    <w:p>
      <w:pPr>
        <w:spacing w:after="0" w:line="67"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71"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an Affiliate or Employer pursuant to applicable laws)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8" w:name="page159"/>
    <w:bookmarkEnd w:id="15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a condition to the grant and vesting of the Restricted Stock Units and as set forth in Section 12(d) of the Plan, Participant hereby agrees to make adequate provision for the satisfaction of (and will indemnify the Company and any Affiliate for) any Tax-Related Items.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any Affiliate or Employer any Tax-Related Items that cannot be satisfied by the foregoing methods.</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Participant may elect to satisfy Tax-Related Items in cash. Any election to pay Tax-Related Items in cash shall be made in accordance with the Company’s Insider Trading Policy and pursuant to procedures mutually agreed between Participant and the Company.</w:t>
      </w:r>
    </w:p>
    <w:p>
      <w:pPr>
        <w:spacing w:after="0" w:line="54" w:lineRule="exact"/>
        <w:rPr>
          <w:sz w:val="20"/>
          <w:szCs w:val="20"/>
          <w:color w:val="auto"/>
        </w:rPr>
      </w:pPr>
    </w:p>
    <w:p>
      <w:pPr>
        <w:ind w:firstLine="436"/>
        <w:spacing w:after="0" w:line="258"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75"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159" w:name="page160"/>
    <w:bookmarkEnd w:id="15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84" w:lineRule="exact"/>
        <w:rPr>
          <w:sz w:val="20"/>
          <w:szCs w:val="20"/>
          <w:color w:val="auto"/>
        </w:rPr>
      </w:pPr>
    </w:p>
    <w:p>
      <w:pPr>
        <w:jc w:val="both"/>
        <w:ind w:right="100" w:firstLine="436"/>
        <w:spacing w:after="0" w:line="266" w:lineRule="auto"/>
        <w:tabs>
          <w:tab w:leader="none" w:pos="71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Secretary at Clover Health Investments, Corp., 725 Cool Springs Blvd, Suite 300, Franklin, Tennessee 37067,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7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 and Imposition of Other Requirements</w:t>
      </w:r>
      <w:r>
        <w:rPr>
          <w:rFonts w:ascii="Times New Roman" w:cs="Times New Roman" w:eastAsia="Times New Roman" w:hAnsi="Times New Roman"/>
          <w:sz w:val="18"/>
          <w:szCs w:val="18"/>
          <w:color w:val="auto"/>
        </w:rPr>
        <w:t>. If at any time the Company will determine, in its</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60" w:name="page161"/>
    <w:bookmarkEnd w:id="160"/>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the Company’s bylaws, including any restrictions on the disposition of Shares acquired under the Plan.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spacing w:after="0" w:line="82" w:lineRule="exact"/>
        <w:rPr>
          <w:sz w:val="20"/>
          <w:szCs w:val="20"/>
          <w:color w:val="auto"/>
        </w:rPr>
      </w:pPr>
    </w:p>
    <w:p>
      <w:pPr>
        <w:ind w:firstLine="436"/>
        <w:spacing w:after="0" w:line="266"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240" w:firstLine="436"/>
        <w:spacing w:after="0" w:line="256"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spacing w:after="0" w:line="80"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1" w:name="page162"/>
    <w:bookmarkEnd w:id="161"/>
    <w:p>
      <w:pPr>
        <w:ind w:right="180" w:firstLine="436"/>
        <w:spacing w:after="0" w:line="255" w:lineRule="auto"/>
        <w:tabs>
          <w:tab w:leader="none" w:pos="71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76" w:lineRule="exact"/>
        <w:rPr>
          <w:rFonts w:ascii="Times New Roman" w:cs="Times New Roman" w:eastAsia="Times New Roman" w:hAnsi="Times New Roman"/>
          <w:sz w:val="18"/>
          <w:szCs w:val="18"/>
          <w:color w:val="auto"/>
        </w:rPr>
      </w:pPr>
    </w:p>
    <w:p>
      <w:pPr>
        <w:ind w:right="140" w:firstLine="436"/>
        <w:spacing w:after="0" w:line="259" w:lineRule="auto"/>
        <w:tabs>
          <w:tab w:leader="none" w:pos="71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Personal Data</w:t>
      </w:r>
      <w:r>
        <w:rPr>
          <w:rFonts w:ascii="Times New Roman" w:cs="Times New Roman" w:eastAsia="Times New Roman" w:hAnsi="Times New Roman"/>
          <w:sz w:val="18"/>
          <w:szCs w:val="18"/>
          <w:b w:val="1"/>
          <w:bCs w:val="1"/>
          <w:i w:val="1"/>
          <w:iCs w:val="1"/>
          <w:color w:val="auto"/>
        </w:rPr>
        <w:t>”).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88"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51" w:lineRule="exact"/>
        <w:rPr>
          <w:sz w:val="20"/>
          <w:szCs w:val="20"/>
          <w:color w:val="auto"/>
        </w:rPr>
      </w:pPr>
    </w:p>
    <w:p>
      <w:pPr>
        <w:ind w:right="80" w:firstLine="436"/>
        <w:spacing w:after="0" w:line="255" w:lineRule="auto"/>
        <w:tabs>
          <w:tab w:leader="none" w:pos="71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62" w:name="page163"/>
    <w:bookmarkEnd w:id="162"/>
    <w:p>
      <w:pPr>
        <w:ind w:left="-436" w:right="40" w:firstLine="436"/>
        <w:spacing w:after="0" w:line="266" w:lineRule="auto"/>
        <w:tabs>
          <w:tab w:leader="none" w:pos="27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67"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of Restricted Stock Units or this Award Agreement, the parties hereby submit to and consent to the jurisdiction of the State of Delaware, and agree that such litigation will be conducted in the courts of New Castle County, Delaware, or the federal courts for the United States for the District of Delaware, and no other courts.</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4"/>
          </w:cols>
          <w:pgMar w:left="876" w:top="270" w:right="4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9" w:lineRule="exact"/>
        <w:rPr>
          <w:sz w:val="20"/>
          <w:szCs w:val="20"/>
          <w:color w:val="auto"/>
        </w:rPr>
      </w:pPr>
    </w:p>
    <w:p>
      <w:pPr>
        <w:ind w:right="180" w:firstLine="436"/>
        <w:spacing w:after="0" w:line="266" w:lineRule="auto"/>
        <w:tabs>
          <w:tab w:leader="none" w:pos="7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and Stock Bonuses.</w:t>
      </w:r>
    </w:p>
    <w:p>
      <w:pPr>
        <w:spacing w:after="0" w:line="162" w:lineRule="exact"/>
        <w:rPr>
          <w:sz w:val="20"/>
          <w:szCs w:val="20"/>
          <w:color w:val="auto"/>
        </w:rPr>
      </w:pPr>
    </w:p>
    <w:p>
      <w:pPr>
        <w:ind w:left="760" w:hanging="324"/>
        <w:spacing w:after="0"/>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920" w:firstLine="987"/>
        <w:spacing w:after="0" w:line="286"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154" w:lineRule="exact"/>
        <w:rPr>
          <w:rFonts w:ascii="Times New Roman" w:cs="Times New Roman" w:eastAsia="Times New Roman" w:hAnsi="Times New Roman"/>
          <w:sz w:val="18"/>
          <w:szCs w:val="18"/>
          <w:color w:val="auto"/>
        </w:rPr>
      </w:pPr>
    </w:p>
    <w:p>
      <w:pPr>
        <w:ind w:right="80" w:firstLine="987"/>
        <w:spacing w:after="0" w:line="262" w:lineRule="auto"/>
        <w:tabs>
          <w:tab w:leader="none" w:pos="13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Awards are, or will be, granted under the Plan or Participants reside or provide services to the Company or any Affiliate, as such laws, rules, and regulations shall be in effect from time to time.</w:t>
      </w:r>
    </w:p>
    <w:p>
      <w:pPr>
        <w:spacing w:after="0" w:line="176" w:lineRule="exact"/>
        <w:rPr>
          <w:rFonts w:ascii="Times New Roman" w:cs="Times New Roman" w:eastAsia="Times New Roman" w:hAnsi="Times New Roman"/>
          <w:sz w:val="18"/>
          <w:szCs w:val="18"/>
          <w:color w:val="auto"/>
        </w:rPr>
      </w:pPr>
    </w:p>
    <w:p>
      <w:pPr>
        <w:ind w:right="680" w:firstLine="987"/>
        <w:spacing w:after="0" w:line="286"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Stock Bonuses.</w:t>
      </w:r>
    </w:p>
    <w:p>
      <w:pPr>
        <w:spacing w:after="0" w:line="154" w:lineRule="exact"/>
        <w:rPr>
          <w:rFonts w:ascii="Times New Roman" w:cs="Times New Roman" w:eastAsia="Times New Roman" w:hAnsi="Times New Roman"/>
          <w:sz w:val="18"/>
          <w:szCs w:val="18"/>
          <w:color w:val="auto"/>
        </w:rPr>
      </w:pPr>
    </w:p>
    <w:p>
      <w:pPr>
        <w:ind w:right="520" w:firstLine="987"/>
        <w:spacing w:after="0" w:line="286" w:lineRule="auto"/>
        <w:tabs>
          <w:tab w:leader="none" w:pos="13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4"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color w:val="auto"/>
        </w:rPr>
      </w:pPr>
    </w:p>
    <w:p>
      <w:pPr>
        <w:ind w:right="140" w:firstLine="987"/>
        <w:spacing w:after="0" w:line="254"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with respect to the termination of a Participant’s status as a Service Provider, except as otherwise defined in an Award Agreement, (i) in the case where there is no employment agreement, consulting agreement, change in control agreement or similar agreement in effect between the Company or an Affiliate of the Company and the Participant at the time of the grant of the Award (or where there is such an agreement but it does not define “cause” (or words of like import) or where it only applies upon the occurrence of a change in control and one has not yet taken place): (A) any material breach by Participant of any material written agreement between Participant and the Company; (B) any failure by Participant to comply with the Company’s material written policies or rules as they may be in effect from time to time; (C) neglect or persistent unsatisfactory performance of Participant’s duties; (D) Participant’s repeated failure to follow reasonable and lawful instructions from the Board or Participant’s direct supervisor(s); (E) Participant’s indictment for, conviction of, or plea of guilty or nolo contendre to, any felony or a crime involving moral turpitude; (F) Participant’s commission of or participation in an act of fraud, embezzlement, misappropriation, misconduct</w:t>
      </w:r>
    </w:p>
    <w:p>
      <w:pPr>
        <w:sectPr>
          <w:pgSz w:w="11900" w:h="16838" w:orient="portrait"/>
          <w:cols w:equalWidth="0" w:num="1">
            <w:col w:w="11020"/>
          </w:cols>
          <w:pgMar w:left="440" w:top="266" w:right="439" w:bottom="1440" w:gutter="0" w:footer="0" w:header="0"/>
        </w:sectPr>
      </w:pPr>
    </w:p>
    <w:bookmarkStart w:id="164" w:name="page165"/>
    <w:bookmarkEnd w:id="164"/>
    <w:p>
      <w:pPr>
        <w:ind w:left="4"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breach of fiduciary duty against the Company or any of its Subsidiaries; (G) Participant’s unlawful use (including being under the influence) or possession of illegal drugs on the premises of the Company or while performing Participant’s duties and responsibilities for the Company; or</w:t>
      </w:r>
    </w:p>
    <w:p>
      <w:pPr>
        <w:ind w:left="4" w:hanging="4"/>
        <w:spacing w:after="0" w:line="251" w:lineRule="auto"/>
        <w:tabs>
          <w:tab w:leader="none" w:pos="29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unauthorized use or disclosure of any proprietary information or trade secrets of the Company or any other party to whom the Participant owes an obligation of nondisclosure as a result of his or her relationship with the Company; or (ii) in the case where there is an employment agreement, consulting agreement, change in control agreement or similar agreement in effect between the Company or an Affiliate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For purposes of clarity, a termination without “Cause” does not include any termination that occurs solely as a result of Participant’s death or Disability. The determination as to whether a Participant’s status as a Service Provider for purposes of the Plan has been terminated for Cause shall be made in good faith by the Company and shall be final and binding on the Participant. The foregoing definition does not in any way limit the Company’s ability (or that of any Affiliate or any successor thereto, as appropriate) to terminate a Participant’s employment or consulting relationship at any time, subject to Applicable Laws.</w:t>
      </w:r>
    </w:p>
    <w:p>
      <w:pPr>
        <w:spacing w:after="0" w:line="188" w:lineRule="exact"/>
        <w:rPr>
          <w:rFonts w:ascii="Times New Roman" w:cs="Times New Roman" w:eastAsia="Times New Roman" w:hAnsi="Times New Roman"/>
          <w:sz w:val="18"/>
          <w:szCs w:val="18"/>
          <w:color w:val="auto"/>
        </w:rPr>
      </w:pPr>
    </w:p>
    <w:p>
      <w:pPr>
        <w:ind w:left="4" w:right="600" w:firstLine="987"/>
        <w:spacing w:after="0" w:line="286" w:lineRule="auto"/>
        <w:tabs>
          <w:tab w:leader="none" w:pos="134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except as may otherwise be provided in an Award Agreement or other applicable agreement, means the occurrence of any of the following:</w:t>
      </w:r>
    </w:p>
    <w:p>
      <w:pPr>
        <w:spacing w:after="0" w:line="158"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783"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79"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833"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Capital Stock of the Company or (z) to a continuing or surviving entity described in Section 2(i)(i) in connection with a merger, consolidation or reorganization which does not result in a Change in Control under Section 2(i)(i));</w:t>
      </w:r>
    </w:p>
    <w:p>
      <w:pPr>
        <w:spacing w:after="0" w:line="183" w:lineRule="exact"/>
        <w:rPr>
          <w:rFonts w:ascii="Times New Roman" w:cs="Times New Roman" w:eastAsia="Times New Roman" w:hAnsi="Times New Roman"/>
          <w:sz w:val="18"/>
          <w:szCs w:val="18"/>
          <w:color w:val="auto"/>
        </w:rPr>
      </w:pPr>
    </w:p>
    <w:p>
      <w:pPr>
        <w:ind w:left="4" w:right="220" w:firstLine="1428"/>
        <w:spacing w:after="0" w:line="266" w:lineRule="auto"/>
        <w:tabs>
          <w:tab w:leader="none" w:pos="1876"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pacing w:after="0" w:line="175"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as a result of which any Person becomes the “beneficial owner” (as defined in</w:t>
      </w:r>
    </w:p>
    <w:p>
      <w:pPr>
        <w:spacing w:after="0" w:line="27" w:lineRule="exact"/>
        <w:rPr>
          <w:sz w:val="20"/>
          <w:szCs w:val="20"/>
          <w:color w:val="auto"/>
        </w:rPr>
      </w:pPr>
    </w:p>
    <w:p>
      <w:pPr>
        <w:ind w:left="4" w:right="360"/>
        <w:spacing w:after="0" w:line="255" w:lineRule="auto"/>
        <w:rPr>
          <w:sz w:val="20"/>
          <w:szCs w:val="20"/>
          <w:color w:val="auto"/>
        </w:rPr>
      </w:pPr>
      <w:r>
        <w:rPr>
          <w:rFonts w:ascii="Times New Roman" w:cs="Times New Roman" w:eastAsia="Times New Roman" w:hAnsi="Times New Roman"/>
          <w:sz w:val="18"/>
          <w:szCs w:val="18"/>
          <w:color w:val="auto"/>
        </w:rPr>
        <w:t>Rule 13d-3 under the Exchange Act), directly or indirectly, of securities of the Company representing at least fifty percent (50%) of the total voting power represented by the Company’s then outstanding voting securities. For purposes of this Section 2(i), the term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have the same meaning as when used in Sections 13(d) and 14(d) of the Exchange Act but shall exclude:</w:t>
      </w:r>
    </w:p>
    <w:p>
      <w:pPr>
        <w:spacing w:after="0" w:line="186" w:lineRule="exact"/>
        <w:rPr>
          <w:sz w:val="20"/>
          <w:szCs w:val="20"/>
          <w:color w:val="auto"/>
        </w:rPr>
      </w:pPr>
    </w:p>
    <w:p>
      <w:pPr>
        <w:ind w:left="2364" w:hanging="381"/>
        <w:spacing w:after="0"/>
        <w:tabs>
          <w:tab w:leader="none" w:pos="23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or other fiduciary holding securities under an employee benefit plan of the Company or an Affiliate;</w:t>
      </w:r>
    </w:p>
    <w:p>
      <w:pPr>
        <w:spacing w:after="0" w:line="225" w:lineRule="exact"/>
        <w:rPr>
          <w:rFonts w:ascii="Times New Roman" w:cs="Times New Roman" w:eastAsia="Times New Roman" w:hAnsi="Times New Roman"/>
          <w:sz w:val="18"/>
          <w:szCs w:val="18"/>
          <w:color w:val="auto"/>
        </w:rPr>
      </w:pPr>
    </w:p>
    <w:p>
      <w:pPr>
        <w:ind w:left="4" w:right="60" w:firstLine="1979"/>
        <w:spacing w:after="0" w:line="282" w:lineRule="auto"/>
        <w:tabs>
          <w:tab w:leader="none" w:pos="237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owned directly or indirectly by the stockholders of the Company in substantially the same proportions as their ownership of the Capital Stock of the Company;</w:t>
      </w:r>
    </w:p>
    <w:p>
      <w:pPr>
        <w:spacing w:after="0" w:line="161" w:lineRule="exact"/>
        <w:rPr>
          <w:rFonts w:ascii="Times New Roman" w:cs="Times New Roman" w:eastAsia="Times New Roman" w:hAnsi="Times New Roman"/>
          <w:sz w:val="18"/>
          <w:szCs w:val="18"/>
          <w:color w:val="auto"/>
        </w:rPr>
      </w:pPr>
    </w:p>
    <w:p>
      <w:pPr>
        <w:ind w:left="2364" w:hanging="381"/>
        <w:spacing w:after="0"/>
        <w:tabs>
          <w:tab w:leader="none" w:pos="23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165" w:name="page166"/>
    <w:bookmarkEnd w:id="165"/>
    <w:p>
      <w:pPr>
        <w:ind w:left="2364" w:hanging="381"/>
        <w:spacing w:after="0"/>
        <w:tabs>
          <w:tab w:leader="none" w:pos="23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corporation or other entity of which at least a majority of its combined voting power is owned directly or indirectly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4" w:right="120" w:firstLine="1432"/>
        <w:spacing w:after="0" w:line="255" w:lineRule="auto"/>
        <w:rPr>
          <w:sz w:val="20"/>
          <w:szCs w:val="20"/>
          <w:color w:val="auto"/>
        </w:rPr>
      </w:pPr>
      <w:r>
        <w:rPr>
          <w:rFonts w:ascii="Times New Roman" w:cs="Times New Roman" w:eastAsia="Times New Roman" w:hAnsi="Times New Roman"/>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w:t>
      </w:r>
    </w:p>
    <w:p>
      <w:pPr>
        <w:spacing w:after="0" w:line="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82" w:lineRule="exact"/>
        <w:rPr>
          <w:sz w:val="20"/>
          <w:szCs w:val="20"/>
          <w:color w:val="auto"/>
        </w:rPr>
      </w:pPr>
    </w:p>
    <w:p>
      <w:pPr>
        <w:ind w:left="4" w:right="100" w:firstLine="987"/>
        <w:spacing w:after="0" w:line="268" w:lineRule="auto"/>
        <w:tabs>
          <w:tab w:leader="none" w:pos="134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0" w:lineRule="exact"/>
        <w:rPr>
          <w:rFonts w:ascii="Times New Roman" w:cs="Times New Roman" w:eastAsia="Times New Roman" w:hAnsi="Times New Roman"/>
          <w:sz w:val="18"/>
          <w:szCs w:val="18"/>
          <w:color w:val="auto"/>
        </w:rPr>
      </w:pPr>
    </w:p>
    <w:p>
      <w:pPr>
        <w:ind w:left="4" w:right="740" w:firstLine="987"/>
        <w:spacing w:after="0" w:line="286" w:lineRule="auto"/>
        <w:tabs>
          <w:tab w:leader="none" w:pos="138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54"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25" w:lineRule="exact"/>
        <w:rPr>
          <w:rFonts w:ascii="Times New Roman" w:cs="Times New Roman" w:eastAsia="Times New Roman" w:hAnsi="Times New Roman"/>
          <w:sz w:val="18"/>
          <w:szCs w:val="18"/>
          <w:color w:val="auto"/>
        </w:rPr>
      </w:pPr>
    </w:p>
    <w:p>
      <w:pPr>
        <w:ind w:left="1424" w:hanging="433"/>
        <w:spacing w:after="0"/>
        <w:tabs>
          <w:tab w:leader="none" w:pos="142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Clover Health Investments, Corp., a Delaware corporation, or any successor thereto.</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38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means any time when the achievement of the Performance Goals associated with the applicable Performance Period remains substantially uncertain; provided, however, that without limiting the foregoing, that if the Determination Date occurs on or before the date on which 25% of the Performance Period has elapsed, the achievement of such Performance Goals shall be deemed to be substantially uncertain.</w:t>
      </w:r>
    </w:p>
    <w:p>
      <w:pPr>
        <w:spacing w:after="0" w:line="170"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38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total and permanent disability as defined in Section 22(e)(3) of the Code in the case of Incentive Stock Options, and for all other Awards, as determined pursuant to the terms of the long-term disability plan maintained by the Company; provided however, that if the Participant resides outside of the United States,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shall have such meaning as is required by Applicable Laws.</w:t>
      </w:r>
    </w:p>
    <w:p>
      <w:pPr>
        <w:spacing w:after="0" w:line="170"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January 6, 2021.</w:t>
      </w:r>
    </w:p>
    <w:p>
      <w:pPr>
        <w:spacing w:after="0" w:line="225" w:lineRule="exact"/>
        <w:rPr>
          <w:rFonts w:ascii="Times New Roman" w:cs="Times New Roman" w:eastAsia="Times New Roman" w:hAnsi="Times New Roman"/>
          <w:sz w:val="18"/>
          <w:szCs w:val="18"/>
          <w:color w:val="auto"/>
        </w:rPr>
      </w:pPr>
    </w:p>
    <w:p>
      <w:pPr>
        <w:ind w:left="4" w:firstLine="987"/>
        <w:spacing w:after="0" w:line="286" w:lineRule="auto"/>
        <w:tabs>
          <w:tab w:leader="none" w:pos="135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Officers and Directors, employed by the Company or any Affiliate of the Company. Neither service as a Director nor payment of a director’s fee by the Company will be sufficient to constitute “employment” by the Company.</w:t>
      </w:r>
    </w:p>
    <w:p>
      <w:pPr>
        <w:spacing w:after="0" w:line="154"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480" w:firstLine="987"/>
        <w:spacing w:after="0" w:line="274" w:lineRule="auto"/>
        <w:tabs>
          <w:tab w:leader="none" w:pos="1345"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Program</w:t>
      </w:r>
      <w:r>
        <w:rPr>
          <w:rFonts w:ascii="Times New Roman" w:cs="Times New Roman" w:eastAsia="Times New Roman" w:hAnsi="Times New Roman"/>
          <w:sz w:val="17"/>
          <w:szCs w:val="17"/>
          <w:color w:val="auto"/>
        </w:rPr>
        <w:t>” means a program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w:t>
      </w:r>
    </w:p>
    <w:p>
      <w:pPr>
        <w:ind w:left="4" w:right="280" w:hanging="4"/>
        <w:spacing w:after="0" w:line="255" w:lineRule="auto"/>
        <w:tabs>
          <w:tab w:leader="none" w:pos="2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described in Section 15 or any action taken in connection with a Change in Control transaction nor (ii) any transfer or other disposition permitted under Section 14. For the purpose of clarity, each of the actions described in the prior sentence, none of which constitute an Exchange Program, may be undertaken (or authorized) by the Administrator in its sole discretion without approval by the Company’s stockholders.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66" w:name="page167"/>
    <w:bookmarkEnd w:id="166"/>
    <w:p>
      <w:pPr>
        <w:ind w:left="1380" w:hanging="393"/>
        <w:spacing w:after="0"/>
        <w:tabs>
          <w:tab w:leader="none" w:pos="1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9" w:lineRule="exact"/>
        <w:rPr>
          <w:rFonts w:ascii="Times New Roman" w:cs="Times New Roman" w:eastAsia="Times New Roman" w:hAnsi="Times New Roman"/>
          <w:sz w:val="18"/>
          <w:szCs w:val="18"/>
          <w:color w:val="auto"/>
        </w:rPr>
      </w:pPr>
    </w:p>
    <w:p>
      <w:pPr>
        <w:ind w:right="100" w:firstLine="1428"/>
        <w:spacing w:after="0" w:line="266" w:lineRule="auto"/>
        <w:tabs>
          <w:tab w:leader="none" w:pos="178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its Fair Market Value will be the closing sales price for such stock (or the closing bid, if no sales were reported) as quoted on such exchange or system on the day of determination, as reported in such source as the Administrator deems reliable;</w:t>
      </w:r>
    </w:p>
    <w:p>
      <w:pPr>
        <w:spacing w:after="0" w:line="175" w:lineRule="exact"/>
        <w:rPr>
          <w:rFonts w:ascii="Times New Roman" w:cs="Times New Roman" w:eastAsia="Times New Roman" w:hAnsi="Times New Roman"/>
          <w:sz w:val="18"/>
          <w:szCs w:val="18"/>
          <w:color w:val="auto"/>
        </w:rPr>
      </w:pPr>
    </w:p>
    <w:p>
      <w:pPr>
        <w:ind w:right="160" w:firstLine="1428"/>
        <w:spacing w:after="0" w:line="266" w:lineRule="auto"/>
        <w:tabs>
          <w:tab w:leader="none" w:pos="183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of a Share will be the mean between the high bid and low asked prices for the Common Stock on the day of determination, as reported in such source as the Administrator deems reliable; or</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88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 Administrator in compliance with Applicable Laws and regulations and in a manner that complies with Section 409A of the Code.</w:t>
      </w:r>
    </w:p>
    <w:p>
      <w:pPr>
        <w:spacing w:after="0" w:line="15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right="180" w:firstLine="987"/>
        <w:spacing w:after="0" w:line="286" w:lineRule="auto"/>
        <w:tabs>
          <w:tab w:leader="none" w:pos="142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54" w:lineRule="exact"/>
        <w:rPr>
          <w:rFonts w:ascii="Times New Roman" w:cs="Times New Roman" w:eastAsia="Times New Roman" w:hAnsi="Times New Roman"/>
          <w:sz w:val="18"/>
          <w:szCs w:val="18"/>
          <w:color w:val="auto"/>
        </w:rPr>
      </w:pPr>
    </w:p>
    <w:p>
      <w:pPr>
        <w:ind w:right="160" w:firstLine="987"/>
        <w:spacing w:after="0" w:line="286" w:lineRule="auto"/>
        <w:tabs>
          <w:tab w:leader="none" w:pos="138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Contractor</w:t>
      </w:r>
      <w:r>
        <w:rPr>
          <w:rFonts w:ascii="Times New Roman" w:cs="Times New Roman" w:eastAsia="Times New Roman" w:hAnsi="Times New Roman"/>
          <w:sz w:val="18"/>
          <w:szCs w:val="18"/>
          <w:color w:val="auto"/>
        </w:rPr>
        <w:t>” means any person, including an advisor, consultant or agent, engaged by the Company or an Affiliate to render services to such entity or who renders, or has rendered, services to the Company, or any Affiliate and is compensated for such services.</w:t>
      </w:r>
    </w:p>
    <w:p>
      <w:pPr>
        <w:spacing w:after="0" w:line="154"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rFonts w:ascii="Times New Roman" w:cs="Times New Roman" w:eastAsia="Times New Roman" w:hAnsi="Times New Roman"/>
          <w:sz w:val="18"/>
          <w:szCs w:val="18"/>
          <w:color w:val="auto"/>
        </w:rPr>
      </w:pPr>
    </w:p>
    <w:p>
      <w:pPr>
        <w:ind w:right="500" w:firstLine="987"/>
        <w:spacing w:after="0" w:line="286" w:lineRule="auto"/>
        <w:tabs>
          <w:tab w:leader="none" w:pos="13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Common Stock are subject to Section 16 of the Exchange Act.</w:t>
      </w:r>
    </w:p>
    <w:p>
      <w:pPr>
        <w:spacing w:after="0" w:line="155"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(aa)</w:t>
        <w:tab/>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3" w:lineRule="exact"/>
        <w:rPr>
          <w:sz w:val="20"/>
          <w:szCs w:val="20"/>
          <w:color w:val="auto"/>
        </w:rPr>
      </w:pPr>
    </w:p>
    <w:p>
      <w:pPr>
        <w:ind w:firstLine="987"/>
        <w:spacing w:after="0" w:line="286" w:lineRule="auto"/>
        <w:tabs>
          <w:tab w:leader="none" w:pos="14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4"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460" w:hanging="473"/>
        <w:spacing w:after="0"/>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firstLine="987"/>
        <w:spacing w:after="0" w:line="262" w:lineRule="auto"/>
        <w:tabs>
          <w:tab w:leader="none" w:pos="14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6"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right="100" w:firstLine="987"/>
        <w:spacing w:after="0" w:line="268" w:lineRule="auto"/>
        <w:tabs>
          <w:tab w:leader="none" w:pos="14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color w:val="auto"/>
        </w:rPr>
        <w:t>” means a formula or standard determined by the Administrator with respect to each Performance Period based on one or more of the following criteria and any adjustment(s) thereto established by the Administrator: (1) sales or non-sales revenue; (2) return on revenues; (3) operating income;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67" w:name="page168"/>
    <w:bookmarkEnd w:id="167"/>
    <w:p>
      <w:pPr>
        <w:ind w:left="4" w:hanging="4"/>
        <w:spacing w:after="0" w:line="272" w:lineRule="auto"/>
        <w:tabs>
          <w:tab w:leader="none" w:pos="25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of financing or fundraising; (11) project financing; (12) revenue backlog; (13) gross margin; (14) operating margin or profit margin;</w:t>
      </w:r>
    </w:p>
    <w:p>
      <w:pPr>
        <w:spacing w:after="0" w:line="9" w:lineRule="exact"/>
        <w:rPr>
          <w:rFonts w:ascii="Times New Roman" w:cs="Times New Roman" w:eastAsia="Times New Roman" w:hAnsi="Times New Roman"/>
          <w:sz w:val="18"/>
          <w:szCs w:val="18"/>
          <w:color w:val="auto"/>
        </w:rPr>
      </w:pPr>
    </w:p>
    <w:p>
      <w:pPr>
        <w:ind w:left="4" w:right="20" w:hanging="4"/>
        <w:spacing w:after="0" w:line="265" w:lineRule="auto"/>
        <w:tabs>
          <w:tab w:leader="none" w:pos="349"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cost targets, reductions and savings and expense management; (16) return on assets (gross or net), return on investment, return on capital, or return on stockholder equity; (17) cash flow, free cash flow, cash flow return on investment (discounted or otherwise), net cash provided by operations, or cash flow in excess of cost of capital; (18) performance warranty and/or guarantee claims; (19) stock price or total stockholder return;</w:t>
      </w:r>
    </w:p>
    <w:p>
      <w:pPr>
        <w:ind w:left="4" w:right="40" w:hanging="4"/>
        <w:spacing w:after="0" w:line="250" w:lineRule="auto"/>
        <w:tabs>
          <w:tab w:leader="none" w:pos="3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(24) objective goals relating to divestitures, joint ventures, mergers, acquisitions and similar transactions;</w:t>
      </w:r>
    </w:p>
    <w:p>
      <w:pPr>
        <w:spacing w:after="0" w:line="1" w:lineRule="exact"/>
        <w:rPr>
          <w:rFonts w:ascii="Times New Roman" w:cs="Times New Roman" w:eastAsia="Times New Roman" w:hAnsi="Times New Roman"/>
          <w:sz w:val="18"/>
          <w:szCs w:val="18"/>
          <w:color w:val="auto"/>
        </w:rPr>
      </w:pPr>
    </w:p>
    <w:p>
      <w:pPr>
        <w:ind w:left="4" w:right="180" w:hanging="4"/>
        <w:spacing w:after="0" w:line="250" w:lineRule="auto"/>
        <w:tabs>
          <w:tab w:leader="none" w:pos="3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and</w:t>
      </w:r>
    </w:p>
    <w:p>
      <w:pPr>
        <w:spacing w:after="0" w:line="1" w:lineRule="exact"/>
        <w:rPr>
          <w:rFonts w:ascii="Times New Roman" w:cs="Times New Roman" w:eastAsia="Times New Roman" w:hAnsi="Times New Roman"/>
          <w:sz w:val="18"/>
          <w:szCs w:val="18"/>
          <w:color w:val="auto"/>
        </w:rPr>
      </w:pPr>
    </w:p>
    <w:p>
      <w:pPr>
        <w:ind w:left="4" w:right="40" w:hanging="4"/>
        <w:spacing w:after="0" w:line="252" w:lineRule="auto"/>
        <w:tabs>
          <w:tab w:leader="none" w:pos="34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resource planning. Awards issued to Participants may take into account other criteria (including subjective criteria).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(vi) on a GAAP or non-GAAP basis, and/or (vii) using an actual foreign exchange rate or on a foreign exchange neutral basis.</w:t>
      </w:r>
    </w:p>
    <w:p>
      <w:pPr>
        <w:spacing w:after="0" w:line="184" w:lineRule="exact"/>
        <w:rPr>
          <w:rFonts w:ascii="Times New Roman" w:cs="Times New Roman" w:eastAsia="Times New Roman" w:hAnsi="Times New Roman"/>
          <w:sz w:val="18"/>
          <w:szCs w:val="18"/>
          <w:color w:val="auto"/>
        </w:rPr>
      </w:pPr>
    </w:p>
    <w:p>
      <w:pPr>
        <w:ind w:left="4" w:right="60" w:firstLine="987"/>
        <w:spacing w:after="0" w:line="286" w:lineRule="auto"/>
        <w:tabs>
          <w:tab w:leader="none" w:pos="147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time period during which the Performance Goals or other vesting provisions must be satisfied for Awards. Performance Periods may be of varying and overlapping duration, at the sole discretion of the Administrator.</w:t>
      </w:r>
    </w:p>
    <w:p>
      <w:pPr>
        <w:spacing w:after="0" w:line="154" w:lineRule="exact"/>
        <w:rPr>
          <w:rFonts w:ascii="Times New Roman" w:cs="Times New Roman" w:eastAsia="Times New Roman" w:hAnsi="Times New Roman"/>
          <w:sz w:val="18"/>
          <w:szCs w:val="18"/>
          <w:color w:val="auto"/>
        </w:rPr>
      </w:pPr>
    </w:p>
    <w:p>
      <w:pPr>
        <w:ind w:left="4" w:firstLine="987"/>
        <w:spacing w:after="0" w:line="268" w:lineRule="auto"/>
        <w:tabs>
          <w:tab w:leader="none" w:pos="139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 of Restriction</w:t>
      </w:r>
      <w:r>
        <w:rPr>
          <w:rFonts w:ascii="Times New Roman" w:cs="Times New Roman" w:eastAsia="Times New Roman" w:hAnsi="Times New Roman"/>
          <w:sz w:val="18"/>
          <w:szCs w:val="18"/>
          <w:color w:val="auto"/>
        </w:rPr>
        <w:t>”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0"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2020 Equity Incentive Plan.</w:t>
      </w:r>
    </w:p>
    <w:p>
      <w:pPr>
        <w:spacing w:after="0" w:line="225" w:lineRule="exact"/>
        <w:rPr>
          <w:rFonts w:ascii="Times New Roman" w:cs="Times New Roman" w:eastAsia="Times New Roman" w:hAnsi="Times New Roman"/>
          <w:sz w:val="18"/>
          <w:szCs w:val="18"/>
          <w:color w:val="auto"/>
        </w:rPr>
      </w:pPr>
    </w:p>
    <w:p>
      <w:pPr>
        <w:ind w:left="1464" w:hanging="473"/>
        <w:spacing w:after="0"/>
        <w:tabs>
          <w:tab w:leader="none" w:pos="146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w:t>
      </w:r>
    </w:p>
    <w:p>
      <w:pPr>
        <w:spacing w:after="0" w:line="225" w:lineRule="exact"/>
        <w:rPr>
          <w:rFonts w:ascii="Times New Roman" w:cs="Times New Roman" w:eastAsia="Times New Roman" w:hAnsi="Times New Roman"/>
          <w:sz w:val="18"/>
          <w:szCs w:val="18"/>
          <w:color w:val="auto"/>
        </w:rPr>
      </w:pPr>
    </w:p>
    <w:p>
      <w:pPr>
        <w:ind w:left="4" w:right="300" w:firstLine="987"/>
        <w:spacing w:after="0" w:line="286" w:lineRule="auto"/>
        <w:tabs>
          <w:tab w:leader="none" w:pos="139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54" w:lineRule="exact"/>
        <w:rPr>
          <w:rFonts w:ascii="Times New Roman" w:cs="Times New Roman" w:eastAsia="Times New Roman" w:hAnsi="Times New Roman"/>
          <w:sz w:val="18"/>
          <w:szCs w:val="18"/>
          <w:color w:val="auto"/>
        </w:rPr>
      </w:pPr>
    </w:p>
    <w:p>
      <w:pPr>
        <w:ind w:left="4" w:right="640" w:firstLine="987"/>
        <w:spacing w:after="0" w:line="286" w:lineRule="auto"/>
        <w:tabs>
          <w:tab w:leader="none" w:pos="157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4" w:lineRule="exact"/>
        <w:rPr>
          <w:rFonts w:ascii="Times New Roman" w:cs="Times New Roman" w:eastAsia="Times New Roman" w:hAnsi="Times New Roman"/>
          <w:sz w:val="18"/>
          <w:szCs w:val="18"/>
          <w:color w:val="auto"/>
        </w:rPr>
      </w:pPr>
    </w:p>
    <w:p>
      <w:pPr>
        <w:ind w:left="1464" w:hanging="473"/>
        <w:spacing w:after="0"/>
        <w:tabs>
          <w:tab w:leader="none" w:pos="146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1464" w:hanging="473"/>
        <w:spacing w:after="0"/>
        <w:tabs>
          <w:tab w:leader="none" w:pos="146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Director or Independent Contractor.</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68" w:name="page169"/>
    <w:bookmarkEnd w:id="168"/>
    <w:p>
      <w:pPr>
        <w:ind w:left="1460" w:hanging="473"/>
        <w:spacing w:after="0"/>
        <w:tabs>
          <w:tab w:leader="none" w:pos="14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share of the Common Stock, as adjusted in accordance with Section 15 of the Plan.</w:t>
      </w:r>
    </w:p>
    <w:p>
      <w:pPr>
        <w:spacing w:after="0" w:line="225" w:lineRule="exact"/>
        <w:rPr>
          <w:rFonts w:ascii="Times New Roman" w:cs="Times New Roman" w:eastAsia="Times New Roman" w:hAnsi="Times New Roman"/>
          <w:sz w:val="18"/>
          <w:szCs w:val="18"/>
          <w:color w:val="auto"/>
        </w:rPr>
      </w:pPr>
    </w:p>
    <w:p>
      <w:pPr>
        <w:ind w:right="760" w:firstLine="987"/>
        <w:spacing w:after="0" w:line="286" w:lineRule="auto"/>
        <w:tabs>
          <w:tab w:leader="none" w:pos="147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w:t>
      </w:r>
      <w:r>
        <w:rPr>
          <w:rFonts w:ascii="Times New Roman" w:cs="Times New Roman" w:eastAsia="Times New Roman" w:hAnsi="Times New Roman"/>
          <w:sz w:val="18"/>
          <w:szCs w:val="18"/>
          <w:b w:val="1"/>
          <w:bCs w:val="1"/>
          <w:i w:val="1"/>
          <w:iCs w:val="1"/>
          <w:color w:val="auto"/>
        </w:rPr>
        <w: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54"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Bonus Award</w:t>
      </w:r>
      <w:r>
        <w:rPr>
          <w:rFonts w:ascii="Times New Roman" w:cs="Times New Roman" w:eastAsia="Times New Roman" w:hAnsi="Times New Roman"/>
          <w:sz w:val="18"/>
          <w:szCs w:val="18"/>
          <w:color w:val="auto"/>
        </w:rPr>
        <w:t>” means an Award granted pursuant to Section 10 of the Plan.</w:t>
      </w:r>
    </w:p>
    <w:p>
      <w:pPr>
        <w:spacing w:after="0" w:line="225" w:lineRule="exact"/>
        <w:rPr>
          <w:rFonts w:ascii="Times New Roman" w:cs="Times New Roman" w:eastAsia="Times New Roman" w:hAnsi="Times New Roman"/>
          <w:sz w:val="18"/>
          <w:szCs w:val="18"/>
          <w:color w:val="auto"/>
        </w:rPr>
      </w:pPr>
    </w:p>
    <w:p>
      <w:pPr>
        <w:ind w:right="40" w:firstLine="987"/>
        <w:spacing w:after="0" w:line="262" w:lineRule="auto"/>
        <w:tabs>
          <w:tab w:leader="none" w:pos="14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6" w:lineRule="exact"/>
        <w:rPr>
          <w:rFonts w:ascii="Times New Roman" w:cs="Times New Roman" w:eastAsia="Times New Roman" w:hAnsi="Times New Roman"/>
          <w:sz w:val="18"/>
          <w:szCs w:val="18"/>
          <w:color w:val="auto"/>
        </w:rPr>
      </w:pPr>
    </w:p>
    <w:p>
      <w:pPr>
        <w:ind w:right="20" w:firstLine="987"/>
        <w:spacing w:after="0" w:line="286" w:lineRule="auto"/>
        <w:tabs>
          <w:tab w:leader="none" w:pos="139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income tax, social insurance or other social contributions, national insurance, social security, payroll tax, fringe benefits tax, payment on account or other tax-related items.</w:t>
      </w:r>
    </w:p>
    <w:p>
      <w:pPr>
        <w:spacing w:after="0" w:line="26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37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15 of the Plan, the maximum aggregate number of Shares that may be issued under the Plan is 30,641,401 Shares. The Shares may be authorized, but unissued, or reacquired Common Stock. Notwithstanding the foregoing, subject to the provisions of Section 15 below, in no event shall the maximum aggregate number of Shares that may be issued under the Plan pursuant to Incentive Stock Options exceed the number set forth in this Section 3(a).</w:t>
      </w:r>
    </w:p>
    <w:p>
      <w:pPr>
        <w:spacing w:after="0" w:line="179" w:lineRule="exact"/>
        <w:rPr>
          <w:rFonts w:ascii="Times New Roman" w:cs="Times New Roman" w:eastAsia="Times New Roman" w:hAnsi="Times New Roman"/>
          <w:sz w:val="18"/>
          <w:szCs w:val="18"/>
          <w:color w:val="auto"/>
        </w:rPr>
      </w:pPr>
    </w:p>
    <w:p>
      <w:pPr>
        <w:ind w:right="60" w:firstLine="987"/>
        <w:spacing w:after="0" w:line="256" w:lineRule="auto"/>
        <w:tabs>
          <w:tab w:leader="none" w:pos="138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number of Shares available for issuance under the Plan will be increased on the first day of each Fiscal Year beginning with the 2022 Fiscal Year and ending on the last day of the 2024 Fiscal Year, in an amount equal to the lessor of (i) seven percent (7%) of the outstanding Shares on the last day of the immediately preceding Fiscal Year and (ii) such number of Shares determined by the Board; provided that for each Fiscal Year beginning with the 2025 Fiscal Year through the Fiscal Year that includes the expiration date of the Plan, each such increase shall be reduced to the lessor five percent (5%) of the outstanding Shares on the last day of the immediately preceding Fiscal Year or such number of Shares determined by the Board.</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greater than the price (as adjusted pursuant to Section 15(a)) paid by the Participant for such Shares or not issuing any Shares covered by the Award, the unused Shares covered by the Award will, as applicable, become or again be available for Award grants under the Plan. The payment of dividend equivalents in cash in conjunction with any outstanding Awards shall not count against the share limit set forth in Section 3(a). Notwithstanding anything to the contrary contained herein, the following Shares shall not be added to the Shares authorized for grant under Section 3(a) and shall not be available for future grants of Awards: (i) Shares subject to a Stock Appreciation Right that are not issued in connection with the stock settlement of the Stock Appreciation Right on exercise thereof; and (ii) Shares purchased on the open market with the cash proceeds from the exercise of Options; and (iii)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69" w:name="page170"/>
    <w:bookmarkEnd w:id="169"/>
    <w:p>
      <w:pPr>
        <w:ind w:left="4" w:firstLine="987"/>
        <w:spacing w:after="0" w:line="261" w:lineRule="auto"/>
        <w:tabs>
          <w:tab w:leader="none" w:pos="1385"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Assumption or Substitution of Awards by the Company</w:t>
      </w:r>
      <w:r>
        <w:rPr>
          <w:rFonts w:ascii="Times New Roman" w:cs="Times New Roman" w:eastAsia="Times New Roman" w:hAnsi="Times New Roman"/>
          <w:sz w:val="18"/>
          <w:szCs w:val="18"/>
          <w:color w:val="auto"/>
        </w:rPr>
        <w:t>. The Administrator, from time to time, may determine to substitute or assume outstanding awards granted by another company, in connection with an acquisition, merger or consolidation of such other company, by either:</w:t>
      </w:r>
    </w:p>
    <w:p>
      <w:pPr>
        <w:ind w:left="4" w:right="60" w:hanging="4"/>
        <w:spacing w:after="0" w:line="251" w:lineRule="auto"/>
        <w:tabs>
          <w:tab w:leader="none" w:pos="24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such award under this Plan or (b) granting an Award under this Plan in substitution of such other company’s award. Such assumption or substitution will be permissible if the holder of the substituted or assumed award would have been eligible to be granted an Award under this Plan if the other company had applied the rules of this Plan to such grant. In the event the Administrator elects to assume an award granted by another company, subject to the requirements of Section 409A of the Code, the purchase price or the exercise price, as the case may be, and the number and nature of Shares issuable upon exercise or settlement of any such Award will be adjusted appropriately. In the event the Administrator elects to grant a new Option in substitution rather than assuming an existing option, such new Option may be granted with a similarly adjusted exercise price. Any awards that are assumed or substituted under this Plan shall not reduce the number of Shares authorized for grant under the Plan or authorized for grant to a Participant in any fiscal year.</w:t>
      </w:r>
    </w:p>
    <w:p>
      <w:pPr>
        <w:spacing w:after="0" w:line="301"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left="4" w:right="940" w:firstLine="1428"/>
        <w:spacing w:after="0" w:line="282" w:lineRule="auto"/>
        <w:tabs>
          <w:tab w:leader="none" w:pos="1836"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886"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the Administrator will have the authority, in its discretion:</w:t>
      </w:r>
    </w:p>
    <w:p>
      <w:pPr>
        <w:spacing w:after="0" w:line="225"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in accordance with Section 2(u)(iii);</w:t>
      </w:r>
    </w:p>
    <w:p>
      <w:pPr>
        <w:spacing w:after="0" w:line="225"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884" w:hanging="452"/>
        <w:spacing w:after="0"/>
        <w:tabs>
          <w:tab w:leader="none" w:pos="188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826"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Goals),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jc w:val="both"/>
        <w:ind w:left="4" w:right="160" w:firstLine="1428"/>
        <w:spacing w:after="0" w:line="266" w:lineRule="auto"/>
        <w:tabs>
          <w:tab w:leader="none" w:pos="1876"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 provided however, that the Administrator shall not implement an Exchange Program without the approval of the holders of a majority of the Shares that are present in person or by proxy and entitled to vote at any annual or special meeting of the Company’s stockholders;</w:t>
      </w:r>
    </w:p>
    <w:p>
      <w:pPr>
        <w:spacing w:after="0" w:line="175" w:lineRule="exact"/>
        <w:rPr>
          <w:rFonts w:ascii="Times New Roman" w:cs="Times New Roman" w:eastAsia="Times New Roman" w:hAnsi="Times New Roman"/>
          <w:sz w:val="18"/>
          <w:szCs w:val="18"/>
          <w:color w:val="auto"/>
        </w:rPr>
      </w:pPr>
    </w:p>
    <w:p>
      <w:pPr>
        <w:ind w:left="1924" w:hanging="492"/>
        <w:spacing w:after="0"/>
        <w:tabs>
          <w:tab w:leader="none" w:pos="192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1964" w:hanging="532"/>
        <w:spacing w:after="0"/>
        <w:tabs>
          <w:tab w:leader="none" w:pos="1964" w:val="left"/>
        </w:tabs>
        <w:numPr>
          <w:ilvl w:val="3"/>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this Plan, any Award or any Award Agreement;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70" w:name="page171"/>
    <w:bookmarkEnd w:id="170"/>
    <w:p>
      <w:pPr>
        <w:jc w:val="both"/>
        <w:ind w:left="-20" w:right="200" w:firstLine="1428"/>
        <w:spacing w:after="0" w:line="266" w:lineRule="auto"/>
        <w:tabs>
          <w:tab w:leader="none" w:pos="185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prescribe, amend and rescind rules and regulations relating to the Plan, including rules and regulations established for the purpose of satisfying non-U.S. Applicable Laws, for qualifying for favorable tax treatment under applicable non-U.S. Applicable Laws or facilitating compliance with non-U.S. Applicable Laws (sub-plans may be created for any of these purposes);</w:t>
      </w:r>
    </w:p>
    <w:p>
      <w:pPr>
        <w:spacing w:after="0" w:line="175"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80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22 of the Plan), including but not limited to the discretionary authority to extend the post-termination exercisability period of Awards, to accelerate vesting and to extend the maximum term of an Option (subject to Section 6(b) of the Plan regarding Incentive Stock Options);</w:t>
      </w:r>
    </w:p>
    <w:p>
      <w:pPr>
        <w:spacing w:after="0" w:line="175" w:lineRule="exact"/>
        <w:rPr>
          <w:rFonts w:ascii="Times New Roman" w:cs="Times New Roman" w:eastAsia="Times New Roman" w:hAnsi="Times New Roman"/>
          <w:sz w:val="18"/>
          <w:szCs w:val="18"/>
          <w:color w:val="auto"/>
        </w:rPr>
      </w:pPr>
    </w:p>
    <w:p>
      <w:pPr>
        <w:ind w:left="-20" w:right="300" w:firstLine="1428"/>
        <w:spacing w:after="0" w:line="266" w:lineRule="auto"/>
        <w:tabs>
          <w:tab w:leader="none" w:pos="185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Performance Goals to take into account changes in Applicable Laws or in accounting or tax rules, or such other extraordinary, unforeseeable, nonrecurring or infrequently occurring events or circumstances as the Administrator deems necessary or appropriate to avoid windfalls or hardships;</w:t>
      </w:r>
    </w:p>
    <w:p>
      <w:pPr>
        <w:spacing w:after="0" w:line="175" w:lineRule="exact"/>
        <w:rPr>
          <w:rFonts w:ascii="Times New Roman" w:cs="Times New Roman" w:eastAsia="Times New Roman" w:hAnsi="Times New Roman"/>
          <w:sz w:val="18"/>
          <w:szCs w:val="18"/>
          <w:color w:val="auto"/>
        </w:rPr>
      </w:pPr>
    </w:p>
    <w:p>
      <w:pPr>
        <w:ind w:left="1900" w:hanging="492"/>
        <w:spacing w:after="0"/>
        <w:tabs>
          <w:tab w:leader="none" w:pos="19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16 of the Plan;</w:t>
      </w:r>
    </w:p>
    <w:p>
      <w:pPr>
        <w:spacing w:after="0" w:line="225" w:lineRule="exact"/>
        <w:rPr>
          <w:rFonts w:ascii="Times New Roman" w:cs="Times New Roman" w:eastAsia="Times New Roman" w:hAnsi="Times New Roman"/>
          <w:sz w:val="18"/>
          <w:szCs w:val="18"/>
          <w:color w:val="auto"/>
        </w:rPr>
      </w:pPr>
    </w:p>
    <w:p>
      <w:pPr>
        <w:ind w:left="-20" w:right="620" w:firstLine="1428"/>
        <w:spacing w:after="0" w:line="282" w:lineRule="auto"/>
        <w:tabs>
          <w:tab w:leader="none" w:pos="195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20" w:right="340" w:firstLine="1428"/>
        <w:spacing w:after="0" w:line="282" w:lineRule="auto"/>
        <w:tabs>
          <w:tab w:leader="none" w:pos="194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and</w:t>
      </w:r>
    </w:p>
    <w:p>
      <w:pPr>
        <w:spacing w:after="0" w:line="161" w:lineRule="exact"/>
        <w:rPr>
          <w:rFonts w:ascii="Times New Roman" w:cs="Times New Roman" w:eastAsia="Times New Roman" w:hAnsi="Times New Roman"/>
          <w:sz w:val="18"/>
          <w:szCs w:val="18"/>
          <w:color w:val="auto"/>
        </w:rPr>
      </w:pPr>
    </w:p>
    <w:p>
      <w:pPr>
        <w:ind w:left="1880" w:hanging="472"/>
        <w:spacing w:after="0"/>
        <w:tabs>
          <w:tab w:leader="none" w:pos="18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3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Any dispute regarding the interpretation of the Plan or any Award Agreement shall be submitted by the Participant to the Company for review. Any Officer of the Company, including but not limited to Insiders, shall have the authority to review and resolve disputes with respect to Awards held by Participants who are not Insiders, and such resolution shall be final and binding on the Company and the Participant. Only the Committee shall have the authority to review and resolve disputes with respect to Awards held by Participants who are Insiders, and such resolution shall be final and binding on the Company and the Participant.</w:t>
      </w:r>
    </w:p>
    <w:p>
      <w:pPr>
        <w:spacing w:after="0" w:line="187" w:lineRule="exact"/>
        <w:rPr>
          <w:rFonts w:ascii="Times New Roman" w:cs="Times New Roman" w:eastAsia="Times New Roman" w:hAnsi="Times New Roman"/>
          <w:sz w:val="18"/>
          <w:szCs w:val="18"/>
          <w:color w:val="auto"/>
        </w:rPr>
      </w:pPr>
    </w:p>
    <w:p>
      <w:pPr>
        <w:ind w:left="-20" w:firstLine="987"/>
        <w:spacing w:after="0" w:line="253" w:lineRule="auto"/>
        <w:tabs>
          <w:tab w:leader="none" w:pos="136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To the extent permitted by Applicable Laws, the Board or Committee, in its sole discretion and on such terms and conditions as it may provide, may delegate all or any part of its authority and powers under the Plan to one or more Directors or officers of the Company. To the extent permitted by Applicable Laws, the Board or Committee may delegate to one or more officers of the Company who may be (but are not required to be) Insiders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authority to do any of the following (i) designate Employees who are not Insiders to be recipients of Awards, (ii) determine the number of Shares to be subject to such Awards granted to such designated Employees, and (iii) take any and all actions on behalf of the the Board or Committee other than any actions that affect the amount or form of compensation of Insiders or have material tax, accounting, financial, human resource or legal consequences to the Company or its Affiliates; provided, however, that the Board or Committee resolutions regarding any delegation with respect to (i) and (ii) will specify the total number of Shares that may be subject to the Awards granted by such Officer and that such Officer may not grant an Award to himself or herself. Any Awards will be granted on the form of Award Agreement most recently approved for use by the Board or Committee, unless otherwise provided in the resolutions approving the delegation authority.</w:t>
      </w:r>
    </w:p>
    <w:p>
      <w:pPr>
        <w:spacing w:after="0" w:line="194" w:lineRule="exact"/>
        <w:rPr>
          <w:rFonts w:ascii="Times New Roman" w:cs="Times New Roman" w:eastAsia="Times New Roman" w:hAnsi="Times New Roman"/>
          <w:sz w:val="18"/>
          <w:szCs w:val="18"/>
          <w:color w:val="auto"/>
        </w:rPr>
      </w:pPr>
    </w:p>
    <w:p>
      <w:pPr>
        <w:ind w:left="-20" w:right="220" w:firstLine="987"/>
        <w:spacing w:after="0" w:line="266" w:lineRule="auto"/>
        <w:tabs>
          <w:tab w:leader="none" w:pos="13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Awards Subject to Performance Goals</w:t>
      </w:r>
      <w:r>
        <w:rPr>
          <w:rFonts w:ascii="Times New Roman" w:cs="Times New Roman" w:eastAsia="Times New Roman" w:hAnsi="Times New Roman"/>
          <w:sz w:val="18"/>
          <w:szCs w:val="18"/>
          <w:color w:val="auto"/>
        </w:rPr>
        <w:t>. The Administrator will, in its sole discretion, determine the Performance Goals, if any, applicable to any Award (including any adjustment(s) thereto that will be applied in determining the achievement of such Performance Goals) on or prior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71" w:name="page172"/>
    <w:bookmarkEnd w:id="171"/>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 Date. The Performance Goals may differ from Participant to Participant and from Award to Award. The Administrator shall determine and approve the extent to which such Performance Goals have been timely achieved and the extent to which the Shares subject to such Award have thereby been earned.</w:t>
      </w:r>
    </w:p>
    <w:p>
      <w:pPr>
        <w:spacing w:after="0" w:line="176" w:lineRule="exact"/>
        <w:rPr>
          <w:sz w:val="20"/>
          <w:szCs w:val="20"/>
          <w:color w:val="auto"/>
        </w:rPr>
      </w:pPr>
    </w:p>
    <w:p>
      <w:pPr>
        <w:ind w:right="220" w:firstLine="987"/>
        <w:spacing w:after="0" w:line="282" w:lineRule="auto"/>
        <w:tabs>
          <w:tab w:leader="none" w:pos="135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of the Exchange Act</w:t>
      </w:r>
      <w:r>
        <w:rPr>
          <w:rFonts w:ascii="Times New Roman" w:cs="Times New Roman" w:eastAsia="Times New Roman" w:hAnsi="Times New Roman"/>
          <w:sz w:val="18"/>
          <w:szCs w:val="18"/>
          <w:color w:val="auto"/>
        </w:rPr>
        <w:t>. Awards granted to Participants who are Insiders must be approved by two or more “non-employee directors” of the Board (as defined in the regulations promulgated under Section 16 of the Exchange Act).</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7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Eligibility</w:t>
      </w:r>
      <w:r>
        <w:rPr>
          <w:rFonts w:ascii="Times New Roman" w:cs="Times New Roman" w:eastAsia="Times New Roman" w:hAnsi="Times New Roman"/>
          <w:sz w:val="18"/>
          <w:szCs w:val="18"/>
          <w:color w:val="auto"/>
        </w:rPr>
        <w:t>. Nonstatutory Stock Options, Stock Appreciation Rights, Restricted Stock, Restricted Stock Units and Stock Bonuses may be granted to Service Providers. Incentive Stock Options may be granted only to Employees.</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3" w:lineRule="auto"/>
        <w:tabs>
          <w:tab w:leader="none" w:pos="137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Affiliate)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date the Option with respect to such Shares is granted. With respect to the Administrator’s authority in Section 4(b)(x), if, at the time of any such extension, the exercise price per Share of the Option is less than the Fair Market Value of a Share, the extension shall, unless otherwise determined by the Administrator, be limited to the earlier of (1) the maximum term of the Option as set by its original terms, or (2) ten (10) years from the grant date. Unless otherwise determined by the Administrator, any extension of the term of an Option pursuant to this Section 6(a) shall comply with Section 409A of the Code to the extent necessary to avoid taxation thereunder.</w:t>
      </w:r>
    </w:p>
    <w:p>
      <w:pPr>
        <w:spacing w:after="0" w:line="194"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Affiliate, the term of the Incentive Stock Option will be five (5) years from the date of grant or such shorter term as may be provided in the Award Agreement.</w:t>
      </w:r>
    </w:p>
    <w:p>
      <w:pPr>
        <w:spacing w:after="0" w:line="29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1428"/>
        <w:spacing w:after="0" w:line="282" w:lineRule="auto"/>
        <w:tabs>
          <w:tab w:leader="none" w:pos="1782"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2360" w:hanging="381"/>
        <w:spacing w:after="0"/>
        <w:tabs>
          <w:tab w:leader="none" w:pos="2360" w:val="left"/>
        </w:tabs>
        <w:numPr>
          <w:ilvl w:val="3"/>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ind w:right="140" w:firstLine="2419"/>
        <w:spacing w:after="0" w:line="266" w:lineRule="auto"/>
        <w:tabs>
          <w:tab w:leader="none" w:pos="2853" w:val="left"/>
        </w:tabs>
        <w:numPr>
          <w:ilvl w:val="4"/>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Affiliate, the per Share exercise price will be no less than one hundred ten percent (110%) of the Fair Market Value per Share on the date of grant.</w:t>
      </w:r>
    </w:p>
    <w:p>
      <w:pPr>
        <w:spacing w:after="0" w:line="175" w:lineRule="exact"/>
        <w:rPr>
          <w:rFonts w:ascii="Times New Roman" w:cs="Times New Roman" w:eastAsia="Times New Roman" w:hAnsi="Times New Roman"/>
          <w:sz w:val="18"/>
          <w:szCs w:val="18"/>
          <w:color w:val="auto"/>
        </w:rPr>
      </w:pPr>
    </w:p>
    <w:p>
      <w:pPr>
        <w:ind w:right="160" w:firstLine="2419"/>
        <w:spacing w:after="0" w:line="282" w:lineRule="auto"/>
        <w:tabs>
          <w:tab w:leader="none" w:pos="2843" w:val="left"/>
        </w:tabs>
        <w:numPr>
          <w:ilvl w:val="4"/>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72" w:name="page173"/>
    <w:bookmarkEnd w:id="172"/>
    <w:p>
      <w:pPr>
        <w:ind w:left="4" w:right="1100" w:firstLine="1979"/>
        <w:spacing w:after="0" w:line="282" w:lineRule="auto"/>
        <w:tabs>
          <w:tab w:leader="none" w:pos="2377"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Nonstatutory Stock Option,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4" w:right="540" w:firstLine="1979"/>
        <w:spacing w:after="0" w:line="266" w:lineRule="auto"/>
        <w:tabs>
          <w:tab w:leader="none" w:pos="2377"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5"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836"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 An Option may become exercisable upon completion of a specified period of service with the Company or an Affiliate and/or based on the achievement of Performance Goals during a Performance Period as set out in advance in the Participant’s Award Agreement. If an Option is exercisable based on the satisfaction of Performance Goals, then the Administrator will: (x) determine the nature, length and starting date of any Performance Period for such Option; (y) select the Performance Goals to be used to measure the performance; and (z) determine what additional vesting conditions, if any, should apply.</w:t>
      </w:r>
    </w:p>
    <w:p>
      <w:pPr>
        <w:spacing w:after="0" w:line="187" w:lineRule="exact"/>
        <w:rPr>
          <w:rFonts w:ascii="Times New Roman" w:cs="Times New Roman" w:eastAsia="Times New Roman" w:hAnsi="Times New Roman"/>
          <w:sz w:val="18"/>
          <w:szCs w:val="18"/>
          <w:color w:val="auto"/>
        </w:rPr>
      </w:pPr>
    </w:p>
    <w:p>
      <w:pPr>
        <w:ind w:left="4" w:right="60" w:firstLine="1428"/>
        <w:spacing w:after="0" w:line="268" w:lineRule="auto"/>
        <w:tabs>
          <w:tab w:leader="none" w:pos="1886" w:val="left"/>
        </w:tabs>
        <w:numPr>
          <w:ilvl w:val="2"/>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w:t>
      </w:r>
    </w:p>
    <w:p>
      <w:pPr>
        <w:spacing w:after="0" w:line="2" w:lineRule="exact"/>
        <w:rPr>
          <w:rFonts w:ascii="Times New Roman" w:cs="Times New Roman" w:eastAsia="Times New Roman" w:hAnsi="Times New Roman"/>
          <w:sz w:val="17"/>
          <w:szCs w:val="17"/>
          <w:color w:val="auto"/>
        </w:rPr>
      </w:pPr>
    </w:p>
    <w:p>
      <w:pPr>
        <w:ind w:left="4" w:right="240" w:hanging="4"/>
        <w:spacing w:after="0" w:line="260"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and method of payment for the issuance of Shares to the extent permitted by Applicable Laws; or (8) any combination of the foregoing methods of payment.</w:t>
      </w:r>
    </w:p>
    <w:p>
      <w:pPr>
        <w:spacing w:after="0" w:line="289"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60" w:firstLine="1428"/>
        <w:spacing w:after="0" w:line="266" w:lineRule="auto"/>
        <w:tabs>
          <w:tab w:leader="none" w:pos="178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left="4" w:firstLine="1983"/>
        <w:spacing w:after="0" w:line="253"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full payment of any applicable taxes or other amounts required to be withheld or deducted with respect to the Option).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94" w:lineRule="exact"/>
        <w:rPr>
          <w:sz w:val="20"/>
          <w:szCs w:val="20"/>
          <w:color w:val="auto"/>
        </w:rPr>
      </w:pPr>
    </w:p>
    <w:p>
      <w:pPr>
        <w:ind w:left="4" w:right="40" w:firstLine="1428"/>
        <w:spacing w:after="0" w:line="266" w:lineRule="auto"/>
        <w:tabs>
          <w:tab w:leader="none" w:pos="18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Disability or Cause, the Participant may exercise his or her Option within such period of time as is specified in the Award Agreement to the extent that the Option is vested on the date of termination (but in no event later than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73" w:name="page174"/>
    <w:bookmarkEnd w:id="17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3" w:lineRule="exact"/>
        <w:rPr>
          <w:sz w:val="20"/>
          <w:szCs w:val="20"/>
          <w:color w:val="auto"/>
        </w:rPr>
      </w:pPr>
    </w:p>
    <w:p>
      <w:pPr>
        <w:ind w:firstLine="1428"/>
        <w:spacing w:after="0" w:line="255" w:lineRule="auto"/>
        <w:tabs>
          <w:tab w:leader="none" w:pos="1882"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firstLine="1428"/>
        <w:spacing w:after="0" w:line="253" w:lineRule="auto"/>
        <w:tabs>
          <w:tab w:leader="none" w:pos="1872"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on the date of termination the Participant is not vested as to his or her entire Option, the Shares covered by the unvested portion of the Option will revert to the Plan. If the Option is not so exercised within the time specified herein, the Option will terminate, and the Shares covered by such Option will revert to the Plan.</w:t>
      </w:r>
    </w:p>
    <w:p>
      <w:pPr>
        <w:spacing w:after="0" w:line="194" w:lineRule="exact"/>
        <w:rPr>
          <w:rFonts w:ascii="Times New Roman" w:cs="Times New Roman" w:eastAsia="Times New Roman" w:hAnsi="Times New Roman"/>
          <w:sz w:val="18"/>
          <w:szCs w:val="18"/>
          <w:color w:val="auto"/>
        </w:rPr>
      </w:pPr>
    </w:p>
    <w:p>
      <w:pPr>
        <w:ind w:right="80" w:firstLine="1428"/>
        <w:spacing w:after="0" w:line="258" w:lineRule="auto"/>
        <w:tabs>
          <w:tab w:leader="none" w:pos="1822"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a Participant ceases to be a Service Provider as a result of being terminated for Cause, any outstanding Option (including any vested portion thereof) held by such Participant shall immediately terminate in its entirety upon the Participant being first notified of his or her termination for Cause and the Participant will be prohibited from exercising his or her Option from and after the date of such termination. All the Participant’s rights under any Option, including the right to exercise the Option, may be suspended pending an investigation of whether Participant will be terminated for Cause.</w:t>
      </w:r>
    </w:p>
    <w:p>
      <w:pPr>
        <w:spacing w:after="0" w:line="29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37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These restrictions may lapse upon the completion of a specified period of service with the Company or an Affiliate and/or based on the achievement of Performance Goals during a Performance Period as set out in advance in the Participant’s Award Agreement. If the unvested Shares of Restricted Stock are being earned upon the satisfaction of Performance Goals, then the Administrator will: (x) determine the nature, length and starting date of any Performance Period for each unvested Share; (y) select the Performance Goals to be used to measure the performance; and (z) determine what additional vesting conditions, if any, should apply.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4" w:name="page175"/>
    <w:bookmarkEnd w:id="174"/>
    <w:p>
      <w:pPr>
        <w:ind w:left="-20" w:right="840" w:firstLine="987"/>
        <w:spacing w:after="0" w:line="282" w:lineRule="auto"/>
        <w:tabs>
          <w:tab w:leader="none" w:pos="135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left="-20" w:right="240" w:firstLine="987"/>
        <w:spacing w:after="0" w:line="282" w:lineRule="auto"/>
        <w:tabs>
          <w:tab w:leader="none" w:pos="136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35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left="-20" w:firstLine="987"/>
        <w:spacing w:after="0" w:line="282" w:lineRule="auto"/>
        <w:tabs>
          <w:tab w:leader="none" w:pos="133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left="-20" w:right="280" w:firstLine="987"/>
        <w:spacing w:after="0" w:line="261" w:lineRule="auto"/>
        <w:tabs>
          <w:tab w:leader="none" w:pos="136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20" w:right="280" w:firstLine="987"/>
        <w:spacing w:after="0" w:line="312" w:lineRule="auto"/>
        <w:tabs>
          <w:tab w:leader="none" w:pos="1361"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Restricted Stock to Company</w:t>
      </w:r>
      <w:r>
        <w:rPr>
          <w:rFonts w:ascii="Times New Roman" w:cs="Times New Roman" w:eastAsia="Times New Roman" w:hAnsi="Times New Roman"/>
          <w:sz w:val="17"/>
          <w:szCs w:val="17"/>
          <w:color w:val="auto"/>
        </w:rPr>
        <w:t>. On the date set forth in the Award Agreement, the Restricted Stock for which restrictions have not lapsed will be cancelled and returned as unissued Shares to the Company and again will become available for grant under the Plan.</w:t>
      </w:r>
    </w:p>
    <w:p>
      <w:pPr>
        <w:spacing w:after="0" w:line="247" w:lineRule="exact"/>
        <w:rPr>
          <w:rFonts w:ascii="Times New Roman" w:cs="Times New Roman" w:eastAsia="Times New Roman" w:hAnsi="Times New Roman"/>
          <w:sz w:val="17"/>
          <w:szCs w:val="17"/>
          <w:color w:val="auto"/>
        </w:rPr>
      </w:pPr>
    </w:p>
    <w:p>
      <w:pPr>
        <w:ind w:left="740" w:hanging="324"/>
        <w:spacing w:after="0"/>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400" w:firstLine="987"/>
        <w:spacing w:after="0" w:line="266" w:lineRule="auto"/>
        <w:tabs>
          <w:tab w:leader="none" w:pos="135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left="-20" w:right="220" w:firstLine="987"/>
        <w:spacing w:after="0" w:line="253" w:lineRule="auto"/>
        <w:tabs>
          <w:tab w:leader="none" w:pos="136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A Restricted Stock Unit Award may vest upon completion of a specified period of service with the Company or an Affiliate and/or based on the achievement of Performance Goals during a Performance Period as set out in advance in the Participant’s Award Agreement. If Restricted Stock Units vest based upon satisfaction of Performance Goals, then the Administrator will: (x) determine the nature, length and starting date of any Performance Period for the Restricted Stock Units; (y) select the Performance Goals to be used to measure the performance; and (z) determine what additional vesting conditions, if any, should apply.</w:t>
      </w:r>
    </w:p>
    <w:p>
      <w:pPr>
        <w:spacing w:after="0" w:line="2" w:lineRule="exact"/>
        <w:rPr>
          <w:rFonts w:ascii="Times New Roman" w:cs="Times New Roman" w:eastAsia="Times New Roman" w:hAnsi="Times New Roman"/>
          <w:sz w:val="18"/>
          <w:szCs w:val="18"/>
          <w:color w:val="auto"/>
        </w:rPr>
      </w:pPr>
    </w:p>
    <w:p>
      <w:pPr>
        <w:ind w:left="-20" w:right="260" w:firstLine="987"/>
        <w:spacing w:after="0" w:line="255" w:lineRule="auto"/>
        <w:tabs>
          <w:tab w:leader="none" w:pos="135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5" w:lineRule="exact"/>
        <w:rPr>
          <w:rFonts w:ascii="Times New Roman" w:cs="Times New Roman" w:eastAsia="Times New Roman" w:hAnsi="Times New Roman"/>
          <w:sz w:val="18"/>
          <w:szCs w:val="18"/>
          <w:color w:val="auto"/>
        </w:rPr>
      </w:pPr>
    </w:p>
    <w:p>
      <w:pPr>
        <w:ind w:left="-20" w:right="440" w:firstLine="987"/>
        <w:spacing w:after="0" w:line="282" w:lineRule="auto"/>
        <w:tabs>
          <w:tab w:leader="none" w:pos="136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Administrator may, in its sole discretion, award dividend equivalents in connection with the grant of Restricted Stock Units that may be settled in cash, in Shares of equivalent value, or in some combination thereof.</w:t>
      </w:r>
    </w:p>
    <w:p>
      <w:pPr>
        <w:spacing w:after="0" w:line="161" w:lineRule="exact"/>
        <w:rPr>
          <w:rFonts w:ascii="Times New Roman" w:cs="Times New Roman" w:eastAsia="Times New Roman" w:hAnsi="Times New Roman"/>
          <w:sz w:val="18"/>
          <w:szCs w:val="18"/>
          <w:color w:val="auto"/>
        </w:rPr>
      </w:pPr>
    </w:p>
    <w:p>
      <w:pPr>
        <w:ind w:left="-20" w:right="320" w:firstLine="987"/>
        <w:spacing w:after="0" w:line="266" w:lineRule="auto"/>
        <w:tabs>
          <w:tab w:leader="none" w:pos="135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175" w:name="page176"/>
    <w:bookmarkEnd w:id="175"/>
    <w:p>
      <w:pPr>
        <w:ind w:right="120" w:firstLine="987"/>
        <w:spacing w:after="0" w:line="282" w:lineRule="auto"/>
        <w:tabs>
          <w:tab w:leader="none" w:pos="135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Cancellation</w:t>
      </w:r>
      <w:r>
        <w:rPr>
          <w:rFonts w:ascii="Times New Roman" w:cs="Times New Roman" w:eastAsia="Times New Roman" w:hAnsi="Times New Roman"/>
          <w:sz w:val="18"/>
          <w:szCs w:val="18"/>
          <w:color w:val="auto"/>
        </w:rPr>
        <w:t>. On the date set forth in the Award Agreement, all Shares underlying any unvested, unlapsed unearned Restricted Stock Units will be forfeited to the Company for future issuance.</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987"/>
        <w:spacing w:after="0" w:line="282" w:lineRule="auto"/>
        <w:tabs>
          <w:tab w:leader="none" w:pos="13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1"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3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 A Stock Appreciation Right may become exercisable upon completion of a specified period of service with the Company or an Affiliate and/or based on the achievement of Performance Goals during a Performance Period as set out in advance in the Participant’s Award Agreement. If a Stock Appreciation Right is exercisable based on the satisfaction of Performance Goals, then the Administrator will: (x) determine the nature, length and starting date of any Performance Period for such Stock Appreciation Right; (y) select the Performance Goals to be used to measure the performance; and (z) determine what additional vesting conditions, if any, should apply.</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3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35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270" w:lineRule="exact"/>
        <w:rPr>
          <w:sz w:val="20"/>
          <w:szCs w:val="20"/>
          <w:color w:val="auto"/>
        </w:rPr>
      </w:pPr>
    </w:p>
    <w:p>
      <w:pPr>
        <w:ind w:left="840" w:hanging="404"/>
        <w:spacing w:after="0"/>
        <w:tabs>
          <w:tab w:leader="none" w:pos="8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Bonus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40" w:firstLine="987"/>
        <w:spacing w:after="0" w:line="282" w:lineRule="auto"/>
        <w:tabs>
          <w:tab w:leader="none" w:pos="13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of Stock Bonuses</w:t>
      </w:r>
      <w:r>
        <w:rPr>
          <w:rFonts w:ascii="Times New Roman" w:cs="Times New Roman" w:eastAsia="Times New Roman" w:hAnsi="Times New Roman"/>
          <w:sz w:val="18"/>
          <w:szCs w:val="18"/>
          <w:color w:val="auto"/>
        </w:rPr>
        <w:t>. A Stock Bonus Award is an award of Shares to an eligible person without a purchase price that is not subject to any restrictions. All Stock Bonus Awards may but are not required to be made pursuant to an Award Agreement.</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38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Stock Bonus Awards</w:t>
      </w:r>
      <w:r>
        <w:rPr>
          <w:rFonts w:ascii="Times New Roman" w:cs="Times New Roman" w:eastAsia="Times New Roman" w:hAnsi="Times New Roman"/>
          <w:sz w:val="18"/>
          <w:szCs w:val="18"/>
          <w:color w:val="auto"/>
        </w:rPr>
        <w:t>. The Administrator will determine the number of Shares to be awarded to the Participant under a Stock Bonus Award.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6" w:name="page177"/>
    <w:bookmarkEnd w:id="176"/>
    <w:p>
      <w:pPr>
        <w:ind w:left="4" w:firstLine="987"/>
        <w:spacing w:after="0" w:line="282" w:lineRule="auto"/>
        <w:tabs>
          <w:tab w:leader="none" w:pos="1375"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Payment to Participant</w:t>
      </w:r>
      <w:r>
        <w:rPr>
          <w:rFonts w:ascii="Times New Roman" w:cs="Times New Roman" w:eastAsia="Times New Roman" w:hAnsi="Times New Roman"/>
          <w:sz w:val="18"/>
          <w:szCs w:val="18"/>
          <w:color w:val="auto"/>
        </w:rPr>
        <w:t>. Payment may be made in the form of cash, whole Shares, or a combination thereof, based on the Fair Market Value of the Shares subject to the Stock Bonus Award on the date of payment, as determined in the sole discretion of the Administrator.</w:t>
      </w:r>
    </w:p>
    <w:p>
      <w:pPr>
        <w:spacing w:after="0" w:line="161"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84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Stock awards granted during a single fiscal year under the Plan or otherwise, taken together with any cash fees paid during such fiscal year for services on the Board, shall not exceed $1,000,000 in total value for any Outside Director serving as the lead director of the Board or chair of the Board and $750,000 in total value for any other Outside Director (calculating the value of any such stock awards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 limitations set forth in this Section 11.</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9" w:lineRule="auto"/>
        <w:tabs>
          <w:tab w:leader="none" w:pos="849"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Absence/Transfer Between Locations</w:t>
      </w:r>
      <w:r>
        <w:rPr>
          <w:rFonts w:ascii="Times New Roman" w:cs="Times New Roman" w:eastAsia="Times New Roman" w:hAnsi="Times New Roman"/>
          <w:sz w:val="17"/>
          <w:szCs w:val="17"/>
          <w:color w:val="auto"/>
        </w:rPr>
        <w:t>. The Administrator shall have the discretion to determine at any time whether and to what extent the vesting of Awards shall be suspended during any leave of absence; provided, however, that in the absence of such determination, vesting of Awards shall continue during any paid leave and shall be suspended during any unpaid leave (unless otherwise required by Applicable Laws). A Participant will not cease to be an Employee in the case of (i) any leave of absence approved by the Participant’s employer or (ii) transfers between locations of the Company or between the Company or any Affiliate. If an Employee is holding an Incentive Stock Option and such leave exceeds three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then, for purposes of Incentive Stock Option status only, such Employee’s service as an Employee shall be deemed terminated on the first</w:t>
      </w:r>
    </w:p>
    <w:p>
      <w:pPr>
        <w:spacing w:after="0" w:line="8"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following such three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85" w:lineRule="exact"/>
        <w:rPr>
          <w:sz w:val="20"/>
          <w:szCs w:val="20"/>
          <w:color w:val="auto"/>
        </w:rPr>
      </w:pPr>
    </w:p>
    <w:p>
      <w:pPr>
        <w:ind w:left="4" w:right="80" w:firstLine="436"/>
        <w:spacing w:after="0" w:line="255" w:lineRule="auto"/>
        <w:tabs>
          <w:tab w:leader="none" w:pos="8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 the Company or any Affiliates is reduced (for example, and without limitation, if the Participant is an Employee of the Company and the Employee has a change in status from full-time to part-time or takes an extended leave of absence) after the date of grant of any Award, the Committee or the Administrator, in that party’s sole discretion, may, subject to Applicable Laws, (x) make a corresponding reduction in the number of Shares or cash amount subject to any portion of such Award that is scheduled to vest or become payable after the date of such change in time commitment, and (y) in lieu of or in combination with such a reduction, extend the vesting schedule applicable to such Award (in accordance with Section 409A of the Code, as applicable). In the event of any such reduction, the Participant will have no right with respect to any portion of the Award that is so amended.</w:t>
      </w:r>
    </w:p>
    <w:p>
      <w:pPr>
        <w:spacing w:after="0" w:line="188"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8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however, that in no event may any Award be transferred for consideration to a third-party financial institution.</w:t>
      </w:r>
    </w:p>
    <w:p>
      <w:pPr>
        <w:spacing w:after="0" w:line="291"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61" w:lineRule="auto"/>
        <w:tabs>
          <w:tab w:leader="none" w:pos="13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Capital Stock or other securities of the Company or other significant corporate transaction, or other change affecting the Capital Stock occurs, the Administrator, in order to prevent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7" w:name="page178"/>
    <w:bookmarkEnd w:id="17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dilution, diminution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Notwithstanding the forgoing, all adjustments under this Section 15 shall be made in a manner that does not result in taxation under Section 409A of the Code.</w:t>
      </w:r>
    </w:p>
    <w:p>
      <w:pPr>
        <w:spacing w:after="0" w:line="180" w:lineRule="exact"/>
        <w:rPr>
          <w:sz w:val="20"/>
          <w:szCs w:val="20"/>
          <w:color w:val="auto"/>
        </w:rPr>
      </w:pPr>
    </w:p>
    <w:p>
      <w:pPr>
        <w:ind w:right="300" w:firstLine="987"/>
        <w:spacing w:after="0" w:line="266" w:lineRule="auto"/>
        <w:tabs>
          <w:tab w:leader="none" w:pos="138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winding up, dissolution or liquidation of the Company, the Administrator will notify each Participant as soon as practicable prior to the effective date of such proposed transaction. To the extent it has not been previously exercised or settled,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37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(i) a transfer of all or substantially all of the Company’s assets, (ii) a merger, consolidation or other capital reorganization or business combination transaction of the Company with or into another corporation, entity or person, (iii) the consummation of a transaction, or series of related transactions, in which any “person” (as such term is used in Sections 13(d) and 14(d) of the Exchange Act) becomes the “beneficial owner” (as defined in Rule 13d-3 of the Exchange Act), directly or indirectly, of more than 50% of the Company’s then outstanding capital stock, or (iv) a Change in Control (each,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other equity awards for such Awards; (D) the cancellation of such Awards in exchange for a payment to the Participants equal to the excess of (1) the Fair Market Value of the Shares subject to such Awards as of the closing date of such Corporate Transaction over (2) the exercise price or purchase price paid or to be paid (if any) for the Shares subject to the Awards; provided, that, if the exercise price or purchase price for such Awards equals or exceeds the Fair Market Value of the Shares subject to such Awards, then the Awards may be terminated without payment. Provided further, that at the discretion of the Administrator, such payment may be subject to the same conditions that apply to the consideration that will be paid to holders of Shares in connection with the transaction; provided, however, that any payout in connection with a terminated award shall comply with Section 409A of the Code to the extent necessary to avoid taxation thereunder; (E)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or (F) the opportunity for Participants to exercise their Options prior to the occurrence of the Corporate Transaction and the termination (for no consideration) upon the consummation of such Corporate Transaction of any Options not exercised prior thereto.</w:t>
      </w:r>
    </w:p>
    <w:p>
      <w:pPr>
        <w:spacing w:after="0" w:line="189" w:lineRule="exact"/>
        <w:rPr>
          <w:rFonts w:ascii="Times New Roman" w:cs="Times New Roman" w:eastAsia="Times New Roman" w:hAnsi="Times New Roman"/>
          <w:sz w:val="18"/>
          <w:szCs w:val="18"/>
          <w:color w:val="auto"/>
        </w:rPr>
      </w:pPr>
    </w:p>
    <w:p>
      <w:pPr>
        <w:ind w:firstLine="987"/>
        <w:spacing w:after="0" w:line="266" w:lineRule="auto"/>
        <w:tabs>
          <w:tab w:leader="none" w:pos="138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An Award may be subject to additional acceleration of vesting and exercisability upon or after a Change in Control as may be provided in the Award Agreement for such Award or as may be provided in any other written agreement between the Company or any Affiliate and the Participant, but in the absence of such provision, no such acceleration will occur.</w:t>
      </w:r>
    </w:p>
    <w:p>
      <w:pPr>
        <w:spacing w:after="0" w:line="283"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37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prior to any time the Award or Shares are subject to taxation or other Tax-Related Items, the Company and/or the Participant’s employer will have the power and the right to deduct or withhold, or require a Participant to remit to the Company, an amount sufficient to satisfy any Tax-Related Items or other items that are required to be withheld or deducted or otherwise applicable with respect to such Award.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78" w:name="page179"/>
    <w:bookmarkEnd w:id="178"/>
    <w:p>
      <w:pPr>
        <w:ind w:right="60" w:firstLine="987"/>
        <w:spacing w:after="0" w:line="254" w:lineRule="auto"/>
        <w:tabs>
          <w:tab w:leader="none" w:pos="138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withholding or deduction obligations or any other Tax-Related Items, in whole or in part by (without limitation) (a) paying cash, (b) electing to have the Company withhold otherwise deliverable cash or Shares, or (c) delivering to the Company already-owned Shares; provided that, unless specifically permitted by the Company,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the Company deems to be reasonable and in accordance with Applicable Laws.</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37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The Plan and each Award Agreement under the Plan is intended to meet the requirements of Section 409A of the Code (or an exemption therefrom) and will be construed and interpreted in accordance with such intent, except as otherwise determined in the sole discretion of the Administrator. To the extent that an Award or payment, or the settlement or deferral thereof, is subject to Section 409A of the Code the Award will be granted, paid, settled or deferred in a manner that will meet the requirements of Section 409A of the Code (or an exemption therefrom), such that the grant, payment, settlement or deferral will not be subject to the additional tax or interest applicable under Section 409A of the Code. In no event will the Company be responsible for or reimburse a Participant for any taxes or other penalties incurred as a result of applicable of Section 409A of the Code.</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8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any Affiliate, nor will they interfere in any way with the Participant’s right or the Company’s or any Affiliate’s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8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right="120" w:firstLine="436"/>
        <w:spacing w:after="0" w:line="281" w:lineRule="auto"/>
        <w:tabs>
          <w:tab w:leader="none" w:pos="84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Records Control</w:t>
      </w:r>
      <w:r>
        <w:rPr>
          <w:rFonts w:ascii="Times New Roman" w:cs="Times New Roman" w:eastAsia="Times New Roman" w:hAnsi="Times New Roman"/>
          <w:sz w:val="17"/>
          <w:szCs w:val="17"/>
          <w:color w:val="auto"/>
        </w:rPr>
        <w: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64" w:lineRule="exact"/>
        <w:rPr>
          <w:rFonts w:ascii="Times New Roman" w:cs="Times New Roman" w:eastAsia="Times New Roman" w:hAnsi="Times New Roman"/>
          <w:sz w:val="17"/>
          <w:szCs w:val="17"/>
          <w:color w:val="auto"/>
        </w:rPr>
      </w:pPr>
    </w:p>
    <w:p>
      <w:pPr>
        <w:ind w:firstLine="436"/>
        <w:spacing w:after="0" w:line="255" w:lineRule="auto"/>
        <w:tabs>
          <w:tab w:leader="none" w:pos="8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Clawback/Recovery</w:t>
      </w:r>
      <w:r>
        <w:rPr>
          <w:rFonts w:ascii="Times New Roman" w:cs="Times New Roman" w:eastAsia="Times New Roman" w:hAnsi="Times New Roman"/>
          <w:sz w:val="18"/>
          <w:szCs w:val="18"/>
          <w:color w:val="auto"/>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Administrator may require a Participant to forfeit or return to and/or reimburse the Company for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79" w:name="page180"/>
    <w:bookmarkEnd w:id="179"/>
    <w:p>
      <w:pPr>
        <w:ind w:left="-20" w:firstLine="436"/>
        <w:spacing w:after="0" w:line="266" w:lineRule="auto"/>
        <w:tabs>
          <w:tab w:leader="none" w:pos="8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of Plan</w:t>
      </w:r>
      <w:r>
        <w:rPr>
          <w:rFonts w:ascii="Times New Roman" w:cs="Times New Roman" w:eastAsia="Times New Roman" w:hAnsi="Times New Roman"/>
          <w:sz w:val="18"/>
          <w:szCs w:val="18"/>
          <w:color w:val="auto"/>
        </w:rPr>
        <w:t>. Subject to Section 25 of the Plan, the Plan will become effective as of the Effective Date. The Plan will continue in effect for a term of ten (10) years measured from the earlier of the date the Board approves this Plan or the approval of this Plan by the Company’s stockholders, unless terminated earlier under Section 22 of the Plan.</w:t>
      </w:r>
    </w:p>
    <w:p>
      <w:pPr>
        <w:spacing w:after="0" w:line="283"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36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20" w:right="320" w:firstLine="987"/>
        <w:spacing w:after="0" w:line="261" w:lineRule="auto"/>
        <w:tabs>
          <w:tab w:leader="none" w:pos="135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87"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280" w:firstLine="987"/>
        <w:spacing w:after="0" w:line="266" w:lineRule="auto"/>
        <w:tabs>
          <w:tab w:leader="none" w:pos="135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or vesting (as applicable) of an Award unless the exercise or vesting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36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8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5" w:lineRule="exact"/>
        <w:rPr>
          <w:rFonts w:ascii="Times New Roman" w:cs="Times New Roman" w:eastAsia="Times New Roman" w:hAnsi="Times New Roman"/>
          <w:sz w:val="18"/>
          <w:szCs w:val="18"/>
          <w:color w:val="auto"/>
        </w:rPr>
      </w:pPr>
    </w:p>
    <w:p>
      <w:pPr>
        <w:ind w:left="-20" w:firstLine="436"/>
        <w:spacing w:after="0" w:line="282" w:lineRule="auto"/>
        <w:tabs>
          <w:tab w:leader="none" w:pos="8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20" w:right="700" w:firstLine="436"/>
        <w:spacing w:after="0" w:line="282" w:lineRule="auto"/>
        <w:tabs>
          <w:tab w:leader="none" w:pos="8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hereunder shall be construed in accordance with and governed by the laws of the State of Delaware, but without regard to its conflict of law provisions.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 O 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180" w:name="page181"/>
    <w:bookmarkEnd w:id="18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have been granted an Option to purchase Common Stock, subject to the terms and conditions of this Notice of Stock Option Grant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attached Stock Option Agreement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the Country-Specific Addendum,] the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as set forth below. Unless otherwise defined herein, the terms used in this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 shall have the meanings defined in the Plan.</w:t>
      </w:r>
    </w:p>
    <w:p>
      <w:pPr>
        <w:sectPr>
          <w:pgSz w:w="11900" w:h="16838" w:orient="portrait"/>
          <w:cols w:equalWidth="0" w:num="1">
            <w:col w:w="10860"/>
          </w:cols>
          <w:pgMar w:left="440" w:top="266" w:right="599" w:bottom="1440" w:gutter="0" w:footer="0" w:header="0"/>
        </w:sect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8"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2640" w:space="34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PRICE]</w:t>
      </w:r>
    </w:p>
    <w:p>
      <w:pPr>
        <w:spacing w:after="0" w:line="128"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9"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PRICE]</w:t>
      </w:r>
    </w:p>
    <w:p>
      <w:pPr>
        <w:spacing w:after="0" w:line="129"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TYPE]</w:t>
      </w:r>
    </w:p>
    <w:p>
      <w:pPr>
        <w:spacing w:after="0" w:line="129"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Term/Expiration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2260" w:space="720"/>
            <w:col w:w="788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ectPr>
          <w:pgSz w:w="11900" w:h="16838" w:orient="portrait"/>
          <w:cols w:equalWidth="0" w:num="1">
            <w:col w:w="10860"/>
          </w:cols>
          <w:pgMar w:left="440" w:top="266" w:right="599" w:bottom="1440" w:gutter="0" w:footer="0" w:header="0"/>
          <w:type w:val="continuous"/>
        </w:sect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Subject to Section 2 of the Award Agreement, this Option may be exercised, in whole or in part, in accordance with the following schedule: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34" w:lineRule="exact"/>
        <w:rPr>
          <w:sz w:val="20"/>
          <w:szCs w:val="20"/>
          <w:color w:val="auto"/>
        </w:rPr>
      </w:pPr>
    </w:p>
    <w:p>
      <w:pPr>
        <w:ind w:left="440"/>
        <w:spacing w:after="0"/>
        <w:tabs>
          <w:tab w:leader="none" w:pos="2960" w:val="left"/>
        </w:tabs>
        <w:rPr>
          <w:sz w:val="20"/>
          <w:szCs w:val="20"/>
          <w:color w:val="auto"/>
        </w:rPr>
      </w:pPr>
      <w:r>
        <w:rPr>
          <w:rFonts w:ascii="Times New Roman" w:cs="Times New Roman" w:eastAsia="Times New Roman" w:hAnsi="Times New Roman"/>
          <w:sz w:val="18"/>
          <w:szCs w:val="18"/>
          <w:color w:val="auto"/>
        </w:rPr>
        <w:t>Termination Period:</w:t>
      </w:r>
      <w:r>
        <w:rPr>
          <w:sz w:val="20"/>
          <w:szCs w:val="20"/>
          <w:color w:val="auto"/>
        </w:rPr>
        <w:tab/>
      </w:r>
      <w:r>
        <w:rPr>
          <w:rFonts w:ascii="Times New Roman" w:cs="Times New Roman" w:eastAsia="Times New Roman" w:hAnsi="Times New Roman"/>
          <w:sz w:val="17"/>
          <w:szCs w:val="17"/>
          <w:color w:val="auto"/>
        </w:rPr>
        <w:t>[INSERT TERMINATION PERIOD]</w:t>
      </w:r>
    </w:p>
    <w:p>
      <w:pPr>
        <w:sectPr>
          <w:pgSz w:w="11900" w:h="16838" w:orient="portrait"/>
          <w:cols w:equalWidth="0" w:num="1">
            <w:col w:w="10860"/>
          </w:cols>
          <w:pgMar w:left="440" w:top="266" w:right="599" w:bottom="1440" w:gutter="0" w:footer="0" w:header="0"/>
          <w:type w:val="continuous"/>
        </w:sectPr>
      </w:pPr>
    </w:p>
    <w:bookmarkStart w:id="181" w:name="page182"/>
    <w:bookmarkEnd w:id="1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accepting this Option (whether electronically or otherwise), Participant acknowledges and agrees to the following:</w:t>
      </w:r>
    </w:p>
    <w:p>
      <w:pPr>
        <w:spacing w:after="0" w:line="117" w:lineRule="exact"/>
        <w:rPr>
          <w:sz w:val="20"/>
          <w:szCs w:val="20"/>
          <w:color w:val="auto"/>
        </w:rPr>
      </w:pPr>
    </w:p>
    <w:p>
      <w:pPr>
        <w:ind w:right="160" w:firstLine="436"/>
        <w:spacing w:after="0" w:line="266"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Option and the Plan.</w:t>
      </w:r>
    </w:p>
    <w:p>
      <w:pPr>
        <w:spacing w:after="0" w:line="67" w:lineRule="exact"/>
        <w:rPr>
          <w:rFonts w:ascii="Times New Roman" w:cs="Times New Roman" w:eastAsia="Times New Roman" w:hAnsi="Times New Roman"/>
          <w:sz w:val="18"/>
          <w:szCs w:val="18"/>
          <w:color w:val="auto"/>
        </w:rPr>
      </w:pPr>
    </w:p>
    <w:p>
      <w:pPr>
        <w:ind w:right="600" w:firstLine="436"/>
        <w:spacing w:after="0" w:line="282"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Option is subject to Participant’s continuous status as a Service Provider, which is for an unspecified duration and may be terminated at any time, with or without Cause, and nothing in the Award Agreement or the Plan changes the nature of that relationship.</w:t>
      </w:r>
    </w:p>
    <w:p>
      <w:pPr>
        <w:spacing w:after="0" w:line="5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consents to electronic delivery and participation as set forth in the Plan and the Award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0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CLOVER HEALTH INVESTMENTS, CORP.</w:t>
            </w:r>
          </w:p>
        </w:tc>
      </w:tr>
      <w:tr>
        <w:trPr>
          <w:trHeight w:val="432"/>
        </w:trPr>
        <w:tc>
          <w:tcPr>
            <w:tcW w:w="49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9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4960" w:type="dxa"/>
            <w:vAlign w:val="bottom"/>
          </w:tcPr>
          <w:p>
            <w:pPr>
              <w:spacing w:after="0"/>
              <w:rPr>
                <w:sz w:val="24"/>
                <w:szCs w:val="24"/>
                <w:color w:val="auto"/>
              </w:rPr>
            </w:pPr>
          </w:p>
        </w:tc>
        <w:tc>
          <w:tcPr>
            <w:tcW w:w="6060" w:type="dxa"/>
            <w:vAlign w:val="bottom"/>
            <w:gridSpan w:val="2"/>
          </w:tcPr>
          <w:p>
            <w:pPr>
              <w:spacing w:after="0"/>
              <w:rPr>
                <w:sz w:val="24"/>
                <w:szCs w:val="24"/>
                <w:color w:val="auto"/>
              </w:rPr>
            </w:pP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98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60"/>
        </w:trPr>
        <w:tc>
          <w:tcPr>
            <w:tcW w:w="496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ind w:right="20" w:firstLine="436"/>
        <w:spacing w:after="0" w:line="257"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individual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named in the Notice of Stock Option Grant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under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in the Notice of Grant, at the exercise price per Share set forth in the Notice of Grant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set forth in the Notice of Grant, this Stock Option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which is incorporated herein by reference. [If there is a conflict between the terms and conditions of the Plan and the terms and conditions of this Award Agreement, the terms and conditions of the Plan will prevail.]</w:t>
      </w:r>
    </w:p>
    <w:p>
      <w:pPr>
        <w:spacing w:after="0" w:line="18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If designated in the Notice of Grant as an Incentive Stock Option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this Option is intended to qualify as an ISO to the maximum extent permitted under Section 422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However, if this Option is intended to be an ISO, to the extent that it exceeds the USD $100,000 rule of Code Section 422(d) it will be treated as a Nonstatutory Stock Option (“</w:t>
      </w:r>
      <w:r>
        <w:rPr>
          <w:rFonts w:ascii="Times New Roman" w:cs="Times New Roman" w:eastAsia="Times New Roman" w:hAnsi="Times New Roman"/>
          <w:sz w:val="18"/>
          <w:szCs w:val="18"/>
          <w:b w:val="1"/>
          <w:bCs w:val="1"/>
          <w:i w:val="1"/>
          <w:iCs w:val="1"/>
          <w:color w:val="auto"/>
        </w:rPr>
        <w:t>NSO</w:t>
      </w:r>
      <w:r>
        <w:rPr>
          <w:rFonts w:ascii="Times New Roman" w:cs="Times New Roman" w:eastAsia="Times New Roman" w:hAnsi="Times New Roman"/>
          <w:sz w:val="18"/>
          <w:szCs w:val="18"/>
          <w:color w:val="auto"/>
        </w:rPr>
        <w:t>”). Further, if for any reason this Option (or portion thereof) will not qualify as an ISO, then, to the extent of such non- qualification, such Option (or portion thereof) shall be regarded as an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79" w:lineRule="exact"/>
        <w:rPr>
          <w:sz w:val="20"/>
          <w:szCs w:val="20"/>
          <w:color w:val="auto"/>
        </w:rPr>
      </w:pPr>
    </w:p>
    <w:p>
      <w:pPr>
        <w:ind w:right="20" w:firstLine="436"/>
        <w:spacing w:after="0" w:line="273" w:lineRule="auto"/>
        <w:tabs>
          <w:tab w:leader="none" w:pos="6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Except as provided in Section 3, the Option awarded by this Award Agreement will vest in accordance with the vesting provisions set forth in the Notice of Grant. Options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Status as a Service Provider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63"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forth in the Notice of Grant and may be exercised during such term only in accordance with the Plan and the terms of this Award Agreement.</w:t>
      </w:r>
    </w:p>
    <w:p>
      <w:pPr>
        <w:spacing w:after="0" w:line="49" w:lineRule="exact"/>
        <w:rPr>
          <w:rFonts w:ascii="Times New Roman" w:cs="Times New Roman" w:eastAsia="Times New Roman" w:hAnsi="Times New Roman"/>
          <w:sz w:val="18"/>
          <w:szCs w:val="18"/>
          <w:color w:val="auto"/>
        </w:rPr>
      </w:pPr>
    </w:p>
    <w:p>
      <w:pPr>
        <w:ind w:right="100" w:firstLine="987"/>
        <w:spacing w:after="0" w:line="259" w:lineRule="auto"/>
        <w:tabs>
          <w:tab w:leader="none" w:pos="124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or in a manner and pursuant to such procedures as the Administrator may determine, which will state the election to exercise the Option,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in respect of which the Option is being exercised (the “</w:t>
      </w:r>
      <w:r>
        <w:rPr>
          <w:rFonts w:ascii="Times New Roman" w:cs="Times New Roman" w:eastAsia="Times New Roman" w:hAnsi="Times New Roman"/>
          <w:sz w:val="18"/>
          <w:szCs w:val="18"/>
          <w:b w:val="1"/>
          <w:bCs w:val="1"/>
          <w:i w:val="1"/>
          <w:iCs w:val="1"/>
          <w:color w:val="auto"/>
        </w:rPr>
        <w:t>Exercised Shares</w:t>
      </w:r>
      <w:r>
        <w:rPr>
          <w:rFonts w:ascii="Times New Roman" w:cs="Times New Roman" w:eastAsia="Times New Roman" w:hAnsi="Times New Roman"/>
          <w:sz w:val="18"/>
          <w:szCs w:val="18"/>
          <w:color w:val="auto"/>
        </w:rPr>
        <w:t>”),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83" w:name="page184"/>
    <w:bookmarkEnd w:id="18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all Exercised Shares together with any Tax-Related Items (as defined below) required to be withheld, paid or provided pursuant to any Applicable Laws. This Option will be deemed to be exercised upon receipt by the Company of such fully executed Exercise Notice accompanied by such aggregate Exercise Price and any other requirements or restrictions that may be imposed by the Company to comply with Applicable Laws or facilitate administration of the Plan. Notwithstanding the above, Participant understands that the Applicable Laws of the country in which Participant is residing or working at the time of grant, vesting, and/or exercise of this Option (including any rules or regulations governing securities, foreign exchange, tax, labor or other matters) may restrict or prevent exercise of this Option, and neither the Company nor any Parent or Subsidiary assumes any liability in relation to this Option in such case.</w:t>
      </w:r>
    </w:p>
    <w:p>
      <w:pPr>
        <w:spacing w:after="0" w:line="81" w:lineRule="exact"/>
        <w:rPr>
          <w:sz w:val="20"/>
          <w:szCs w:val="20"/>
          <w:color w:val="auto"/>
        </w:rPr>
      </w:pPr>
    </w:p>
    <w:p>
      <w:pPr>
        <w:ind w:right="520" w:firstLine="436"/>
        <w:spacing w:after="0" w:line="282" w:lineRule="auto"/>
        <w:tabs>
          <w:tab w:leader="none" w:pos="6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 unless otherwise specified by the Company in its sole discretion: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 dollars);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(denominated in U.S. dollars)[;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98"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subject to Section 16 of the Exchange Act, Participant may direct the Company to withhold Shares to be issued upon exercise of the Option to pay the aggregate Exercise Price.]</w:t>
      </w:r>
    </w:p>
    <w:p>
      <w:pPr>
        <w:spacing w:after="0" w:line="54"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Participant understands and agrees that, unless otherwise permitted by the Company, any cross-border remittance made to exercise this Option or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68" w:lineRule="exact"/>
        <w:rPr>
          <w:sz w:val="20"/>
          <w:szCs w:val="20"/>
          <w:color w:val="auto"/>
        </w:rPr>
      </w:pPr>
    </w:p>
    <w:p>
      <w:pPr>
        <w:ind w:left="620" w:hanging="184"/>
        <w:spacing w:after="0"/>
        <w:tabs>
          <w:tab w:leader="none" w:pos="6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11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or otherwise in connection with this Option or the Shares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this Option or any Tax-Related Items (other than filings or documentation that is the specific obligation of the Company, an Affiliate or Employer pursuant to Applicable Laws) such as but not limited to personal income tax returns or reporting statements in relation to the grant, vesting or exercise of this Option,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Option, including the grant, vesting, or exercise of the Option, the subsequent sale of Shares acquired under the Plan and the receipt of dividends,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84" w:name="page185"/>
    <w:bookmarkEnd w:id="184"/>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and (b) does not commit to and is under no obligation to structure the terms of the Option or any aspect of the Option to reduce or eliminate Participant’s liability for Tax-Related Items, or achieve any particular tax result. Participant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81" w:lineRule="exact"/>
        <w:rPr>
          <w:sz w:val="20"/>
          <w:szCs w:val="20"/>
          <w:color w:val="auto"/>
        </w:rPr>
      </w:pPr>
    </w:p>
    <w:p>
      <w:pPr>
        <w:ind w:right="100" w:firstLine="987"/>
        <w:spacing w:after="0" w:line="255" w:lineRule="auto"/>
        <w:tabs>
          <w:tab w:leader="none" w:pos="12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Tax-Related Items</w:t>
      </w:r>
      <w:r>
        <w:rPr>
          <w:rFonts w:ascii="Times New Roman" w:cs="Times New Roman" w:eastAsia="Times New Roman" w:hAnsi="Times New Roman"/>
          <w:sz w:val="18"/>
          <w:szCs w:val="18"/>
          <w:color w:val="auto"/>
        </w:rPr>
        <w:t>. As a condition to the grant, vesting and exercise of this Option and as set forth in Section 16 of the Plan, Participant hereby agrees to make adequate provision for the satisfaction of (and will indemnify the Company and any Affiliate for) any Tax-Related Items. No payment will be made to Participant (or his or her estate or beneficiary) related to an Option, and no Shares will be issued pursuant to an Option, unless and until satisfactory arrangements (as determined by the Company) have been made by Participant with respect to the payment of any Tax-Related Items obligations of the Company and/or any Parent, Subsidiary, or Employer with respect to the grant, vesting or exercise of the Option. [In this regard, Participant authorizes the Company and/or any Affiliate or Employer, or their respective agents, at their discretion, to satisfy the obligations with regard to all Tax-Related Items by one or a combination of the following:</w:t>
      </w:r>
    </w:p>
    <w:p>
      <w:pPr>
        <w:spacing w:after="0" w:line="80"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wages or other cash compensation paid to Participant by the Company or the Employer[; or</w:t>
      </w:r>
    </w:p>
    <w:p>
      <w:pPr>
        <w:spacing w:after="0" w:line="117" w:lineRule="exact"/>
        <w:rPr>
          <w:rFonts w:ascii="Times New Roman" w:cs="Times New Roman" w:eastAsia="Times New Roman" w:hAnsi="Times New Roman"/>
          <w:sz w:val="18"/>
          <w:szCs w:val="18"/>
          <w:color w:val="auto"/>
        </w:rPr>
      </w:pPr>
    </w:p>
    <w:p>
      <w:pPr>
        <w:ind w:right="60" w:firstLine="1428"/>
        <w:spacing w:after="0" w:line="282" w:lineRule="auto"/>
        <w:tabs>
          <w:tab w:leader="none" w:pos="169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in Shares to be issued upon exercise of the Option].]</w:t>
      </w:r>
    </w:p>
    <w:p>
      <w:pPr>
        <w:spacing w:after="0" w:line="117"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Participant is subject to Section 16 of the Exchange Act, Participant may direct the Company to withhold Shares to be issued upon exercise of the Option to satisfy Participant’s obligations with regard to all Tax-Related Items.]</w:t>
      </w:r>
    </w:p>
    <w:p>
      <w:pPr>
        <w:spacing w:after="0" w:line="5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Shares, the Participant is deemed to have been issued the full number of Shares purchased for tax purposes, notwithstanding that a number of Shares is held back solely for the purpose of paying the Tax- Related Items due as a result of the Participant’s participation in the Plan. Participant shall pay to the Company or a Parent, Subsidiary, or Employer any amount of Tax-Related Items that the Company may be required to withhold, pay or otherwise provide for as a result of Participant’s participation in the Plan that cannot be satisfied by one or more of the means previously described in this Section 5.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81" w:lineRule="exact"/>
        <w:rPr>
          <w:sz w:val="20"/>
          <w:szCs w:val="20"/>
          <w:color w:val="auto"/>
        </w:rPr>
      </w:pPr>
    </w:p>
    <w:p>
      <w:pPr>
        <w:ind w:right="40" w:firstLine="987"/>
        <w:spacing w:after="0" w:line="266"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5" w:name="page186"/>
    <w:bookmarkEnd w:id="185"/>
    <w:p>
      <w:pPr>
        <w:ind w:firstLine="987"/>
        <w:spacing w:after="0" w:line="272" w:lineRule="auto"/>
        <w:tabs>
          <w:tab w:leader="none" w:pos="1246"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Code Section 409A (Applicable Only to Participants Subject to U.S. Taxes)</w:t>
      </w:r>
      <w:r>
        <w:rPr>
          <w:rFonts w:ascii="Times New Roman" w:cs="Times New Roman" w:eastAsia="Times New Roman" w:hAnsi="Times New Roman"/>
          <w:sz w:val="17"/>
          <w:szCs w:val="17"/>
          <w:color w:val="auto"/>
        </w:rPr>
        <w:t>. Under Code Section 409A, an option that is granted with a per Share exercise price that is determined by the Internal Revenue Service (the “</w:t>
      </w:r>
      <w:r>
        <w:rPr>
          <w:rFonts w:ascii="Times New Roman" w:cs="Times New Roman" w:eastAsia="Times New Roman" w:hAnsi="Times New Roman"/>
          <w:sz w:val="17"/>
          <w:szCs w:val="17"/>
          <w:b w:val="1"/>
          <w:bCs w:val="1"/>
          <w:i w:val="1"/>
          <w:iCs w:val="1"/>
          <w:color w:val="auto"/>
        </w:rPr>
        <w:t>IRS</w:t>
      </w:r>
      <w:r>
        <w:rPr>
          <w:rFonts w:ascii="Times New Roman" w:cs="Times New Roman" w:eastAsia="Times New Roman" w:hAnsi="Times New Roman"/>
          <w:sz w:val="17"/>
          <w:szCs w:val="17"/>
          <w:color w:val="auto"/>
        </w:rPr>
        <w:t>”) to be less than the Fair Market Value of a Share on the date of grant (a “</w:t>
      </w:r>
      <w:r>
        <w:rPr>
          <w:rFonts w:ascii="Times New Roman" w:cs="Times New Roman" w:eastAsia="Times New Roman" w:hAnsi="Times New Roman"/>
          <w:sz w:val="17"/>
          <w:szCs w:val="17"/>
          <w:b w:val="1"/>
          <w:bCs w:val="1"/>
          <w:i w:val="1"/>
          <w:iCs w:val="1"/>
          <w:color w:val="auto"/>
        </w:rPr>
        <w:t>Discount Option</w:t>
      </w:r>
      <w:r>
        <w:rPr>
          <w:rFonts w:ascii="Times New Roman" w:cs="Times New Roman" w:eastAsia="Times New Roman" w:hAnsi="Times New Roman"/>
          <w:sz w:val="17"/>
          <w:szCs w:val="17"/>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63" w:lineRule="exact"/>
        <w:rPr>
          <w:rFonts w:ascii="Times New Roman" w:cs="Times New Roman" w:eastAsia="Times New Roman" w:hAnsi="Times New Roman"/>
          <w:sz w:val="17"/>
          <w:szCs w:val="17"/>
          <w:color w:val="auto"/>
        </w:rPr>
      </w:pPr>
    </w:p>
    <w:p>
      <w:pPr>
        <w:ind w:right="60" w:firstLine="436"/>
        <w:spacing w:after="0" w:line="258" w:lineRule="auto"/>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75" w:lineRule="exact"/>
        <w:rPr>
          <w:rFonts w:ascii="Times New Roman" w:cs="Times New Roman" w:eastAsia="Times New Roman" w:hAnsi="Times New Roman"/>
          <w:sz w:val="18"/>
          <w:szCs w:val="18"/>
          <w:color w:val="auto"/>
        </w:rPr>
      </w:pPr>
    </w:p>
    <w:p>
      <w:pPr>
        <w:ind w:right="20" w:firstLine="436"/>
        <w:spacing w:after="0" w:line="254" w:lineRule="auto"/>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SHARES PURSUANT TO THE VESTING SCHEDULE HEREOF SHALL OCCUR ONLY BY CONTINUING AS A SERVICE PROVIDER AT THE WILL OF THE EMPLOYER OR CONTRACTING ENTITY (AS APPLICABLE)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117"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w:t>
      </w:r>
    </w:p>
    <w:p>
      <w:pPr>
        <w:spacing w:after="0" w:line="53"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of Options, if any, will be at the sole discretion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86" w:name="page187"/>
    <w:bookmarkEnd w:id="186"/>
    <w:p>
      <w:pPr>
        <w:ind w:left="1220" w:hanging="253"/>
        <w:spacing w:after="0"/>
        <w:tabs>
          <w:tab w:leader="none" w:pos="12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Participant’s participation in the Plan is voluntary;</w:t>
      </w:r>
    </w:p>
    <w:p>
      <w:pPr>
        <w:spacing w:after="0" w:line="117" w:lineRule="exact"/>
        <w:rPr>
          <w:rFonts w:ascii="Times New Roman" w:cs="Times New Roman" w:eastAsia="Times New Roman" w:hAnsi="Times New Roman"/>
          <w:sz w:val="18"/>
          <w:szCs w:val="18"/>
          <w:color w:val="auto"/>
        </w:rPr>
      </w:pPr>
    </w:p>
    <w:p>
      <w:pPr>
        <w:ind w:left="-20" w:right="600" w:firstLine="987"/>
        <w:spacing w:after="0" w:line="282" w:lineRule="auto"/>
        <w:tabs>
          <w:tab w:leader="none" w:pos="121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extraordinary items that do not constitute regular compensation for services rendered to the Company or the Employer, and that are outside the scope of Participant’s employment contract, if any;</w:t>
      </w:r>
    </w:p>
    <w:p>
      <w:pPr>
        <w:spacing w:after="0" w:line="53"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intended to replace any pension rights or compensation;</w:t>
      </w:r>
    </w:p>
    <w:p>
      <w:pPr>
        <w:spacing w:after="0" w:line="117"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2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71"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53" w:lineRule="exact"/>
        <w:rPr>
          <w:rFonts w:ascii="Times New Roman" w:cs="Times New Roman" w:eastAsia="Times New Roman" w:hAnsi="Times New Roman"/>
          <w:sz w:val="18"/>
          <w:szCs w:val="18"/>
          <w:color w:val="auto"/>
        </w:rPr>
      </w:pPr>
    </w:p>
    <w:p>
      <w:pPr>
        <w:ind w:left="-20" w:right="320" w:firstLine="987"/>
        <w:spacing w:after="0" w:line="266" w:lineRule="auto"/>
        <w:tabs>
          <w:tab w:leader="none" w:pos="118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67"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the Option, no claim or entitlement to compensation or damages shall arise from forfeiture of the Option resulting from termination of employment by the Employer (for any reason whatsoever and whether or not in breach of Applicable Laws, including, without limitation, applicable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75" w:lineRule="exact"/>
        <w:rPr>
          <w:rFonts w:ascii="Times New Roman" w:cs="Times New Roman" w:eastAsia="Times New Roman" w:hAnsi="Times New Roman"/>
          <w:sz w:val="18"/>
          <w:szCs w:val="18"/>
          <w:color w:val="auto"/>
        </w:rPr>
      </w:pPr>
    </w:p>
    <w:p>
      <w:pPr>
        <w:ind w:left="-20" w:right="60" w:firstLine="987"/>
        <w:spacing w:after="0" w:line="282" w:lineRule="auto"/>
        <w:tabs>
          <w:tab w:leader="none" w:pos="12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benefits under the Plan, if any, will not automatically transfer to another company in the case of a merger, take-over or transfer of liability.</w:t>
      </w:r>
    </w:p>
    <w:p>
      <w:pPr>
        <w:spacing w:after="0" w:line="53"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20" w:right="140" w:firstLine="436"/>
        <w:spacing w:after="0" w:line="259" w:lineRule="auto"/>
        <w:tabs>
          <w:tab w:leader="none" w:pos="690" w:val="left"/>
        </w:tabs>
        <w:numPr>
          <w:ilvl w:val="0"/>
          <w:numId w:val="1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Option.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187" w:name="page188"/>
    <w:bookmarkEnd w:id="187"/>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Personal Data</w:t>
      </w:r>
      <w:r>
        <w:rPr>
          <w:rFonts w:ascii="Times New Roman" w:cs="Times New Roman" w:eastAsia="Times New Roman" w:hAnsi="Times New Roman"/>
          <w:sz w:val="18"/>
          <w:szCs w:val="18"/>
          <w:b w:val="1"/>
          <w:bCs w:val="1"/>
          <w:i w:val="1"/>
          <w:iCs w:val="1"/>
          <w:color w:val="auto"/>
        </w:rPr>
        <w:t>”).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88"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51" w:lineRule="exact"/>
        <w:rPr>
          <w:sz w:val="20"/>
          <w:szCs w:val="20"/>
          <w:color w:val="auto"/>
        </w:rPr>
      </w:pPr>
    </w:p>
    <w:p>
      <w:pPr>
        <w:ind w:right="140" w:firstLine="436"/>
        <w:spacing w:after="0" w:line="266" w:lineRule="auto"/>
        <w:tabs>
          <w:tab w:leader="none" w:pos="70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Secretary at Clover Health Investments, Corp., 725 Cool Springs Blvd, Suite 300, Franklin, Tennessee 37067,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right="740" w:firstLine="436"/>
        <w:spacing w:after="0" w:line="282"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53" w:lineRule="exact"/>
        <w:rPr>
          <w:rFonts w:ascii="Times New Roman" w:cs="Times New Roman" w:eastAsia="Times New Roman" w:hAnsi="Times New Roman"/>
          <w:sz w:val="18"/>
          <w:szCs w:val="18"/>
          <w:color w:val="auto"/>
        </w:rPr>
      </w:pPr>
    </w:p>
    <w:p>
      <w:pPr>
        <w:ind w:right="380" w:firstLine="436"/>
        <w:spacing w:after="0" w:line="282"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Option contained herein, this Award Agreement will be binding upon and inure to the benefit of the heirs, legatees, legal representatives, successors and assigns of the parties hereto.</w:t>
      </w:r>
    </w:p>
    <w:p>
      <w:pPr>
        <w:spacing w:after="0" w:line="53"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grant or vesting of the Option or purchase by, or issuance of Shares to, Participant (or his or her estate) hereunder, such purchase or issuance will not occur unless and until such listing, registration, qualification, compliance, consent or approval will have been completed, effected or obtained free of any conditions not acceptable to the Company. The Company will make all reasonable efforts to meet the requirements of any Applicable Laws. Assuming such compliance, for purposes of the Tax-Related Items,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Applicable Laws.</w:t>
      </w:r>
    </w:p>
    <w:p>
      <w:pPr>
        <w:spacing w:after="0" w:line="80"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xml:space="preserve">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in the Notice of Grant will have the meaning set forth in the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88" w:name="page189"/>
    <w:bookmarkEnd w:id="188"/>
    <w:p>
      <w:pPr>
        <w:ind w:right="120" w:firstLine="436"/>
        <w:spacing w:after="0" w:line="256"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80" w:firstLine="436"/>
        <w:spacing w:after="0" w:line="255"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By accepting this Option,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spacing w:after="0" w:line="80"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on the Option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Exercised Shares shall be subject to any special terms and conditions or disclosures as set forth in the Company’s bylaws, including any restrictions on the disposition of Shares acquired under the Plan [and any addendum for Participant’s country (the “</w:t>
      </w:r>
      <w:r>
        <w:rPr>
          <w:rFonts w:ascii="Times New Roman" w:cs="Times New Roman" w:eastAsia="Times New Roman" w:hAnsi="Times New Roman"/>
          <w:sz w:val="18"/>
          <w:szCs w:val="18"/>
          <w:b w:val="1"/>
          <w:bCs w:val="1"/>
          <w:i w:val="1"/>
          <w:iCs w:val="1"/>
          <w:color w:val="auto"/>
        </w:rPr>
        <w:t>Country-Specific Addendum</w:t>
      </w:r>
      <w:r>
        <w:rPr>
          <w:rFonts w:ascii="Times New Roman" w:cs="Times New Roman" w:eastAsia="Times New Roman" w:hAnsi="Times New Roman"/>
          <w:sz w:val="18"/>
          <w:szCs w:val="18"/>
          <w:color w:val="auto"/>
        </w:rPr>
        <w:t>,”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spacing w:after="0" w:line="79"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9" w:name="page190"/>
    <w:bookmarkEnd w:id="189"/>
    <w:p>
      <w:pPr>
        <w:ind w:left="-436" w:right="180" w:firstLine="436"/>
        <w:spacing w:after="0" w:line="274" w:lineRule="auto"/>
        <w:tabs>
          <w:tab w:leader="none" w:pos="27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Modifications to the Award Agreement</w:t>
      </w:r>
      <w:r>
        <w:rPr>
          <w:rFonts w:ascii="Times New Roman" w:cs="Times New Roman" w:eastAsia="Times New Roman" w:hAnsi="Times New Roman"/>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Option.</w:t>
      </w:r>
    </w:p>
    <w:p>
      <w:pPr>
        <w:spacing w:after="0" w:line="64" w:lineRule="exact"/>
        <w:rPr>
          <w:rFonts w:ascii="Times New Roman" w:cs="Times New Roman" w:eastAsia="Times New Roman" w:hAnsi="Times New Roman"/>
          <w:sz w:val="17"/>
          <w:szCs w:val="17"/>
          <w:color w:val="auto"/>
        </w:rPr>
      </w:pPr>
    </w:p>
    <w:p>
      <w:pPr>
        <w:jc w:val="both"/>
        <w:ind w:left="-436" w:right="240" w:firstLine="436"/>
        <w:spacing w:after="0" w:line="266" w:lineRule="auto"/>
        <w:tabs>
          <w:tab w:leader="none" w:pos="27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67"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jurisdiction of the State of Delaware, and agree that such litigation will be conducted in the courts of New Castle County, Delaware, or the federal courts for the United States for the District of Delaware, and no other courts.</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90" w:name="page191"/>
    <w:bookmarkEnd w:id="1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[Country-Specific Addendum</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Participant’s acceptance of the Option or participation in the Plan. Unless otherwise noted below, capitalized terms shall have the same meaning assigned to them under the Plan, the Notice of Stock Option Grant and the Award Agreement. This Addendum forms part of the Award Agreement and should be read in conjunction with the Award Agreement and the Plan.</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Securities Law Notice: </w:t>
      </w:r>
      <w:r>
        <w:rPr>
          <w:rFonts w:ascii="Times New Roman" w:cs="Times New Roman" w:eastAsia="Times New Roman" w:hAnsi="Times New Roman"/>
          <w:sz w:val="18"/>
          <w:szCs w:val="18"/>
          <w:color w:val="auto"/>
        </w:rPr>
        <w:t>Unless otherwise noted, neither the Company nor the Shares are registered with any local stock exchange or under the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local securities regulator outside the United States. The Award Agreement (of which this Addendum is a part), the Notice of Stock Option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-7620</wp:posOffset>
            </wp:positionV>
            <wp:extent cx="18567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93" w:lineRule="exact"/>
        <w:rPr>
          <w:sz w:val="20"/>
          <w:szCs w:val="20"/>
          <w:color w:val="auto"/>
        </w:rPr>
      </w:pPr>
    </w:p>
    <w:p>
      <w:pPr>
        <w:ind w:left="440"/>
        <w:spacing w:after="0"/>
        <w:tabs>
          <w:tab w:leader="none" w:pos="4700" w:val="left"/>
          <w:tab w:leader="none" w:pos="5500" w:val="left"/>
          <w:tab w:leader="none" w:pos="10500" w:val="left"/>
        </w:tabs>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the undersigned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hereby elects to purchase,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-5080</wp:posOffset>
            </wp:positionV>
            <wp:extent cx="1199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119951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-5080</wp:posOffset>
            </wp:positionV>
            <wp:extent cx="4572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Class A Common Stock of Clover Health Investments,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2020 Equity</w:t>
      </w:r>
    </w:p>
    <w:tbl>
      <w:tblPr>
        <w:tblLayout w:type="fixed"/>
        <w:tblInd w:w="0" w:type="dxa"/>
        <w:tblCellMar>
          <w:top w:w="0" w:type="dxa"/>
          <w:left w:w="0" w:type="dxa"/>
          <w:bottom w:w="0" w:type="dxa"/>
          <w:right w:w="0" w:type="dxa"/>
        </w:tblCellMar>
      </w:tblPr>
      <w:tr>
        <w:trPr>
          <w:trHeight w:val="185"/>
        </w:trPr>
        <w:tc>
          <w:tcPr>
            <w:tcW w:w="73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Notice of Stock Option Grant and the Stock Option Agreement dated</w:t>
            </w:r>
          </w:p>
        </w:tc>
        <w:tc>
          <w:tcPr>
            <w:tcW w:w="900" w:type="dxa"/>
            <w:vAlign w:val="bottom"/>
            <w:tcBorders>
              <w:bottom w:val="single" w:sz="8" w:color="auto"/>
            </w:tcBorders>
          </w:tcPr>
          <w:p>
            <w:pPr>
              <w:spacing w:after="0"/>
              <w:rPr>
                <w:sz w:val="16"/>
                <w:szCs w:val="16"/>
                <w:color w:val="auto"/>
              </w:rPr>
            </w:pP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7"/>
              </w:rPr>
              <w:t>,</w:t>
            </w:r>
          </w:p>
        </w:tc>
        <w:tc>
          <w:tcPr>
            <w:tcW w:w="720" w:type="dxa"/>
            <w:vAlign w:val="bottom"/>
            <w:tcBorders>
              <w:bottom w:val="single" w:sz="8" w:color="auto"/>
            </w:tcBorders>
          </w:tcPr>
          <w:p>
            <w:pPr>
              <w:spacing w:after="0"/>
              <w:rPr>
                <w:sz w:val="16"/>
                <w:szCs w:val="16"/>
                <w:color w:val="auto"/>
              </w:rPr>
            </w:pPr>
          </w:p>
        </w:tc>
        <w:tc>
          <w:tcPr>
            <w:tcW w:w="9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w w:val="97"/>
              </w:rPr>
              <w:t xml:space="preserve">(the </w:t>
            </w: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b w:val="1"/>
                <w:bCs w:val="1"/>
                <w:i w:val="1"/>
                <w:iCs w:val="1"/>
                <w:color w:val="auto"/>
                <w:w w:val="97"/>
              </w:rPr>
              <w:t>Award</w:t>
            </w:r>
          </w:p>
        </w:tc>
      </w:tr>
      <w:tr>
        <w:trPr>
          <w:trHeight w:val="196"/>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purchase price for the Shares will be USD $</w:t>
            </w:r>
          </w:p>
        </w:tc>
        <w:tc>
          <w:tcPr>
            <w:tcW w:w="900" w:type="dxa"/>
            <w:vAlign w:val="bottom"/>
            <w:tcBorders>
              <w:bottom w:val="single" w:sz="8" w:color="auto"/>
            </w:tcBorders>
          </w:tcPr>
          <w:p>
            <w:pPr>
              <w:spacing w:after="0"/>
              <w:rPr>
                <w:sz w:val="17"/>
                <w:szCs w:val="17"/>
                <w:color w:val="auto"/>
              </w:rPr>
            </w:pPr>
          </w:p>
        </w:tc>
        <w:tc>
          <w:tcPr>
            <w:tcW w:w="2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 as required by the Award Agreement.</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17" w:lineRule="exact"/>
        <w:rPr>
          <w:sz w:val="20"/>
          <w:szCs w:val="20"/>
          <w:color w:val="auto"/>
        </w:rPr>
      </w:pPr>
    </w:p>
    <w:p>
      <w:pPr>
        <w:ind w:right="60" w:firstLine="436"/>
        <w:spacing w:after="0" w:line="266"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or otherwise makes adequate arrangements satisfactory to the Company, the full purchase price of the Shares and any Tax- Related Items (as defined in the Award Agreement) to be paid in connection with the exercise of the Option.</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Award Agreement and agrees to abide by and be bound by their terms and conditions.</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7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67" w:lineRule="exact"/>
        <w:rPr>
          <w:rFonts w:ascii="Times New Roman" w:cs="Times New Roman" w:eastAsia="Times New Roman" w:hAnsi="Times New Roman"/>
          <w:sz w:val="18"/>
          <w:szCs w:val="18"/>
          <w:color w:val="auto"/>
        </w:rPr>
      </w:pPr>
    </w:p>
    <w:p>
      <w:pPr>
        <w:ind w:right="220" w:firstLine="436"/>
        <w:spacing w:after="0" w:line="258"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p>
      <w:pPr>
        <w:sectPr>
          <w:pgSz w:w="11900" w:h="16838" w:orient="portrait"/>
          <w:cols w:equalWidth="0" w:num="1">
            <w:col w:w="11000"/>
          </w:cols>
          <w:pgMar w:left="440" w:top="266" w:right="45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9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PURCHASER:</w:t>
            </w:r>
          </w:p>
        </w:tc>
        <w:tc>
          <w:tcPr>
            <w:tcW w:w="9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INVESTMENTS, CORP.</w:t>
            </w:r>
          </w:p>
        </w:tc>
      </w:tr>
      <w:tr>
        <w:trPr>
          <w:trHeight w:val="432"/>
        </w:trPr>
        <w:tc>
          <w:tcPr>
            <w:tcW w:w="49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4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80" w:type="dxa"/>
            <w:vAlign w:val="bottom"/>
            <w:gridSpan w:val="2"/>
          </w:tcPr>
          <w:p>
            <w:pPr>
              <w:spacing w:after="0"/>
              <w:rPr>
                <w:sz w:val="24"/>
                <w:szCs w:val="24"/>
                <w:color w:val="auto"/>
              </w:rPr>
            </w:pP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4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r>
      <w:tr>
        <w:trPr>
          <w:trHeight w:val="228"/>
        </w:trPr>
        <w:tc>
          <w:tcPr>
            <w:tcW w:w="4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Received</w:t>
            </w:r>
          </w:p>
        </w:tc>
      </w:tr>
      <w:tr>
        <w:trPr>
          <w:trHeight w:val="360"/>
        </w:trPr>
        <w:tc>
          <w:tcPr>
            <w:tcW w:w="496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3" w:name="page194"/>
    <w:bookmarkEnd w:id="19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this Restricted Stock Unit Grant Notice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attached Restricted Stock Unit Agreement ([which includes the Country-Specific Addendum,]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set forth below. Unless otherwise defined herein, the terms used in this Notice of Grant shall have the meanings defined in the Plan.</w:t>
      </w:r>
    </w:p>
    <w:p>
      <w:pPr>
        <w:sectPr>
          <w:pgSz w:w="11900" w:h="16838" w:orient="portrait"/>
          <w:cols w:equalWidth="0" w:num="1">
            <w:col w:w="10840"/>
          </w:cols>
          <w:pgMar w:left="440" w:top="266" w:right="619" w:bottom="1440" w:gutter="0" w:footer="0" w:header="0"/>
        </w:sect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8" w:lineRule="exact"/>
        <w:rPr>
          <w:sz w:val="20"/>
          <w:szCs w:val="20"/>
          <w:color w:val="auto"/>
        </w:rPr>
      </w:pPr>
    </w:p>
    <w:p>
      <w:pPr>
        <w:sectPr>
          <w:pgSz w:w="11900" w:h="16838" w:orient="portrait"/>
          <w:cols w:equalWidth="0" w:num="2">
            <w:col w:w="2260" w:space="720"/>
            <w:col w:w="7860"/>
          </w:cols>
          <w:pgMar w:left="440" w:top="266" w:right="6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2260" w:space="720"/>
            <w:col w:w="7860"/>
          </w:cols>
          <w:pgMar w:left="440" w:top="266" w:right="6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2640" w:space="340"/>
            <w:col w:w="7860"/>
          </w:cols>
          <w:pgMar w:left="440" w:top="266" w:right="619" w:bottom="1440" w:gutter="0" w:footer="0" w:header="0"/>
          <w:type w:val="continuous"/>
        </w:sectPr>
      </w:pPr>
    </w:p>
    <w:p>
      <w:pPr>
        <w:ind w:left="440"/>
        <w:spacing w:after="0" w:line="282" w:lineRule="auto"/>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344" w:lineRule="exact"/>
        <w:rPr>
          <w:sz w:val="20"/>
          <w:szCs w:val="20"/>
          <w:color w:val="auto"/>
        </w:rPr>
      </w:pPr>
    </w:p>
    <w:p>
      <w:pPr>
        <w:sectPr>
          <w:pgSz w:w="11900" w:h="16838" w:orient="portrait"/>
          <w:cols w:equalWidth="0" w:num="2">
            <w:col w:w="2460" w:space="520"/>
            <w:col w:w="7860"/>
          </w:cols>
          <w:pgMar w:left="440" w:top="266" w:right="6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ectPr>
          <w:pgSz w:w="11900" w:h="16838" w:orient="portrait"/>
          <w:cols w:equalWidth="0" w:num="1">
            <w:col w:w="10840"/>
          </w:cols>
          <w:pgMar w:left="440" w:top="266" w:right="619" w:bottom="1440" w:gutter="0" w:footer="0" w:header="0"/>
          <w:type w:val="continuous"/>
        </w:sectPr>
      </w:pPr>
    </w:p>
    <w:p>
      <w:pPr>
        <w:spacing w:after="0" w:line="23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3 of the Award Agreement, the Restricted Stock Units will vest in accordance with the following schedule: [INSERT VESTING SCHEDULE].</w:t>
      </w:r>
    </w:p>
    <w:p>
      <w:pPr>
        <w:sectPr>
          <w:pgSz w:w="11900" w:h="16838" w:orient="portrait"/>
          <w:cols w:equalWidth="0" w:num="1">
            <w:col w:w="10840"/>
          </w:cols>
          <w:pgMar w:left="440" w:top="266" w:right="619" w:bottom="1440" w:gutter="0" w:footer="0" w:header="0"/>
          <w:type w:val="continuous"/>
        </w:sectPr>
      </w:pPr>
    </w:p>
    <w:bookmarkStart w:id="194" w:name="page195"/>
    <w:bookmarkEnd w:id="1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accepting this Award (whether electronically or otherwise), Participant acknowledges and agrees to the following:</w:t>
      </w:r>
    </w:p>
    <w:p>
      <w:pPr>
        <w:spacing w:after="0" w:line="117" w:lineRule="exact"/>
        <w:rPr>
          <w:sz w:val="20"/>
          <w:szCs w:val="20"/>
          <w:color w:val="auto"/>
        </w:rPr>
      </w:pPr>
    </w:p>
    <w:p>
      <w:pPr>
        <w:jc w:val="both"/>
        <w:ind w:right="180" w:firstLine="436"/>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Award and the Plan.</w:t>
      </w:r>
    </w:p>
    <w:p>
      <w:pPr>
        <w:spacing w:after="0" w:line="67" w:lineRule="exact"/>
        <w:rPr>
          <w:rFonts w:ascii="Times New Roman" w:cs="Times New Roman" w:eastAsia="Times New Roman" w:hAnsi="Times New Roman"/>
          <w:sz w:val="18"/>
          <w:szCs w:val="18"/>
          <w:color w:val="auto"/>
        </w:rPr>
      </w:pPr>
    </w:p>
    <w:p>
      <w:pPr>
        <w:ind w:right="620" w:firstLine="436"/>
        <w:spacing w:after="0" w:line="282"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Award is subject to Participant’s continuous status as a Service Provider, which is for an unspecified duration and may be terminated at any time, with or without Cause, and nothing in the Award Agreement or the Plan changes the nature of that relationship.</w:t>
      </w:r>
    </w:p>
    <w:p>
      <w:pPr>
        <w:spacing w:after="0" w:line="5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consents to electronic delivery and participation as set forth in the Plan and the Award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59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CLOVER HEALTH INVESTMENTS, CORP.</w:t>
            </w:r>
          </w:p>
        </w:tc>
      </w:tr>
      <w:tr>
        <w:trPr>
          <w:trHeight w:val="432"/>
        </w:trPr>
        <w:tc>
          <w:tcPr>
            <w:tcW w:w="508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9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5080" w:type="dxa"/>
            <w:vAlign w:val="bottom"/>
          </w:tcPr>
          <w:p>
            <w:pPr>
              <w:spacing w:after="0"/>
              <w:rPr>
                <w:sz w:val="24"/>
                <w:szCs w:val="24"/>
                <w:color w:val="auto"/>
              </w:rPr>
            </w:pPr>
          </w:p>
        </w:tc>
        <w:tc>
          <w:tcPr>
            <w:tcW w:w="5940" w:type="dxa"/>
            <w:vAlign w:val="bottom"/>
            <w:gridSpan w:val="2"/>
          </w:tcPr>
          <w:p>
            <w:pPr>
              <w:spacing w:after="0"/>
              <w:rPr>
                <w:sz w:val="24"/>
                <w:szCs w:val="24"/>
                <w:color w:val="auto"/>
              </w:rPr>
            </w:pPr>
          </w:p>
        </w:tc>
      </w:tr>
      <w:tr>
        <w:trPr>
          <w:trHeight w:val="228"/>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60"/>
        </w:trPr>
        <w:tc>
          <w:tcPr>
            <w:tcW w:w="50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95" w:name="page196"/>
    <w:bookmarkEnd w:id="19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25" w:lineRule="exact"/>
        <w:rPr>
          <w:sz w:val="20"/>
          <w:szCs w:val="20"/>
          <w:color w:val="auto"/>
        </w:rPr>
      </w:pPr>
    </w:p>
    <w:p>
      <w:pPr>
        <w:ind w:left="4" w:right="100" w:firstLine="436"/>
        <w:spacing w:after="0" w:line="259" w:lineRule="auto"/>
        <w:tabs>
          <w:tab w:leader="none" w:pos="62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named in the Notice of Restricted Stock Unit Grant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an Award of Restricted Stock Units under the Clover Health Investments, Corp.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all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and conditions in the Notice of Grant, this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which is incorporated herein by reference. [If there is a conflict between the terms and conditions of the Plan and the terms and conditions of this Award Agreement, the terms and conditions of the Plan will prevail.]</w:t>
      </w:r>
    </w:p>
    <w:p>
      <w:pPr>
        <w:spacing w:after="0" w:line="75" w:lineRule="exact"/>
        <w:rPr>
          <w:rFonts w:ascii="Times New Roman" w:cs="Times New Roman" w:eastAsia="Times New Roman" w:hAnsi="Times New Roman"/>
          <w:sz w:val="18"/>
          <w:szCs w:val="18"/>
          <w:color w:val="auto"/>
        </w:rPr>
      </w:pPr>
    </w:p>
    <w:p>
      <w:pPr>
        <w:ind w:left="4" w:firstLine="436"/>
        <w:spacing w:after="0" w:line="236" w:lineRule="auto"/>
        <w:tabs>
          <w:tab w:leader="none" w:pos="62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such vested Restricted Stock Units will be settled by delivery of whole Shares as soon as practicable after vesting, but in each such case within the period ending no later than the date that is two and one-half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spacing w:after="0" w:line="95" w:lineRule="exact"/>
        <w:rPr>
          <w:rFonts w:ascii="Times New Roman" w:cs="Times New Roman" w:eastAsia="Times New Roman" w:hAnsi="Times New Roman"/>
          <w:sz w:val="18"/>
          <w:szCs w:val="18"/>
          <w:color w:val="auto"/>
        </w:rPr>
      </w:pPr>
    </w:p>
    <w:p>
      <w:pPr>
        <w:ind w:left="4" w:right="40" w:firstLine="436"/>
        <w:spacing w:after="0" w:line="273" w:lineRule="auto"/>
        <w:tabs>
          <w:tab w:leader="none" w:pos="624"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Status as a Service Provider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63" w:lineRule="exact"/>
        <w:rPr>
          <w:rFonts w:ascii="Times New Roman" w:cs="Times New Roman" w:eastAsia="Times New Roman" w:hAnsi="Times New Roman"/>
          <w:sz w:val="17"/>
          <w:szCs w:val="17"/>
          <w:color w:val="auto"/>
        </w:rPr>
      </w:pPr>
    </w:p>
    <w:p>
      <w:pPr>
        <w:ind w:left="4" w:right="40" w:firstLine="436"/>
        <w:spacing w:after="0" w:line="270" w:lineRule="auto"/>
        <w:tabs>
          <w:tab w:leader="none" w:pos="624"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Administrator Discretion</w:t>
      </w:r>
      <w:r>
        <w:rPr>
          <w:rFonts w:ascii="Times New Roman" w:cs="Times New Roman" w:eastAsia="Times New Roman" w:hAnsi="Times New Roman"/>
          <w:sz w:val="17"/>
          <w:szCs w:val="17"/>
          <w:color w:val="auto"/>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w:t>
      </w:r>
    </w:p>
    <w:p>
      <w:pPr>
        <w:spacing w:after="0" w:line="2" w:lineRule="exact"/>
        <w:rPr>
          <w:rFonts w:ascii="Times New Roman" w:cs="Times New Roman" w:eastAsia="Times New Roman" w:hAnsi="Times New Roman"/>
          <w:sz w:val="17"/>
          <w:szCs w:val="17"/>
          <w:color w:val="auto"/>
        </w:rPr>
      </w:pPr>
    </w:p>
    <w:p>
      <w:pPr>
        <w:ind w:left="4" w:right="100" w:hanging="4"/>
        <w:spacing w:after="0" w:line="255" w:lineRule="auto"/>
        <w:tabs>
          <w:tab w:leader="none" w:pos="25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such accelerated Restricted Stock Units will result in the imposition of additional tax under Code Section 409A if paid to Participant on or within the six (6) month period following Participant’s termination as a Service Provider, then the payment of such accelerated Restricted Stock Units will not be made until the date six (6) months and one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196" w:name="page197"/>
    <w:bookmarkEnd w:id="196"/>
    <w:p>
      <w:pPr>
        <w:ind w:left="4" w:right="20" w:hanging="4"/>
        <w:spacing w:after="0" w:line="254" w:lineRule="auto"/>
        <w:tabs>
          <w:tab w:leader="none" w:pos="2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spacing w:after="0" w:line="83"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62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Except as otherwise provided in the Notice of Grant, any Restricted Stock Units that have not vested will be forfeited and will return to the Plan on the date that is thirty (30) days following the termination of Participant’s status as a Service Provider.</w:t>
      </w:r>
    </w:p>
    <w:p>
      <w:pPr>
        <w:spacing w:after="0" w:line="67"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2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71" w:lineRule="exact"/>
        <w:rPr>
          <w:rFonts w:ascii="Times New Roman" w:cs="Times New Roman" w:eastAsia="Times New Roman" w:hAnsi="Times New Roman"/>
          <w:sz w:val="18"/>
          <w:szCs w:val="18"/>
          <w:color w:val="auto"/>
        </w:rPr>
      </w:pPr>
    </w:p>
    <w:p>
      <w:pPr>
        <w:ind w:left="4" w:firstLine="436"/>
        <w:spacing w:after="0" w:line="252" w:lineRule="auto"/>
        <w:tabs>
          <w:tab w:leader="none" w:pos="62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an Affiliate or Employer pursuant to Applicable Laws)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97" w:name="page198"/>
    <w:bookmarkEnd w:id="19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As a condition to the grant and vesting of the Restricted Stock Units and as set forth in Section 16 of the Plan, Participant hereby agrees to make adequate provision for the satisfaction of (and will indemnify the Company and any Affiliate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(provided that amounts withheld shall not exceed the amount necessary to satisfy the Company’s minimum tax withholding obligations);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any Affiliate or Employer any Tax-Related Items that cannot be satisfied by the foregoing methods.</w:t>
      </w:r>
    </w:p>
    <w:p>
      <w:pPr>
        <w:spacing w:after="0" w:line="89" w:lineRule="exact"/>
        <w:rPr>
          <w:sz w:val="20"/>
          <w:szCs w:val="20"/>
          <w:color w:val="auto"/>
        </w:rPr>
      </w:pPr>
    </w:p>
    <w:p>
      <w:pPr>
        <w:ind w:right="60" w:firstLine="436"/>
        <w:spacing w:after="0" w:line="258" w:lineRule="auto"/>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75" w:lineRule="exact"/>
        <w:rPr>
          <w:rFonts w:ascii="Times New Roman" w:cs="Times New Roman" w:eastAsia="Times New Roman" w:hAnsi="Times New Roman"/>
          <w:sz w:val="18"/>
          <w:szCs w:val="18"/>
          <w:color w:val="auto"/>
        </w:rPr>
      </w:pPr>
    </w:p>
    <w:p>
      <w:pPr>
        <w:ind w:right="60" w:firstLine="436"/>
        <w:spacing w:after="0" w:line="253" w:lineRule="auto"/>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98" w:name="page199"/>
    <w:bookmarkEnd w:id="19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82" w:lineRule="exact"/>
        <w:rPr>
          <w:sz w:val="20"/>
          <w:szCs w:val="20"/>
          <w:color w:val="auto"/>
        </w:rPr>
      </w:pPr>
    </w:p>
    <w:p>
      <w:pPr>
        <w:jc w:val="both"/>
        <w:ind w:right="100" w:firstLine="436"/>
        <w:spacing w:after="0" w:line="266" w:lineRule="auto"/>
        <w:tabs>
          <w:tab w:leader="none" w:pos="71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Secretary at Clover Health Investments, Corp., 725 Cool Springs Blvd, Suite 300, Franklin, Tennessee 37067,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70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53" w:lineRule="exact"/>
        <w:rPr>
          <w:rFonts w:ascii="Times New Roman" w:cs="Times New Roman" w:eastAsia="Times New Roman" w:hAnsi="Times New Roman"/>
          <w:sz w:val="18"/>
          <w:szCs w:val="18"/>
          <w:color w:val="auto"/>
        </w:rPr>
      </w:pPr>
    </w:p>
    <w:p>
      <w:pPr>
        <w:ind w:right="100" w:firstLine="436"/>
        <w:spacing w:after="0" w:line="254" w:lineRule="auto"/>
        <w:tabs>
          <w:tab w:leader="none" w:pos="71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 and Imposition of Other Requirements</w:t>
      </w:r>
      <w:r>
        <w:rPr>
          <w:rFonts w:ascii="Times New Roman" w:cs="Times New Roman" w:eastAsia="Times New Roman" w:hAnsi="Times New Roman"/>
          <w:sz w:val="18"/>
          <w:szCs w:val="18"/>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99" w:name="page200"/>
    <w:bookmarkEnd w:id="19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the Company’s bylaws, including any restrictions on the disposition of Shares acquired under the Plan [and any addendum for Participant’s country (the “</w:t>
      </w:r>
      <w:r>
        <w:rPr>
          <w:rFonts w:ascii="Times New Roman" w:cs="Times New Roman" w:eastAsia="Times New Roman" w:hAnsi="Times New Roman"/>
          <w:sz w:val="18"/>
          <w:szCs w:val="18"/>
          <w:b w:val="1"/>
          <w:bCs w:val="1"/>
          <w:i w:val="1"/>
          <w:iCs w:val="1"/>
          <w:color w:val="auto"/>
        </w:rPr>
        <w:t>Country-Specific Addendum</w:t>
      </w:r>
      <w:r>
        <w:rPr>
          <w:rFonts w:ascii="Times New Roman" w:cs="Times New Roman" w:eastAsia="Times New Roman" w:hAnsi="Times New Roman"/>
          <w:sz w:val="18"/>
          <w:szCs w:val="18"/>
          <w:color w:val="auto"/>
        </w:rPr>
        <w:t>,”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spacing w:after="0" w:line="79" w:lineRule="exact"/>
        <w:rPr>
          <w:sz w:val="20"/>
          <w:szCs w:val="20"/>
          <w:color w:val="auto"/>
        </w:rPr>
      </w:pPr>
    </w:p>
    <w:p>
      <w:pPr>
        <w:ind w:firstLine="436"/>
        <w:spacing w:after="0" w:line="266" w:lineRule="auto"/>
        <w:tabs>
          <w:tab w:leader="none" w:pos="7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240" w:firstLine="436"/>
        <w:spacing w:after="0" w:line="256" w:lineRule="auto"/>
        <w:tabs>
          <w:tab w:leader="none" w:pos="7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0" w:name="page201"/>
    <w:bookmarkEnd w:id="200"/>
    <w:p>
      <w:pPr>
        <w:ind w:right="100" w:firstLine="436"/>
        <w:spacing w:after="0" w:line="282"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Translation</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53" w:lineRule="exact"/>
        <w:rPr>
          <w:rFonts w:ascii="Times New Roman" w:cs="Times New Roman" w:eastAsia="Times New Roman" w:hAnsi="Times New Roman"/>
          <w:sz w:val="18"/>
          <w:szCs w:val="18"/>
          <w:color w:val="auto"/>
        </w:rPr>
      </w:pPr>
    </w:p>
    <w:p>
      <w:pPr>
        <w:ind w:right="180" w:firstLine="436"/>
        <w:spacing w:after="0" w:line="255"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p>
    <w:p>
      <w:pPr>
        <w:spacing w:after="0" w:line="31"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Personal Data</w:t>
      </w:r>
      <w:r>
        <w:rPr>
          <w:rFonts w:ascii="Times New Roman" w:cs="Times New Roman" w:eastAsia="Times New Roman" w:hAnsi="Times New Roman"/>
          <w:sz w:val="18"/>
          <w:szCs w:val="18"/>
          <w:b w:val="1"/>
          <w:bCs w:val="1"/>
          <w:i w:val="1"/>
          <w:iCs w:val="1"/>
          <w:color w:val="auto"/>
        </w:rPr>
        <w:t>”).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88" w:lineRule="exact"/>
        <w:rPr>
          <w:sz w:val="20"/>
          <w:szCs w:val="20"/>
          <w:color w:val="auto"/>
        </w:rPr>
      </w:pPr>
    </w:p>
    <w:p>
      <w:pPr>
        <w:ind w:right="60" w:firstLine="991"/>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1" w:name="page202"/>
    <w:bookmarkEnd w:id="201"/>
    <w:p>
      <w:pPr>
        <w:ind w:left="-436" w:right="40" w:firstLine="436"/>
        <w:spacing w:after="0" w:line="255" w:lineRule="auto"/>
        <w:tabs>
          <w:tab w:leader="none" w:pos="27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80"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7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67"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of Restricted Stock Units or this Award Agreement, the parties hereby submit to and consent to the jurisdiction of the State of Delaware, and agree that such litigation will be conducted in the courts of New Castle County, Delaware, or the federal courts for the United States for the District of Delaware, and no other courts.</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4"/>
          </w:cols>
          <w:pgMar w:left="876" w:top="270" w:right="49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[Country-Specific Addendum</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Securities Law Notice: </w:t>
      </w:r>
      <w:r>
        <w:rPr>
          <w:rFonts w:ascii="Times New Roman" w:cs="Times New Roman" w:eastAsia="Times New Roman" w:hAnsi="Times New Roman"/>
          <w:sz w:val="18"/>
          <w:szCs w:val="18"/>
          <w:color w:val="auto"/>
        </w:rPr>
        <w:t>Unless otherwise noted, neither the Company nor the Shares are registered with any local stock exchange or under the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left="620" w:hanging="184"/>
        <w:spacing w:after="0"/>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Plan provides a means by which Eligible Employees and/or Eligible Service Providers of either the Company or a Designated Company may be given an opportunity to purchase shares of Common Stock. The Plan permits the Company to grant a series of Purchase Rights to Eligible Employees and/or Eligible Service Providers. The Company, by means of the Plan, seeks to retain and assist its Related Corporations or Affiliates in retaining the services of such Eligible Employees and Eligible Service Providers, to secure and retain the services of new Eligible Employees and Eligible Service Providers and to provide incentives for such persons to exert maximum efforts for the success of the Company and its Related Corporations and Affiliates.</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and Non-Qualified Offerings Permitted.</w:t>
      </w:r>
      <w:r>
        <w:rPr>
          <w:rFonts w:ascii="Times New Roman" w:cs="Times New Roman" w:eastAsia="Times New Roman" w:hAnsi="Times New Roman"/>
          <w:sz w:val="18"/>
          <w:szCs w:val="18"/>
          <w:color w:val="auto"/>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including without limitation, to extend and limit Plan participation in a uniform and non-discriminating basis.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except in each case with respect to a Non-423 Component), and the Company will designate which Designated Company is participating in each separate Offering and if any Eligible Service Providers will be eligible to participate in a separate Offering. Eligible Employees will be able to participate in the 423 Component or Non-423 Component of the Plan. Eligible Service Providers will only be able to participate in the Non-423 Component of the Plan.</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color w:val="auto"/>
        </w:rPr>
      </w:pPr>
    </w:p>
    <w:p>
      <w:pPr>
        <w:ind w:right="220" w:firstLine="1428"/>
        <w:spacing w:after="0" w:line="266" w:lineRule="auto"/>
        <w:tabs>
          <w:tab w:leader="none" w:pos="1697"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Related Corporations will be eligible to participate in the Plan as Designated 423 Corporations or as Designated Non-423 Corporations, which Affiliates will be eligible to participate in the Plan as Designated Non-423 Corporations, and which Designated Companies will participate in each separate Offering (to the extent that the Company makes separate Offerings).</w:t>
      </w:r>
    </w:p>
    <w:p>
      <w:pPr>
        <w:spacing w:after="0" w:line="175" w:lineRule="exact"/>
        <w:rPr>
          <w:rFonts w:ascii="Times New Roman" w:cs="Times New Roman" w:eastAsia="Times New Roman" w:hAnsi="Times New Roman"/>
          <w:sz w:val="18"/>
          <w:szCs w:val="18"/>
          <w:color w:val="auto"/>
        </w:rPr>
      </w:pPr>
    </w:p>
    <w:p>
      <w:pPr>
        <w:ind w:right="220" w:firstLine="1428"/>
        <w:spacing w:after="0" w:line="266" w:lineRule="auto"/>
        <w:tabs>
          <w:tab w:leader="none" w:pos="1747"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persons will be eligible to participate in the Non-423 Component of the Plan as Eligible Service Providers and which Eligible Service Providers will participate in each separate Offering (to the extent that the Company makes separate Offerings).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04" w:name="page205"/>
    <w:bookmarkEnd w:id="204"/>
    <w:p>
      <w:pPr>
        <w:ind w:right="180" w:firstLine="1428"/>
        <w:spacing w:after="0" w:line="266" w:lineRule="auto"/>
        <w:tabs>
          <w:tab w:leader="none" w:pos="1737"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color w:val="auto"/>
        </w:rPr>
      </w:pPr>
    </w:p>
    <w:p>
      <w:pPr>
        <w:ind w:right="80" w:firstLine="1428"/>
        <w:spacing w:after="0" w:line="266" w:lineRule="auto"/>
        <w:tabs>
          <w:tab w:leader="none" w:pos="1837"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75" w:lineRule="exact"/>
        <w:rPr>
          <w:rFonts w:ascii="Times New Roman" w:cs="Times New Roman" w:eastAsia="Times New Roman" w:hAnsi="Times New Roman"/>
          <w:sz w:val="18"/>
          <w:szCs w:val="18"/>
          <w:color w:val="auto"/>
        </w:rPr>
      </w:pPr>
    </w:p>
    <w:p>
      <w:pPr>
        <w:ind w:right="60" w:firstLine="1428"/>
        <w:spacing w:after="0" w:line="254" w:lineRule="auto"/>
        <w:tabs>
          <w:tab w:leader="none" w:pos="1737"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rules, procedures and sub-plans relating to the operation and administration of the Plan as are necessary or appropriate under Applicable Laws to permit or facilitate participation in the Plan by Employees or Eligible Service Providers who are foreign nationals or employed or providing services or located or otherwise subject to the laws of a jurisdiction outside the United States. Without limiting the generality of, but consistent with, the foregoing, the Board specifically is authorized to adopt rules, procedures, and sub-plans, which, for purposes of the Non-423 Component, may be beyond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Laws.</w:t>
      </w:r>
    </w:p>
    <w:p>
      <w:pPr>
        <w:spacing w:after="0" w:line="19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and Applicable Laws.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9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of Common 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Available; Automatic Increases</w:t>
      </w:r>
      <w:r>
        <w:rPr>
          <w:rFonts w:ascii="Times New Roman" w:cs="Times New Roman" w:eastAsia="Times New Roman" w:hAnsi="Times New Roman"/>
          <w:sz w:val="18"/>
          <w:szCs w:val="18"/>
          <w:color w:val="auto"/>
        </w:rPr>
        <w:t>. Subject to the provisions of Section 11(a) relating to Capitalization Adjustments, the maximum number of shares of Common Stock that may be issued under the Plan will not exceed 2,785,582 shares of Common Stock, plus the number of shares of Common Stock that are automatically added on the first day of each Fiscal Year beginning with the 2022 Fiscal Year and ending on (and including) the first day of the 2030 Fiscal Year, in an amount equal to the lesser of (i) one percent (1%)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05" w:name="page206"/>
    <w:bookmarkEnd w:id="20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total number of shares of Common Stock outstanding on the last day of the calendar month prior to the date of such automatic increase, and (ii) such number of shares of Common Stock as determined by the Board; provided that the maximum number of shares of Common Stock reserved under the Plan shall not exceed 55,711,638. Notwithstanding the foregoing, the Board may act prior to the first day of any fiscal year to provide that there will be no increase in the share reserve for such fiscal year or that the increase in the share reserve for such fiscal year will be a lesser number of shares of Common Stock than would otherwise occur pursuant to the preceding sentence.</w:t>
      </w:r>
    </w:p>
    <w:p>
      <w:pPr>
        <w:spacing w:after="0" w:line="183" w:lineRule="exact"/>
        <w:rPr>
          <w:sz w:val="20"/>
          <w:szCs w:val="20"/>
          <w:color w:val="auto"/>
        </w:rPr>
      </w:pPr>
    </w:p>
    <w:p>
      <w:pPr>
        <w:ind w:firstLine="987"/>
        <w:spacing w:after="0" w:line="282" w:lineRule="auto"/>
        <w:tabs>
          <w:tab w:leader="none" w:pos="124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color w:val="auto"/>
        </w:rPr>
      </w:pPr>
    </w:p>
    <w:p>
      <w:pPr>
        <w:ind w:right="540" w:firstLine="987"/>
        <w:spacing w:after="0" w:line="282" w:lineRule="auto"/>
        <w:tabs>
          <w:tab w:leader="none" w:pos="123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The stock purchasable under the Plan will be shares of authorized but unissued or reacquired Common Stock, including shares repurchased by the Company on the open market.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Purchase Rights; Offering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Board may from time to time grant or provide for the grant of Purchase Rights to Eligible Employees and/or Eligible Service Providers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More than One Purchase Right</w:t>
      </w:r>
      <w:r>
        <w:rPr>
          <w:rFonts w:ascii="Times New Roman" w:cs="Times New Roman" w:eastAsia="Times New Roman" w:hAnsi="Times New Roman"/>
          <w:sz w:val="18"/>
          <w:szCs w:val="18"/>
          <w:color w:val="auto"/>
        </w:rPr>
        <w:t>. 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Restart Provision Permitted</w:t>
      </w:r>
      <w:r>
        <w:rPr>
          <w:rFonts w:ascii="Times New Roman" w:cs="Times New Roman" w:eastAsia="Times New Roman" w:hAnsi="Times New Roman"/>
          <w:sz w:val="18"/>
          <w:szCs w:val="18"/>
          <w:color w:val="auto"/>
        </w:rPr>
        <w:t>.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Offering Period and Purchase Period.</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Purchase Rights may be granted only to Employees of the Company or, as the Board may designate in accordance with Section 2(b), to Employees of a Related Corporation or, solely with respect to the Non-423 Component, Employees of an Affiliate or Eligible Service Providers.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06" w:name="page207"/>
    <w:bookmarkEnd w:id="206"/>
    <w:p>
      <w:pPr>
        <w:ind w:firstLine="987"/>
        <w:spacing w:after="0" w:line="254" w:lineRule="auto"/>
        <w:tabs>
          <w:tab w:leader="none" w:pos="124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Purchase Rights in Ongoing Offering</w:t>
      </w:r>
      <w:r>
        <w:rPr>
          <w:rFonts w:ascii="Times New Roman" w:cs="Times New Roman" w:eastAsia="Times New Roman" w:hAnsi="Times New Roman"/>
          <w:sz w:val="18"/>
          <w:szCs w:val="18"/>
          <w:color w:val="auto"/>
        </w:rPr>
        <w:t>. The Board may provide that Employees will not be eligible to be granted Purchase Rights under the Plan if, on the Offering Date, the Employee (i) has not completed at least two (2) years of service since the Employee’s last hire date (or such lesser period of time as may be determined by the Board in its discretion), (ii) customarily works not more than twenty (20) hours per week (or such lesser period of time as may be determined by the Board in its discretion), (iii) customarily works not more than five (5) months per calendar year (or such lesser period of time as may be determined by the Board in its discretion), (iv) is a highly compensated employee within the meaning of Section 423(b)(4)(D) of the Code, or (v) has not satisfied such other criteria as the Board may determine consistent with Section 423 of the Code. Unless otherwise determined by the Board for any Offering Period, an Employee will not be eligible to be granted Purchase Rights unless, on the Offering Date, the Employee customarily works more than twenty (20) hours per week and more than five (5) months per calendar year.</w:t>
      </w:r>
    </w:p>
    <w:p>
      <w:pPr>
        <w:spacing w:after="0" w:line="191"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 Stockholders Excluded</w:t>
      </w:r>
      <w:r>
        <w:rPr>
          <w:rFonts w:ascii="Times New Roman" w:cs="Times New Roman" w:eastAsia="Times New Roman" w:hAnsi="Times New Roman"/>
          <w:sz w:val="18"/>
          <w:szCs w:val="18"/>
          <w:color w:val="auto"/>
        </w:rPr>
        <w:t>. No Employee will be eligible for the grant of any Purchase Rights if, immediately after any such Purchase Rights are granted, such Employee owns stock possessing five (5)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$25,000 Limit</w:t>
      </w:r>
      <w:r>
        <w:rPr>
          <w:rFonts w:ascii="Times New Roman" w:cs="Times New Roman" w:eastAsia="Times New Roman" w:hAnsi="Times New Roman"/>
          <w:sz w:val="18"/>
          <w:szCs w:val="18"/>
          <w:color w:val="auto"/>
        </w:rPr>
        <w:t>. 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 An Eligible Service Provider will not be eligible to be granted Purchase Rights unless the Eligible Service Provider is providing bonafide services to the Company or a Designated Company on the applicable Offering Date.</w:t>
      </w:r>
    </w:p>
    <w:p>
      <w:pPr>
        <w:spacing w:after="0" w:line="161" w:lineRule="exact"/>
        <w:rPr>
          <w:rFonts w:ascii="Times New Roman" w:cs="Times New Roman" w:eastAsia="Times New Roman" w:hAnsi="Times New Roman"/>
          <w:sz w:val="18"/>
          <w:szCs w:val="18"/>
          <w:color w:val="auto"/>
        </w:rPr>
      </w:pPr>
    </w:p>
    <w:p>
      <w:pPr>
        <w:ind w:right="280" w:firstLine="987"/>
        <w:spacing w:after="0" w:line="266" w:lineRule="auto"/>
        <w:tabs>
          <w:tab w:leader="none" w:pos="121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Non-423 Component Offerings</w:t>
      </w:r>
      <w:r>
        <w:rPr>
          <w:rFonts w:ascii="Times New Roman" w:cs="Times New Roman" w:eastAsia="Times New Roman" w:hAnsi="Times New Roman"/>
          <w:sz w:val="18"/>
          <w:szCs w:val="18"/>
          <w:color w:val="auto"/>
        </w:rPr>
        <w:t>. Notwithstanding anything set forth herein except for Section 5(d) above, the Board may establish additional eligibility requirements, or fewer eligibility requirements, for Employees and/or Eligible Service Providers with respect to Offerings made under the Non-423 Component even if such requirements are not consistent with Section 423 of the Code.</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Purchase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Maximum Contribution Rate</w:t>
      </w:r>
      <w:r>
        <w:rPr>
          <w:rFonts w:ascii="Times New Roman" w:cs="Times New Roman" w:eastAsia="Times New Roman" w:hAnsi="Times New Roman"/>
          <w:sz w:val="18"/>
          <w:szCs w:val="18"/>
          <w:color w:val="auto"/>
        </w:rPr>
        <w:t>. On each Offering Date, each Eligible Employee or Eligible Service Provider, pursuant to an Offering made under the Plan, will be granted a Purchase Right to purchase up to that number of shares of Common Stock (rounded down to the nearest whole share) purchasable either with a percentage or with a maximum dollar amount, as designated by the Board; provided however, that in the case of Eligible Employees, such percentage or maximum dollar amount will in either case not exceed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18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Dates</w:t>
      </w:r>
      <w:r>
        <w:rPr>
          <w:rFonts w:ascii="Times New Roman" w:cs="Times New Roman" w:eastAsia="Times New Roman" w:hAnsi="Times New Roman"/>
          <w:sz w:val="18"/>
          <w:szCs w:val="18"/>
          <w:color w:val="auto"/>
        </w:rPr>
        <w:t>. 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Purchase Limitations</w:t>
      </w:r>
      <w:r>
        <w:rPr>
          <w:rFonts w:ascii="Times New Roman" w:cs="Times New Roman" w:eastAsia="Times New Roman" w:hAnsi="Times New Roman"/>
          <w:sz w:val="18"/>
          <w:szCs w:val="18"/>
          <w:color w:val="auto"/>
        </w:rPr>
        <w:t>. In connection with each Offering made under the Plan, the Board may specify (i) a maximum number of shares of Common Stock that may be purchased by any Participant on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07" w:name="page208"/>
    <w:bookmarkEnd w:id="20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Date during such Offering, (ii) a maximum aggregate number of shares of Common Stock that may be purchased by all Participants pursuant to such Offering, and (iii) a maximum aggregate number of shares of Common Stock that may be purchased by all Participants on any Purchase Date under the Offering.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7" w:lineRule="exact"/>
        <w:rPr>
          <w:sz w:val="20"/>
          <w:szCs w:val="20"/>
          <w:color w:val="auto"/>
        </w:rPr>
      </w:pPr>
    </w:p>
    <w:p>
      <w:pPr>
        <w:ind w:left="1240" w:hanging="253"/>
        <w:spacing w:after="0"/>
        <w:tabs>
          <w:tab w:leader="none" w:pos="12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of shares of Common Stock acquired pursuant to Purchase Rights will be not less than the lesser of:</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Withdrawal;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An Eligible Employee may elect to authorize payroll deductions as the means of making Contributions by completing and delivering to the Company, within the time specified by the Company, an enrollment form provided by the Company or any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require that Contributions be deposited with a Company Designee or otherwise be segregated.</w:t>
      </w:r>
    </w:p>
    <w:p>
      <w:pPr>
        <w:spacing w:after="0" w:line="187" w:lineRule="exact"/>
        <w:rPr>
          <w:rFonts w:ascii="Times New Roman" w:cs="Times New Roman" w:eastAsia="Times New Roman" w:hAnsi="Times New Roman"/>
          <w:sz w:val="18"/>
          <w:szCs w:val="18"/>
          <w:color w:val="auto"/>
        </w:rPr>
      </w:pPr>
    </w:p>
    <w:p>
      <w:pPr>
        <w:jc w:val="both"/>
        <w:ind w:firstLine="987"/>
        <w:spacing w:after="0" w:line="274" w:lineRule="auto"/>
        <w:tabs>
          <w:tab w:leader="none" w:pos="1246"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Contributions</w:t>
      </w:r>
      <w:r>
        <w:rPr>
          <w:rFonts w:ascii="Times New Roman" w:cs="Times New Roman" w:eastAsia="Times New Roman" w:hAnsi="Times New Roman"/>
          <w:sz w:val="17"/>
          <w:szCs w:val="17"/>
          <w:color w:val="auto"/>
        </w:rPr>
        <w:t>. If permitted in the Offering, a Participant may begin Contributions with the first payroll or payment date occurring on or after the Offering Date (or, in the case of a payroll date or payment date that occurs after the end of the prior Offering but before the Offering Date of the next new Offering, Contributions from such payroll or payment will be included in the new Offering) or on such other date as set forth in the Offering. If permitted in the Offering, a Participant may thereafter reduce (including to zero) or increase his or her Contributions. If required under Applicable Laws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72" w:lineRule="exact"/>
        <w:rPr>
          <w:rFonts w:ascii="Times New Roman" w:cs="Times New Roman" w:eastAsia="Times New Roman" w:hAnsi="Times New Roman"/>
          <w:sz w:val="17"/>
          <w:szCs w:val="17"/>
          <w:color w:val="auto"/>
        </w:rPr>
      </w:pPr>
    </w:p>
    <w:p>
      <w:pPr>
        <w:ind w:right="180" w:firstLine="987"/>
        <w:spacing w:after="0" w:line="256" w:lineRule="auto"/>
        <w:tabs>
          <w:tab w:leader="none" w:pos="12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Withdrawals</w:t>
      </w:r>
      <w:r>
        <w:rPr>
          <w:rFonts w:ascii="Times New Roman" w:cs="Times New Roman" w:eastAsia="Times New Roman" w:hAnsi="Times New Roman"/>
          <w:sz w:val="18"/>
          <w:szCs w:val="18"/>
          <w:color w:val="auto"/>
        </w:rPr>
        <w:t>. During an Offering, a Participant may cease making Contributions and withdraw from the Offering by delivering to the Company or a Company Designee a withdrawal form provided by the Company.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Eligibility.</w:t>
      </w:r>
      <w:r>
        <w:rPr>
          <w:rFonts w:ascii="Times New Roman" w:cs="Times New Roman" w:eastAsia="Times New Roman" w:hAnsi="Times New Roman"/>
          <w:sz w:val="18"/>
          <w:szCs w:val="18"/>
          <w:color w:val="auto"/>
        </w:rPr>
        <w:t xml:space="preserve"> Purchase Rights granted pursuant to any Offering under the Plan will terminate immediately if the Participant either (i) is no longer an Eligible Employee or Eligible Service Provider for any reason or for no reason, or (ii) is otherwise no longer eligible to participate. The Company shall have the exclusive discretion to determine when Participant is no longer actively providing services and the date of the termination of employment or service for purposes of the Plan. As soon as practicable, the Company will distribute to such individual all of his or her accumulated but unused Contributions without interest.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08" w:name="page209"/>
    <w:bookmarkEnd w:id="208"/>
    <w:p>
      <w:pPr>
        <w:jc w:val="both"/>
        <w:ind w:left="-20" w:right="40" w:firstLine="987"/>
        <w:spacing w:after="0" w:line="258" w:lineRule="auto"/>
        <w:tabs>
          <w:tab w:leader="none" w:pos="121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Leave of Absence</w:t>
      </w:r>
      <w:r>
        <w:rPr>
          <w:rFonts w:ascii="Times New Roman" w:cs="Times New Roman" w:eastAsia="Times New Roman" w:hAnsi="Times New Roman"/>
          <w:sz w:val="18"/>
          <w:szCs w:val="18"/>
          <w:color w:val="auto"/>
        </w:rPr>
        <w:t>. For purposes of this Section 7, an Employee will not be deemed to have terminated employment or failed to remain in the continuous employ of the Company or of a Designated Company in the case of sick leave, military leave, or any other leave of absence approved by the Company; provided that such leave is for a period of not more than three (3) months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19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Transfers</w:t>
      </w:r>
      <w:r>
        <w:rPr>
          <w:rFonts w:ascii="Times New Roman" w:cs="Times New Roman" w:eastAsia="Times New Roman" w:hAnsi="Times New Roman"/>
          <w:sz w:val="18"/>
          <w:szCs w:val="18"/>
          <w:color w:val="auto"/>
        </w:rPr>
        <w:t>.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191" w:lineRule="exact"/>
        <w:rPr>
          <w:rFonts w:ascii="Times New Roman" w:cs="Times New Roman" w:eastAsia="Times New Roman" w:hAnsi="Times New Roman"/>
          <w:sz w:val="18"/>
          <w:szCs w:val="18"/>
          <w:color w:val="auto"/>
        </w:rPr>
      </w:pPr>
    </w:p>
    <w:p>
      <w:pPr>
        <w:ind w:left="-20" w:right="440" w:firstLine="987"/>
        <w:spacing w:after="0" w:line="266" w:lineRule="auto"/>
        <w:tabs>
          <w:tab w:leader="none" w:pos="122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Transfers of Purchase Rights</w:t>
      </w:r>
      <w:r>
        <w:rPr>
          <w:rFonts w:ascii="Times New Roman" w:cs="Times New Roman" w:eastAsia="Times New Roman" w:hAnsi="Times New Roman"/>
          <w:sz w:val="18"/>
          <w:szCs w:val="18"/>
          <w:color w:val="auto"/>
        </w:rPr>
        <w:t>. 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color w:val="auto"/>
        </w:rPr>
      </w:pPr>
    </w:p>
    <w:p>
      <w:pPr>
        <w:ind w:left="-20" w:right="300" w:firstLine="987"/>
        <w:spacing w:after="0" w:line="282" w:lineRule="auto"/>
        <w:tabs>
          <w:tab w:leader="none" w:pos="122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Unless otherwise specified in the Offering or required by Applicable Law, the Company will have no obligation to pay interest on Contributions.</w:t>
      </w:r>
    </w:p>
    <w:p>
      <w:pPr>
        <w:spacing w:after="0" w:line="16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Purchase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1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(rounded down to the nearest whole share),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color w:val="auto"/>
        </w:rPr>
      </w:pPr>
    </w:p>
    <w:p>
      <w:pPr>
        <w:ind w:left="-20" w:right="320" w:firstLine="987"/>
        <w:spacing w:after="0" w:line="282" w:lineRule="auto"/>
        <w:tabs>
          <w:tab w:leader="none" w:pos="122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on the final Purchase Date in an Offering, then such remaining amount will roll over to the next Offering.</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Rights may be exercised to any extent unless the shares of Common Stock to be issued on such exercise under the Plan are covered by an effective registration statement pursuant to the Securities Act and the Plan is in material compliance with all Applicable Laws.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three (3) months from the original Purchase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w:t>
      </w:r>
    </w:p>
    <w:p>
      <w:pPr>
        <w:spacing w:after="0" w:line="191" w:lineRule="exact"/>
        <w:rPr>
          <w:rFonts w:ascii="Times New Roman" w:cs="Times New Roman" w:eastAsia="Times New Roman" w:hAnsi="Times New Roman"/>
          <w:sz w:val="18"/>
          <w:szCs w:val="18"/>
          <w:color w:val="auto"/>
        </w:rPr>
      </w:pPr>
    </w:p>
    <w:p>
      <w:pPr>
        <w:ind w:left="-20" w:firstLine="436"/>
        <w:spacing w:after="0" w:line="282" w:lineRule="auto"/>
        <w:tabs>
          <w:tab w:leader="none" w:pos="6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will seek to obtain from each U.S. federal or state, foreign or other regulatory commission or agency having jurisdiction over the Plan such authority as may be required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209" w:name="page210"/>
    <w:bookmarkEnd w:id="20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or to issue and sell Common Stock on exercise of such Purchase Rights.</w:t>
      </w:r>
    </w:p>
    <w:p>
      <w:pPr>
        <w:spacing w:after="0" w:line="183" w:lineRule="exact"/>
        <w:rPr>
          <w:sz w:val="20"/>
          <w:szCs w:val="20"/>
          <w:color w:val="auto"/>
        </w:rPr>
      </w:pPr>
    </w:p>
    <w:p>
      <w:pPr>
        <w:ind w:left="700" w:hanging="264"/>
        <w:spacing w:after="0"/>
        <w:tabs>
          <w:tab w:leader="none" w:pos="7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or Contributions from the Participant’s account under the Plan if the Participant dies before such shares or Contributions are delivered to the Participant. The Company may, but is not obligated to, permit the Participant to change such designation of beneficiary. Any such designation or change must be on a form approved by the Company or as approved by the Company for use by a Company Designee.</w:t>
      </w:r>
    </w:p>
    <w:p>
      <w:pPr>
        <w:spacing w:after="0" w:line="179"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in the absence of a valid beneficiary designation, the Company will deliver any shares of Common Stock and Contributions to the executor or administrator of the estate of the Participant. If no executor or administrator has been appointed (to the knowledge of the Company), the Company, in its sole discretion, may deliver such shares of Common Stock and Contributions, without interest, to the Participant’s spouse, dependents or relatives, or if no spouse, dependent or relative is known to the Company, then to such other person as the Company may designate.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Adjustments; Dissolution or Liquidation; Corporate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Adjustment</w:t>
      </w:r>
      <w:r>
        <w:rPr>
          <w:rFonts w:ascii="Times New Roman" w:cs="Times New Roman" w:eastAsia="Times New Roman" w:hAnsi="Times New Roman"/>
          <w:sz w:val="18"/>
          <w:szCs w:val="18"/>
          <w:color w:val="auto"/>
        </w:rPr>
        <w:t>.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a dissolution or liquidation of the Company,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prior to the Corporate Transaction under the outstanding Purchase Rights (with such actual date to be determined by the Board in its sole discretion),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10" w:name="page211"/>
    <w:bookmarkEnd w:id="210"/>
    <w:p>
      <w:pPr>
        <w:ind w:left="4" w:right="120" w:firstLine="987"/>
        <w:spacing w:after="0" w:line="256" w:lineRule="auto"/>
        <w:tabs>
          <w:tab w:leader="none" w:pos="1250"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Spin-Off</w:t>
      </w:r>
      <w:r>
        <w:rPr>
          <w:rFonts w:ascii="Times New Roman" w:cs="Times New Roman" w:eastAsia="Times New Roman" w:hAnsi="Times New Roman"/>
          <w:sz w:val="18"/>
          <w:szCs w:val="18"/>
          <w:color w:val="auto"/>
        </w:rPr>
        <w:t>. In the event of a spin-off or similar transaction involving the Company, the Board may take actions deemed necessary or appropriate in connection with an ongoing Offering and subject to compliance with Applicable Laws (including the assumption of Purchase Rights under an ongoing Offering by the spun-off company, or shortening an Offering and scheduling a new Purchase Date prior to the closing of such transaction). In the absence of any such action by the Board, a Participant in an ongoing Offering whose employer ceases to qualify as a Related Corporation as of the closing of a spin-off or similar transaction will be treated in the same manner as if the Participant had terminated employment (as provided in Section 7(d)).</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 or Suspension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Amendment</w:t>
      </w:r>
      <w:r>
        <w:rPr>
          <w:rFonts w:ascii="Times New Roman" w:cs="Times New Roman" w:eastAsia="Times New Roman" w:hAnsi="Times New Roman"/>
          <w:sz w:val="18"/>
          <w:szCs w:val="18"/>
          <w:color w:val="auto"/>
        </w:rPr>
        <w:t>.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Laws, including any amendment that either (i) increases the number of shares of Common Stock available for issuance under the Plan, (ii) expands the class of individuals eligible to become Participants and receive Purchase Rights, (iii) materially increases the benefits accruing to Participants under the Plan or reduces the price at which shares of Common Stock may be purchased under the Plan,</w:t>
      </w:r>
    </w:p>
    <w:p>
      <w:pPr>
        <w:spacing w:after="0" w:line="3" w:lineRule="exact"/>
        <w:rPr>
          <w:rFonts w:ascii="Times New Roman" w:cs="Times New Roman" w:eastAsia="Times New Roman" w:hAnsi="Times New Roman"/>
          <w:sz w:val="18"/>
          <w:szCs w:val="18"/>
          <w:color w:val="auto"/>
        </w:rPr>
      </w:pPr>
    </w:p>
    <w:p>
      <w:pPr>
        <w:ind w:left="4" w:hanging="4"/>
        <w:spacing w:after="0" w:line="260" w:lineRule="auto"/>
        <w:tabs>
          <w:tab w:leader="none" w:pos="30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 of the Plan, or (v) expands the types of awards available for issuance under the Plan, but in each of (i) through (v) above only to the extent stockholder approval is required by Applicable Laws.</w:t>
      </w:r>
    </w:p>
    <w:p>
      <w:pPr>
        <w:spacing w:after="0" w:line="181"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w:t>
      </w:r>
      <w:r>
        <w:rPr>
          <w:rFonts w:ascii="Times New Roman" w:cs="Times New Roman" w:eastAsia="Times New Roman" w:hAnsi="Times New Roman"/>
          <w:sz w:val="18"/>
          <w:szCs w:val="18"/>
          <w:color w:val="auto"/>
        </w:rPr>
        <w:t>. 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 of Rights</w:t>
      </w:r>
      <w:r>
        <w:rPr>
          <w:rFonts w:ascii="Times New Roman" w:cs="Times New Roman" w:eastAsia="Times New Roman" w:hAnsi="Times New Roman"/>
          <w:sz w:val="18"/>
          <w:szCs w:val="18"/>
          <w:color w:val="auto"/>
        </w:rPr>
        <w:t>. Any benefits, privileges, entitlements, and obligations under any outstanding Purchase Rights granted before an amendment, suspension, or termination of the Plan will not be materially impaired by any such amendment, suspension, or termination except</w:t>
      </w:r>
    </w:p>
    <w:p>
      <w:pPr>
        <w:ind w:left="4" w:right="40" w:hanging="4"/>
        <w:spacing w:after="0" w:line="252" w:lineRule="auto"/>
        <w:tabs>
          <w:tab w:leader="none" w:pos="2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any special tax, listing, or regulatory treatment. To be clear, the Board may amend outstanding Purchase Rights without a Participant’s consent if such amendment is necessary to ensure that the Purchase Right or the 423 Component complies with the requirements of Section 423 of the Code.</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Corrections and Administrative Procedures</w:t>
      </w:r>
      <w:r>
        <w:rPr>
          <w:rFonts w:ascii="Times New Roman" w:cs="Times New Roman" w:eastAsia="Times New Roman" w:hAnsi="Times New Roman"/>
          <w:sz w:val="18"/>
          <w:szCs w:val="18"/>
          <w:color w:val="auto"/>
        </w:rPr>
        <w:t>. Notwithstanding anything in the Plan to the contrary, the Board will be entitled to:</w:t>
      </w:r>
    </w:p>
    <w:p>
      <w:pPr>
        <w:spacing w:after="0" w:line="27" w:lineRule="exact"/>
        <w:rPr>
          <w:sz w:val="20"/>
          <w:szCs w:val="20"/>
          <w:color w:val="auto"/>
        </w:rPr>
      </w:pPr>
    </w:p>
    <w:p>
      <w:pPr>
        <w:ind w:left="4" w:right="40" w:hanging="4"/>
        <w:spacing w:after="0" w:line="269" w:lineRule="auto"/>
        <w:tabs>
          <w:tab w:leader="none" w:pos="219"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Contributions in excess of the amount designated by a Participant in order to adjust for mistakes in the Company’s processing of properly completed Contribution elections; (ii) establish reasonable waiting and adjustment periods and/or accounting and crediting procedures to ensure that amounts applied toward the purchase of Common Stock for each Participant properly correspond with amounts withheld from the Participant’s Contributions; (iii) amend any outstanding Purchase Rights or clarify any ambiguities regarding the terms of any Offering to enable the Purchase Rights to qualify under and/or comply with Section 423 of the Code; and (iv)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7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Purchase Rights granted under the 423 Component are intended to be exempt from the application of Section 409A of the Code under U.S. Treasury Regulation Section 1.409A-1(b)(5)(ii). Purchase Rights granted under the Non-423 Component to U.S. taxpayers are intended to be exempt from the application 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11" w:name="page212"/>
    <w:bookmarkEnd w:id="21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409A of the Code under the short-term deferral exception and any ambiguities will be construed and interpreted in accordance with such intent. Subject to Section 13(b) below, Purchase Rights granted to U.S. taxpayers under the Non-423 Component will be subject to such terms and conditions that will permit such Purchase Rights to satisfy the requirements of the short-term deferral exception available under Section 409A of the Code, including the requirement that the shares subject to a Purchase Right be delivered within the short-term deferral period. Subject to Section 13(b) below, in the case of a Participant who would otherwise be subject to Section 409A of the Code, to the extent the Board determines that a Purchase Right or the exercise, payment, settlement, or deferral thereof is subject to Section 409A of the Code, the Purchase Right will be granted, exercised, paid, settled, or deferred in a manner that will comply with Section 409A of the Code, including U.S. Department of Treasury regulations and other interpretive guidance issued thereunder, including, without limitation, any such regulations or other guidance that may be issued after the adoption of the Plan. Notwithstanding the foregoing, the Company will have no liability to a Participant or any other party if the Purchase Right that is intended to be exempt from or compliant with Section 409A of the Code is not so exempt or compliant or for any action taken by the Board with respect thereto.</w:t>
      </w:r>
    </w:p>
    <w:p>
      <w:pPr>
        <w:spacing w:after="0" w:line="194" w:lineRule="exact"/>
        <w:rPr>
          <w:sz w:val="20"/>
          <w:szCs w:val="20"/>
          <w:color w:val="auto"/>
        </w:rPr>
      </w:pPr>
    </w:p>
    <w:p>
      <w:pPr>
        <w:ind w:right="60" w:firstLine="987"/>
        <w:spacing w:after="0" w:line="258" w:lineRule="auto"/>
        <w:tabs>
          <w:tab w:leader="none" w:pos="124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Tax Treatment</w:t>
      </w:r>
      <w:r>
        <w:rPr>
          <w:rFonts w:ascii="Times New Roman" w:cs="Times New Roman" w:eastAsia="Times New Roman" w:hAnsi="Times New Roman"/>
          <w:sz w:val="18"/>
          <w:szCs w:val="18"/>
          <w:color w:val="auto"/>
        </w:rPr>
        <w:t>. Although the Company may endeavor to (i) qualify a Purchase Right for special tax treatment under the laws of the United States or jurisdictions outside of the United States, or (ii) avoid adverse tax treatment (e.g., under Section 409A of the Code), the Company makes no representation to that effect and expressly disavows any covenant to maintain special or to avoid unfavorable tax treatment, notwithstanding anything to the contrary in this Plan, including Section 13(a) above. The Company will be unconstrained in its corporate activities without regard to the potential negative tax impact on Participants under the Plan.</w:t>
      </w:r>
    </w:p>
    <w:p>
      <w:pPr>
        <w:spacing w:after="0" w:line="183" w:lineRule="exact"/>
        <w:rPr>
          <w:rFonts w:ascii="Times New Roman" w:cs="Times New Roman" w:eastAsia="Times New Roman" w:hAnsi="Times New Roman"/>
          <w:sz w:val="18"/>
          <w:szCs w:val="18"/>
          <w:color w:val="auto"/>
        </w:rPr>
      </w:pPr>
    </w:p>
    <w:p>
      <w:pPr>
        <w:ind w:firstLine="436"/>
        <w:spacing w:after="0" w:line="271" w:lineRule="auto"/>
        <w:tabs>
          <w:tab w:leader="none" w:pos="71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The Participant will make adequate provision to satisfy the Tax-Related Items withholding obligations, if any, of the Company and/or the applicable 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 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 be required to issue any shares of Common Stock under the Plan until such obligations are satisfied.</w:t>
      </w:r>
    </w:p>
    <w:p>
      <w:pPr>
        <w:spacing w:after="0" w:line="173" w:lineRule="exact"/>
        <w:rPr>
          <w:rFonts w:ascii="Times New Roman" w:cs="Times New Roman" w:eastAsia="Times New Roman" w:hAnsi="Times New Roman"/>
          <w:sz w:val="17"/>
          <w:szCs w:val="17"/>
          <w:color w:val="auto"/>
        </w:rPr>
      </w:pPr>
    </w:p>
    <w:p>
      <w:pPr>
        <w:ind w:right="160" w:firstLine="436"/>
        <w:spacing w:after="0" w:line="266" w:lineRule="auto"/>
        <w:tabs>
          <w:tab w:leader="none" w:pos="71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Plan</w:t>
      </w:r>
      <w:r>
        <w:rPr>
          <w:rFonts w:ascii="Times New Roman" w:cs="Times New Roman" w:eastAsia="Times New Roman" w:hAnsi="Times New Roman"/>
          <w:sz w:val="18"/>
          <w:szCs w:val="18"/>
          <w:color w:val="auto"/>
        </w:rPr>
        <w:t>. The Plan will become effective on the Effective Date. No Purchase Rights will be exercised unless and until the Plan has been approved by the stockholders of the Company, which approval must be within 12 months before or after the date the Plan is adopted (or, if required under Section 12(a) above, amended) by the Board.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on exercise of Purchase Rights are recorded in the books of the Company (or its transfer agent).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Offering do not constitute an employment or service contract. Nothing in the Plan or in the Offering will in any way alter the at-will nature of a Participant’s employment, if applicable, or be deemed to create in any way whatsoever any obligation on the part of any Participant to continue his or her employment or service relationship with the Company, a Related Corporation, or an Affiliate, or on the part of the Company, a Related Corporation, or an Affiliate to continue the employment or service of a Participant.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12" w:name="page213"/>
    <w:bookmarkEnd w:id="212"/>
    <w:p>
      <w:pPr>
        <w:ind w:left="-40" w:right="100" w:firstLine="987"/>
        <w:spacing w:after="0" w:line="261" w:lineRule="auto"/>
        <w:tabs>
          <w:tab w:leader="none" w:pos="120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provisions of the Plan will be governed by the laws of the State of Delaware without resort to that state’s conflicts of laws rules. For purposes of litigating any dispute that may arise directly or indirectly from the Plan or any Offering,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79" w:lineRule="exact"/>
        <w:rPr>
          <w:rFonts w:ascii="Times New Roman" w:cs="Times New Roman" w:eastAsia="Times New Roman" w:hAnsi="Times New Roman"/>
          <w:sz w:val="18"/>
          <w:szCs w:val="18"/>
          <w:color w:val="auto"/>
        </w:rPr>
      </w:pPr>
    </w:p>
    <w:p>
      <w:pPr>
        <w:ind w:left="-40" w:right="560" w:firstLine="987"/>
        <w:spacing w:after="0" w:line="282" w:lineRule="auto"/>
        <w:tabs>
          <w:tab w:leader="none" w:pos="119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61" w:lineRule="exact"/>
        <w:rPr>
          <w:rFonts w:ascii="Times New Roman" w:cs="Times New Roman" w:eastAsia="Times New Roman" w:hAnsi="Times New Roman"/>
          <w:sz w:val="18"/>
          <w:szCs w:val="18"/>
          <w:color w:val="auto"/>
        </w:rPr>
      </w:pPr>
    </w:p>
    <w:p>
      <w:pPr>
        <w:ind w:left="-40" w:right="240" w:firstLine="987"/>
        <w:spacing w:after="0" w:line="282" w:lineRule="auto"/>
        <w:tabs>
          <w:tab w:leader="none" w:pos="117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does not comply with Applicable Laws, such provision will be construed in such a manner as to comply with Applicable Laws.</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the Plan, the following definitions will apply to the capitalized terms indicated below:</w:t>
      </w:r>
    </w:p>
    <w:p>
      <w:pPr>
        <w:spacing w:after="0" w:line="221" w:lineRule="exact"/>
        <w:rPr>
          <w:rFonts w:ascii="Times New Roman" w:cs="Times New Roman" w:eastAsia="Times New Roman" w:hAnsi="Times New Roman"/>
          <w:sz w:val="18"/>
          <w:szCs w:val="18"/>
          <w:color w:val="auto"/>
        </w:rPr>
      </w:pPr>
    </w:p>
    <w:p>
      <w:pPr>
        <w:ind w:left="-40" w:right="20" w:firstLine="987"/>
        <w:spacing w:after="0" w:line="286" w:lineRule="auto"/>
        <w:tabs>
          <w:tab w:leader="none" w:pos="11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54" w:lineRule="exact"/>
        <w:rPr>
          <w:rFonts w:ascii="Times New Roman" w:cs="Times New Roman" w:eastAsia="Times New Roman" w:hAnsi="Times New Roman"/>
          <w:sz w:val="18"/>
          <w:szCs w:val="18"/>
          <w:color w:val="auto"/>
        </w:rPr>
      </w:pPr>
    </w:p>
    <w:p>
      <w:pPr>
        <w:jc w:val="both"/>
        <w:ind w:left="-40" w:right="40" w:firstLine="987"/>
        <w:spacing w:after="0" w:line="268" w:lineRule="auto"/>
        <w:tabs>
          <w:tab w:leader="none" w:pos="120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170" w:lineRule="exact"/>
        <w:rPr>
          <w:rFonts w:ascii="Times New Roman" w:cs="Times New Roman" w:eastAsia="Times New Roman" w:hAnsi="Times New Roman"/>
          <w:sz w:val="18"/>
          <w:szCs w:val="18"/>
          <w:color w:val="auto"/>
        </w:rPr>
      </w:pPr>
    </w:p>
    <w:p>
      <w:pPr>
        <w:ind w:left="-40" w:right="20" w:firstLine="987"/>
        <w:spacing w:after="0" w:line="259" w:lineRule="auto"/>
        <w:tabs>
          <w:tab w:leader="none" w:pos="11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Purchase Rights are, or will be, granted under the Plan or Participants reside or provide services to the Company or any Related Corporation or Affiliate, as such laws, rules, and regulations shall be in effect from time to time.</w:t>
      </w:r>
    </w:p>
    <w:p>
      <w:pPr>
        <w:spacing w:after="0" w:line="179"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40" w:firstLine="987"/>
        <w:spacing w:after="0" w:line="257" w:lineRule="auto"/>
        <w:tabs>
          <w:tab w:leader="none" w:pos="11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color w:val="auto"/>
        </w:rPr>
      </w:pPr>
    </w:p>
    <w:p>
      <w:pPr>
        <w:ind w:left="-40" w:right="620" w:firstLine="987"/>
        <w:spacing w:after="0" w:line="286" w:lineRule="auto"/>
        <w:tabs>
          <w:tab w:leader="none" w:pos="120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213" w:name="page214"/>
    <w:bookmarkEnd w:id="213"/>
    <w:p>
      <w:pPr>
        <w:ind w:left="1200" w:hanging="213"/>
        <w:spacing w:after="0"/>
        <w:tabs>
          <w:tab w:leader="none" w:pos="12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Clover Health Investments, Corp., a Delaware corporation.</w:t>
      </w:r>
    </w:p>
    <w:p>
      <w:pPr>
        <w:spacing w:after="0" w:line="225" w:lineRule="exact"/>
        <w:rPr>
          <w:rFonts w:ascii="Times New Roman" w:cs="Times New Roman" w:eastAsia="Times New Roman" w:hAnsi="Times New Roman"/>
          <w:sz w:val="18"/>
          <w:szCs w:val="18"/>
          <w:color w:val="auto"/>
        </w:rPr>
      </w:pPr>
    </w:p>
    <w:p>
      <w:pPr>
        <w:ind w:firstLine="987"/>
        <w:spacing w:after="0" w:line="262" w:lineRule="auto"/>
        <w:tabs>
          <w:tab w:leader="none" w:pos="120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 other payments during the Offering.</w:t>
      </w:r>
    </w:p>
    <w:p>
      <w:pPr>
        <w:spacing w:after="0" w:line="176" w:lineRule="exact"/>
        <w:rPr>
          <w:rFonts w:ascii="Times New Roman" w:cs="Times New Roman" w:eastAsia="Times New Roman" w:hAnsi="Times New Roman"/>
          <w:sz w:val="18"/>
          <w:szCs w:val="18"/>
          <w:color w:val="auto"/>
        </w:rPr>
      </w:pPr>
    </w:p>
    <w:p>
      <w:pPr>
        <w:ind w:right="100" w:firstLine="987"/>
        <w:spacing w:after="0" w:line="286" w:lineRule="auto"/>
        <w:tabs>
          <w:tab w:leader="none" w:pos="12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all or substantially all of the Company’s assets;</w:t>
      </w:r>
    </w:p>
    <w:p>
      <w:pPr>
        <w:spacing w:after="0" w:line="225" w:lineRule="exact"/>
        <w:rPr>
          <w:rFonts w:ascii="Times New Roman" w:cs="Times New Roman" w:eastAsia="Times New Roman" w:hAnsi="Times New Roman"/>
          <w:sz w:val="18"/>
          <w:szCs w:val="18"/>
          <w:color w:val="auto"/>
        </w:rPr>
      </w:pPr>
    </w:p>
    <w:p>
      <w:pPr>
        <w:ind w:right="80" w:firstLine="1428"/>
        <w:spacing w:after="0" w:line="282" w:lineRule="auto"/>
        <w:tabs>
          <w:tab w:leader="none" w:pos="169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other capital reorganization or business combination transaction of the Company with or into another corporation, entity or person; or</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or series of related transactions, in which any “person” (as such term is used in</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Sections 13(d) and 14(d) of the Exchange Act) becomes the “beneficial owner” (as defined in Rule 13d-3 of the Exchange Act), directly or indirectly, of more than 50% of the Company’s then outstanding capital stock.</w:t>
      </w:r>
    </w:p>
    <w:p>
      <w:pPr>
        <w:spacing w:after="0" w:line="177" w:lineRule="exact"/>
        <w:rPr>
          <w:sz w:val="20"/>
          <w:szCs w:val="20"/>
          <w:color w:val="auto"/>
        </w:rPr>
      </w:pPr>
    </w:p>
    <w:p>
      <w:pPr>
        <w:ind w:left="1200" w:hanging="213"/>
        <w:spacing w:after="0"/>
        <w:tabs>
          <w:tab w:leader="none" w:pos="12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Corporation</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225" w:lineRule="exact"/>
        <w:rPr>
          <w:rFonts w:ascii="Times New Roman" w:cs="Times New Roman" w:eastAsia="Times New Roman" w:hAnsi="Times New Roman"/>
          <w:sz w:val="18"/>
          <w:szCs w:val="18"/>
          <w:color w:val="auto"/>
        </w:rPr>
      </w:pPr>
    </w:p>
    <w:p>
      <w:pPr>
        <w:ind w:right="140" w:firstLine="987"/>
        <w:spacing w:after="0" w:line="286"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Corporation or Designated 423 Corporation, provided, however, that at any given time, a Related Corporation participating in the 423 Component will not be a Related Corporation participating in the Non-423 Component.</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Corporation</w:t>
      </w:r>
      <w:r>
        <w:rPr>
          <w:rFonts w:ascii="Times New Roman" w:cs="Times New Roman" w:eastAsia="Times New Roman" w:hAnsi="Times New Roman"/>
          <w:sz w:val="18"/>
          <w:szCs w:val="18"/>
          <w:color w:val="auto"/>
        </w:rPr>
        <w:t>” means any Related Corporation or Affiliate selected by the Board as participating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Non-423 Component.</w:t>
      </w:r>
    </w:p>
    <w:p>
      <w:pPr>
        <w:spacing w:after="0" w:line="203" w:lineRule="exact"/>
        <w:rPr>
          <w:sz w:val="20"/>
          <w:szCs w:val="20"/>
          <w:color w:val="auto"/>
        </w:rPr>
      </w:pPr>
    </w:p>
    <w:p>
      <w:pPr>
        <w:ind w:left="1240" w:hanging="253"/>
        <w:spacing w:after="0"/>
        <w:tabs>
          <w:tab w:leader="none" w:pos="1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January 6, 2021.</w:t>
      </w:r>
    </w:p>
    <w:p>
      <w:pPr>
        <w:spacing w:after="0" w:line="225"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the Plan, the employment relationship will be treated as continuing intact while the Employee is on sick leave or other leave of absence approved by the Company or a Related Corporation or Affiliate that directly employs the Employee. Where the period of leave exceeds three (3) months and the Employee’s right to reemployment is not guaranteed either by statute or by contract, the employment relationship will be deemed to have terminated three (3) months and one (1) day following the commencement of such leave.</w:t>
      </w:r>
    </w:p>
    <w:p>
      <w:pPr>
        <w:spacing w:after="0" w:line="182" w:lineRule="exact"/>
        <w:rPr>
          <w:rFonts w:ascii="Times New Roman" w:cs="Times New Roman" w:eastAsia="Times New Roman" w:hAnsi="Times New Roman"/>
          <w:sz w:val="18"/>
          <w:szCs w:val="18"/>
          <w:color w:val="auto"/>
        </w:rPr>
      </w:pPr>
    </w:p>
    <w:p>
      <w:pPr>
        <w:jc w:val="both"/>
        <w:ind w:right="180" w:firstLine="987"/>
        <w:spacing w:after="0" w:line="262" w:lineRule="auto"/>
        <w:tabs>
          <w:tab w:leader="none" w:pos="121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Service Provider</w:t>
      </w:r>
      <w:r>
        <w:rPr>
          <w:rFonts w:ascii="Times New Roman" w:cs="Times New Roman" w:eastAsia="Times New Roman" w:hAnsi="Times New Roman"/>
          <w:sz w:val="18"/>
          <w:szCs w:val="18"/>
          <w:color w:val="auto"/>
        </w:rPr>
        <w:t>” means a natural person other than an Employee or Director who (i) is designated by the Committee to be an “Eligible Service Provider,” (ii) provides bonafide services to the Company or a Related Corporation, (iii) is not a U.S. taxpayer and (iv) meets the requirements set forth in the document(s) governing the Offering for eligibility to participate in the Offering, provided that such person also meets the requirements for eligibility to participate set forth in the Plan.</w:t>
      </w:r>
    </w:p>
    <w:p>
      <w:pPr>
        <w:spacing w:after="0" w:line="176" w:lineRule="exact"/>
        <w:rPr>
          <w:rFonts w:ascii="Times New Roman" w:cs="Times New Roman" w:eastAsia="Times New Roman" w:hAnsi="Times New Roman"/>
          <w:sz w:val="18"/>
          <w:szCs w:val="18"/>
          <w:color w:val="auto"/>
        </w:rPr>
      </w:pPr>
    </w:p>
    <w:p>
      <w:pPr>
        <w:ind w:right="80" w:firstLine="987"/>
        <w:spacing w:after="0" w:line="268" w:lineRule="auto"/>
        <w:tabs>
          <w:tab w:leader="none" w:pos="122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treated as an employee in the records of the Company or a Related Corporation or Affiliate. However, service solely as a Director, or payment of a fee for such services, will not cause a Director to be considered an “Employee” for purposes of the Plan.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14" w:name="page215"/>
    <w:bookmarkEnd w:id="214"/>
    <w:p>
      <w:pPr>
        <w:ind w:right="240" w:firstLine="987"/>
        <w:spacing w:after="0" w:line="286" w:lineRule="auto"/>
        <w:tabs>
          <w:tab w:leader="none" w:pos="12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color w:val="auto"/>
        </w:rPr>
      </w:pPr>
    </w:p>
    <w:p>
      <w:pPr>
        <w:jc w:val="both"/>
        <w:ind w:right="200" w:firstLine="1428"/>
        <w:spacing w:after="0" w:line="266" w:lineRule="auto"/>
        <w:tabs>
          <w:tab w:leader="none" w:pos="164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its Fair Market Value will be the closing sales price for such stock (or the closing bid, if no sales were reported) as quoted on such exchange or system on the date of determination, as reported in such source as the Board deems reliable;</w:t>
      </w:r>
    </w:p>
    <w:p>
      <w:pPr>
        <w:spacing w:after="0" w:line="175" w:lineRule="exact"/>
        <w:rPr>
          <w:rFonts w:ascii="Times New Roman" w:cs="Times New Roman" w:eastAsia="Times New Roman" w:hAnsi="Times New Roman"/>
          <w:sz w:val="18"/>
          <w:szCs w:val="18"/>
          <w:color w:val="auto"/>
        </w:rPr>
      </w:pPr>
    </w:p>
    <w:p>
      <w:pPr>
        <w:ind w:right="140" w:firstLine="1428"/>
        <w:spacing w:after="0" w:line="266" w:lineRule="auto"/>
        <w:tabs>
          <w:tab w:leader="none" w:pos="169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its Fair Market Value will be the mean of the closing bid and asked prices for the Common Stock on the date of determination, as reported in such source as the Board deems reliable; or</w:t>
      </w:r>
    </w:p>
    <w:p>
      <w:pPr>
        <w:spacing w:after="0" w:line="175" w:lineRule="exact"/>
        <w:rPr>
          <w:rFonts w:ascii="Times New Roman" w:cs="Times New Roman" w:eastAsia="Times New Roman" w:hAnsi="Times New Roman"/>
          <w:sz w:val="18"/>
          <w:szCs w:val="18"/>
          <w:color w:val="auto"/>
        </w:rPr>
      </w:pPr>
    </w:p>
    <w:p>
      <w:pPr>
        <w:ind w:right="200" w:firstLine="1428"/>
        <w:spacing w:after="0" w:line="282" w:lineRule="auto"/>
        <w:tabs>
          <w:tab w:leader="none" w:pos="174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 Board in compliance with Applicable Laws and in a manner that complies with Sections 409A of the Code.</w:t>
      </w:r>
    </w:p>
    <w:p>
      <w:pPr>
        <w:spacing w:after="0" w:line="15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Purchase Date</w:t>
      </w:r>
      <w:r>
        <w:rPr>
          <w:rFonts w:ascii="Times New Roman" w:cs="Times New Roman" w:eastAsia="Times New Roman" w:hAnsi="Times New Roman"/>
          <w:sz w:val="18"/>
          <w:szCs w:val="18"/>
          <w:color w:val="auto"/>
        </w:rPr>
        <w:t>” means a new Purchase Date set by shortening any Offering then in progress.</w:t>
      </w:r>
    </w:p>
    <w:p>
      <w:pPr>
        <w:spacing w:after="0" w:line="225" w:lineRule="exact"/>
        <w:rPr>
          <w:rFonts w:ascii="Times New Roman" w:cs="Times New Roman" w:eastAsia="Times New Roman" w:hAnsi="Times New Roman"/>
          <w:sz w:val="18"/>
          <w:szCs w:val="18"/>
          <w:color w:val="auto"/>
        </w:rPr>
      </w:pPr>
    </w:p>
    <w:p>
      <w:pPr>
        <w:ind w:firstLine="987"/>
        <w:spacing w:after="0" w:line="286" w:lineRule="auto"/>
        <w:tabs>
          <w:tab w:leader="none" w:pos="12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 and Eligible Service Providers.</w:t>
      </w:r>
    </w:p>
    <w:p>
      <w:pPr>
        <w:spacing w:after="0" w:line="154" w:lineRule="exact"/>
        <w:rPr>
          <w:rFonts w:ascii="Times New Roman" w:cs="Times New Roman" w:eastAsia="Times New Roman" w:hAnsi="Times New Roman"/>
          <w:sz w:val="18"/>
          <w:szCs w:val="18"/>
          <w:color w:val="auto"/>
        </w:rPr>
      </w:pPr>
    </w:p>
    <w:p>
      <w:pPr>
        <w:ind w:right="40" w:firstLine="987"/>
        <w:spacing w:after="0" w:line="268"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or Eligible Service Providers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1" w:lineRule="exact"/>
        <w:rPr>
          <w:sz w:val="20"/>
          <w:szCs w:val="20"/>
          <w:color w:val="auto"/>
        </w:rPr>
      </w:pPr>
    </w:p>
    <w:p>
      <w:pPr>
        <w:ind w:left="1320" w:hanging="333"/>
        <w:spacing w:after="0"/>
        <w:tabs>
          <w:tab w:leader="none" w:pos="13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color w:val="auto"/>
        </w:rPr>
      </w:pPr>
    </w:p>
    <w:p>
      <w:pPr>
        <w:ind w:right="400" w:firstLine="987"/>
        <w:spacing w:after="0" w:line="286" w:lineRule="auto"/>
        <w:tabs>
          <w:tab w:leader="none" w:pos="13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“Offering Period” </w:t>
      </w:r>
      <w:r>
        <w:rPr>
          <w:rFonts w:ascii="Times New Roman" w:cs="Times New Roman" w:eastAsia="Times New Roman" w:hAnsi="Times New Roman"/>
          <w:sz w:val="18"/>
          <w:szCs w:val="18"/>
          <w:color w:val="auto"/>
        </w:rPr>
        <w:t>means a period with respect to which the right to purchase Common Stock may be granted under the Plan,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Board pursuant to the Plan.</w:t>
      </w:r>
    </w:p>
    <w:p>
      <w:pPr>
        <w:spacing w:after="0" w:line="154" w:lineRule="exact"/>
        <w:rPr>
          <w:rFonts w:ascii="Times New Roman" w:cs="Times New Roman" w:eastAsia="Times New Roman" w:hAnsi="Times New Roman"/>
          <w:sz w:val="18"/>
          <w:szCs w:val="18"/>
          <w:color w:val="auto"/>
        </w:rPr>
      </w:pPr>
    </w:p>
    <w:p>
      <w:pPr>
        <w:ind w:right="60" w:firstLine="987"/>
        <w:spacing w:after="0" w:line="286" w:lineRule="auto"/>
        <w:tabs>
          <w:tab w:leader="none" w:pos="131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or Affiliate within the meaning of Section 16 of the Exchange Act.</w:t>
      </w:r>
    </w:p>
    <w:p>
      <w:pPr>
        <w:spacing w:after="0" w:line="154"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or Eligible Service Provider who holds an outstanding Purchase Right.</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Clover Investments Corp. 2020 Employee Stock Purchase Plan, including both the 423 Component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Non-423 Component, as amended from time to time.</w:t>
      </w:r>
    </w:p>
    <w:p>
      <w:pPr>
        <w:spacing w:after="0" w:line="203" w:lineRule="exact"/>
        <w:rPr>
          <w:sz w:val="20"/>
          <w:szCs w:val="20"/>
          <w:color w:val="auto"/>
        </w:rPr>
      </w:pPr>
    </w:p>
    <w:p>
      <w:pPr>
        <w:ind w:right="140" w:firstLine="987"/>
        <w:spacing w:after="0" w:line="286" w:lineRule="auto"/>
        <w:tabs>
          <w:tab w:leader="none" w:pos="127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215" w:name="page216"/>
    <w:bookmarkEnd w:id="215"/>
    <w:p>
      <w:pPr>
        <w:ind w:left="-120" w:right="300" w:firstLine="987"/>
        <w:spacing w:after="0" w:line="286" w:lineRule="auto"/>
        <w:tabs>
          <w:tab w:leader="none" w:pos="121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color w:val="auto"/>
        </w:rPr>
      </w:pPr>
    </w:p>
    <w:p>
      <w:pPr>
        <w:ind w:left="1220" w:hanging="353"/>
        <w:spacing w:after="0"/>
        <w:tabs>
          <w:tab w:leader="none" w:pos="12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86" w:lineRule="auto"/>
        <w:tabs>
          <w:tab w:leader="none" w:pos="11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color w:val="auto"/>
        </w:rPr>
      </w:pPr>
    </w:p>
    <w:p>
      <w:pPr>
        <w:ind w:left="1140" w:hanging="273"/>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120" w:firstLine="987"/>
        <w:spacing w:after="0" w:line="286" w:lineRule="auto"/>
        <w:tabs>
          <w:tab w:leader="none" w:pos="121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in relation to a Participant’s participation in the Plan and legally applicable to a Participant.</w:t>
      </w:r>
    </w:p>
    <w:p>
      <w:pPr>
        <w:spacing w:after="0" w:line="154" w:lineRule="exact"/>
        <w:rPr>
          <w:rFonts w:ascii="Times New Roman" w:cs="Times New Roman" w:eastAsia="Times New Roman" w:hAnsi="Times New Roman"/>
          <w:sz w:val="18"/>
          <w:szCs w:val="18"/>
          <w:color w:val="auto"/>
        </w:rPr>
      </w:pPr>
    </w:p>
    <w:p>
      <w:pPr>
        <w:ind w:left="1140" w:hanging="273"/>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 or market on which shares of Common Stock are listed is open for trading.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 O 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60" w:top="266" w:right="5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MANAGEMENT INCENTIVE PLAN</w:t>
      </w:r>
    </w:p>
    <w:p>
      <w:pPr>
        <w:spacing w:after="0" w:line="229" w:lineRule="exact"/>
        <w:rPr>
          <w:sz w:val="20"/>
          <w:szCs w:val="20"/>
          <w:color w:val="auto"/>
        </w:rPr>
      </w:pPr>
    </w:p>
    <w:p>
      <w:pPr>
        <w:ind w:right="320" w:firstLine="436"/>
        <w:spacing w:after="0" w:line="282" w:lineRule="auto"/>
        <w:tabs>
          <w:tab w:leader="none" w:pos="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(a) to incentivize the Key Employees with long-term equity-based compensation to align their interests with the Company’s stockholders; and (b) to promote the success of the Company’s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Plan only permits the grant of Restricted Stock Units to Key Employees in the amounts and pursuant to the terms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20" w:hanging="184"/>
        <w:spacing w:after="0"/>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right="1060" w:firstLine="987"/>
        <w:spacing w:after="0" w:line="286" w:lineRule="auto"/>
        <w:tabs>
          <w:tab w:leader="none" w:pos="12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154" w:lineRule="exact"/>
        <w:rPr>
          <w:rFonts w:ascii="Times New Roman" w:cs="Times New Roman" w:eastAsia="Times New Roman" w:hAnsi="Times New Roman"/>
          <w:sz w:val="18"/>
          <w:szCs w:val="18"/>
          <w:color w:val="auto"/>
        </w:rPr>
      </w:pPr>
    </w:p>
    <w:p>
      <w:pPr>
        <w:ind w:right="120" w:firstLine="987"/>
        <w:spacing w:after="0" w:line="259" w:lineRule="auto"/>
        <w:tabs>
          <w:tab w:leader="none" w:pos="123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or state laws, rules and regulations, the rules and regulations of any stock exchange or quotation system on which the Class A Common Stock is listed or quoted, and the applicable laws, rules and regulations of any other country or jurisdiction where Restricted Stock Unit Awards are, or will be, granted under the Plan or Participants reside or provide services to the Company or any Affiliate, as such laws, rules, and regulations shall be in effect from time to time.</w:t>
      </w:r>
    </w:p>
    <w:p>
      <w:pPr>
        <w:spacing w:after="0" w:line="179" w:lineRule="exact"/>
        <w:rPr>
          <w:rFonts w:ascii="Times New Roman" w:cs="Times New Roman" w:eastAsia="Times New Roman" w:hAnsi="Times New Roman"/>
          <w:sz w:val="18"/>
          <w:szCs w:val="18"/>
          <w:color w:val="auto"/>
        </w:rPr>
      </w:pPr>
    </w:p>
    <w:p>
      <w:pPr>
        <w:ind w:right="380" w:firstLine="987"/>
        <w:spacing w:after="0" w:line="286" w:lineRule="auto"/>
        <w:tabs>
          <w:tab w:leader="none" w:pos="12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Restricted Stock Unit Award granted under the Plan. The Award Agreement is subject to the terms and conditions of the Plan.</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such meaning as in the Key Employee’s employment agreement with the Company.</w:t>
      </w:r>
    </w:p>
    <w:p>
      <w:pPr>
        <w:spacing w:after="0" w:line="225" w:lineRule="exact"/>
        <w:rPr>
          <w:rFonts w:ascii="Times New Roman" w:cs="Times New Roman" w:eastAsia="Times New Roman" w:hAnsi="Times New Roman"/>
          <w:sz w:val="18"/>
          <w:szCs w:val="18"/>
          <w:color w:val="auto"/>
        </w:rPr>
      </w:pPr>
    </w:p>
    <w:p>
      <w:pPr>
        <w:ind w:right="760" w:firstLine="987"/>
        <w:spacing w:after="0" w:line="286" w:lineRule="auto"/>
        <w:tabs>
          <w:tab w:leader="none" w:pos="12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except as may otherwise be provided in an Award Agreement or other applicable agreement, means the occurrence of any of the following:</w:t>
      </w:r>
    </w:p>
    <w:p>
      <w:pPr>
        <w:spacing w:after="0" w:line="158" w:lineRule="exact"/>
        <w:rPr>
          <w:rFonts w:ascii="Times New Roman" w:cs="Times New Roman" w:eastAsia="Times New Roman" w:hAnsi="Times New Roman"/>
          <w:sz w:val="18"/>
          <w:szCs w:val="18"/>
          <w:color w:val="auto"/>
        </w:rPr>
      </w:pPr>
    </w:p>
    <w:p>
      <w:pPr>
        <w:ind w:right="20" w:firstLine="1428"/>
        <w:spacing w:after="0" w:line="261" w:lineRule="auto"/>
        <w:tabs>
          <w:tab w:leader="none" w:pos="1647"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79" w:lineRule="exact"/>
        <w:rPr>
          <w:rFonts w:ascii="Times New Roman" w:cs="Times New Roman" w:eastAsia="Times New Roman" w:hAnsi="Times New Roman"/>
          <w:sz w:val="18"/>
          <w:szCs w:val="18"/>
          <w:color w:val="auto"/>
        </w:rPr>
      </w:pPr>
    </w:p>
    <w:p>
      <w:pPr>
        <w:jc w:val="both"/>
        <w:ind w:right="40" w:firstLine="1428"/>
        <w:spacing w:after="0" w:line="258" w:lineRule="auto"/>
        <w:tabs>
          <w:tab w:leader="none" w:pos="1697"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2(g)(i) in connection with a merger, consolidation or reorganization which does not result in a Change in Control under Section 2(g)(i));</w:t>
      </w:r>
    </w:p>
    <w:p>
      <w:pPr>
        <w:spacing w:after="0" w:line="183" w:lineRule="exact"/>
        <w:rPr>
          <w:rFonts w:ascii="Times New Roman" w:cs="Times New Roman" w:eastAsia="Times New Roman" w:hAnsi="Times New Roman"/>
          <w:sz w:val="18"/>
          <w:szCs w:val="18"/>
          <w:color w:val="auto"/>
        </w:rPr>
      </w:pPr>
    </w:p>
    <w:p>
      <w:pPr>
        <w:jc w:val="both"/>
        <w:ind w:right="80" w:firstLine="1428"/>
        <w:spacing w:after="0" w:line="266" w:lineRule="auto"/>
        <w:tabs>
          <w:tab w:leader="none" w:pos="1747"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ectPr>
          <w:pgSz w:w="11900" w:h="16838" w:orient="portrait"/>
          <w:cols w:equalWidth="0" w:num="1">
            <w:col w:w="11020"/>
          </w:cols>
          <w:pgMar w:left="440" w:top="266" w:right="439" w:bottom="1440" w:gutter="0" w:footer="0" w:header="0"/>
        </w:sectPr>
      </w:pPr>
    </w:p>
    <w:bookmarkStart w:id="217" w:name="page218"/>
    <w:bookmarkEnd w:id="217"/>
    <w:p>
      <w:pPr>
        <w:ind w:right="20" w:firstLine="1428"/>
        <w:spacing w:after="0" w:line="261" w:lineRule="auto"/>
        <w:tabs>
          <w:tab w:leader="none" w:pos="173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2(g), the term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have the same meaning as when used in Sections 13(d) and 14(d) of the Exchange Act but shall exclude:</w:t>
      </w:r>
    </w:p>
    <w:p>
      <w:pPr>
        <w:spacing w:after="0" w:line="179"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or other fiduciary holding securities under an employee benefit plan of the Company or an Affiliate;</w:t>
      </w:r>
    </w:p>
    <w:p>
      <w:pPr>
        <w:spacing w:after="0" w:line="225" w:lineRule="exact"/>
        <w:rPr>
          <w:rFonts w:ascii="Times New Roman" w:cs="Times New Roman" w:eastAsia="Times New Roman" w:hAnsi="Times New Roman"/>
          <w:sz w:val="18"/>
          <w:szCs w:val="18"/>
          <w:color w:val="auto"/>
        </w:rPr>
      </w:pPr>
    </w:p>
    <w:p>
      <w:pPr>
        <w:ind w:right="220" w:firstLine="1979"/>
        <w:spacing w:after="0" w:line="282" w:lineRule="auto"/>
        <w:tabs>
          <w:tab w:leader="none" w:pos="223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owned directly or indirectly by the stockholders of the Company in substantially the same proportions as their ownership of the Common Stock of the Company;</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w:t>
      </w:r>
    </w:p>
    <w:p>
      <w:pPr>
        <w:spacing w:after="0" w:line="22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of which at least a majority of its combined voting power is owned directly or indirectly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right="100" w:firstLine="1432"/>
        <w:spacing w:after="0" w:line="255" w:lineRule="auto"/>
        <w:rPr>
          <w:sz w:val="20"/>
          <w:szCs w:val="20"/>
          <w:color w:val="auto"/>
        </w:rPr>
      </w:pPr>
      <w:r>
        <w:rPr>
          <w:rFonts w:ascii="Times New Roman" w:cs="Times New Roman" w:eastAsia="Times New Roman" w:hAnsi="Times New Roman"/>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82" w:lineRule="exact"/>
        <w:rPr>
          <w:sz w:val="20"/>
          <w:szCs w:val="20"/>
          <w:color w:val="auto"/>
        </w:rPr>
      </w:pPr>
    </w:p>
    <w:p>
      <w:pPr>
        <w:ind w:left="1240" w:hanging="253"/>
        <w:spacing w:after="0"/>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the shares of Class A common stock of the Company issuable upon conversion of the Class B</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2"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the Class B common stock of the Company.</w:t>
      </w:r>
    </w:p>
    <w:p>
      <w:pPr>
        <w:spacing w:after="0" w:line="225" w:lineRule="exact"/>
        <w:rPr>
          <w:rFonts w:ascii="Times New Roman" w:cs="Times New Roman" w:eastAsia="Times New Roman" w:hAnsi="Times New Roman"/>
          <w:sz w:val="18"/>
          <w:szCs w:val="18"/>
          <w:color w:val="auto"/>
        </w:rPr>
      </w:pPr>
    </w:p>
    <w:p>
      <w:pPr>
        <w:ind w:right="40" w:firstLine="987"/>
        <w:spacing w:after="0" w:line="286" w:lineRule="auto"/>
        <w:tabs>
          <w:tab w:leader="none" w:pos="120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the closing of the transactions described in that certain Agreement and Plan of Merger by and among Social Capital Hedosophia Holdings Corp. III, Asclepius Merger Sub Inc., and Clover Health Investments, Corp. dated as of October 5, 2020.</w:t>
      </w:r>
    </w:p>
    <w:p>
      <w:pPr>
        <w:spacing w:after="0" w:line="154" w:lineRule="exact"/>
        <w:rPr>
          <w:rFonts w:ascii="Times New Roman" w:cs="Times New Roman" w:eastAsia="Times New Roman" w:hAnsi="Times New Roman"/>
          <w:sz w:val="18"/>
          <w:szCs w:val="18"/>
          <w:color w:val="auto"/>
        </w:rPr>
      </w:pPr>
    </w:p>
    <w:p>
      <w:pPr>
        <w:ind w:right="80" w:firstLine="987"/>
        <w:spacing w:after="0" w:line="268" w:lineRule="auto"/>
        <w:tabs>
          <w:tab w:leader="none" w:pos="12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0" w:lineRule="exact"/>
        <w:rPr>
          <w:rFonts w:ascii="Times New Roman" w:cs="Times New Roman" w:eastAsia="Times New Roman" w:hAnsi="Times New Roman"/>
          <w:sz w:val="18"/>
          <w:szCs w:val="18"/>
          <w:color w:val="auto"/>
        </w:rPr>
      </w:pPr>
    </w:p>
    <w:p>
      <w:pPr>
        <w:ind w:right="40" w:firstLine="987"/>
        <w:spacing w:after="0" w:line="286" w:lineRule="auto"/>
        <w:tabs>
          <w:tab w:leader="none" w:pos="120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54"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Clover Health Investments, Corp., a Delaware corporation, or any successor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January 6,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18" w:name="page219"/>
    <w:bookmarkEnd w:id="218"/>
    <w:p>
      <w:pPr>
        <w:ind w:right="100" w:firstLine="987"/>
        <w:spacing w:after="0" w:line="286"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Officers and Directors, employed by the Company or any Affiliate of the Company. Neither service as a Director nor payment of a director’s fee by the Company will be sufficient to constitute “employment” by the Company.</w:t>
      </w:r>
    </w:p>
    <w:p>
      <w:pPr>
        <w:spacing w:after="0" w:line="154"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Key Employees</w:t>
      </w:r>
      <w:r>
        <w:rPr>
          <w:rFonts w:ascii="Times New Roman" w:cs="Times New Roman" w:eastAsia="Times New Roman" w:hAnsi="Times New Roman"/>
          <w:sz w:val="18"/>
          <w:szCs w:val="18"/>
          <w:color w:val="auto"/>
        </w:rPr>
        <w:t>” means Vivek Garipalli and Andrew Toy.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right="140" w:firstLine="987"/>
        <w:spacing w:after="0" w:line="286" w:lineRule="auto"/>
        <w:tabs>
          <w:tab w:leader="none" w:pos="120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Class B Common Stock determined by reference to the Class A Common Stock as follows:</w:t>
      </w:r>
    </w:p>
    <w:p>
      <w:pPr>
        <w:spacing w:after="0" w:line="158" w:lineRule="exact"/>
        <w:rPr>
          <w:rFonts w:ascii="Times New Roman" w:cs="Times New Roman" w:eastAsia="Times New Roman" w:hAnsi="Times New Roman"/>
          <w:sz w:val="18"/>
          <w:szCs w:val="18"/>
          <w:color w:val="auto"/>
        </w:rPr>
      </w:pPr>
    </w:p>
    <w:p>
      <w:pPr>
        <w:ind w:firstLine="1428"/>
        <w:spacing w:after="0" w:line="266" w:lineRule="auto"/>
        <w:tabs>
          <w:tab w:leader="none" w:pos="164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Common Stock is listed on any established stock exchange or a national market system, its Fair Market Value will be the closing sales price for such stock (or the closing bid, if no sales were reported) as quoted on such exchange or system on the day of determination, as reported in such source as the Administrator deems reliable;</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69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Common Stock is regularly quoted by a recognized securities dealer but selling prices are not reported, the Fair Market Value of a Share will be the mean between the high bid and low asked prices for the Class A Common Stock on the day of determination, as reported in such source as the Administrator deems reliable; or</w:t>
      </w:r>
    </w:p>
    <w:p>
      <w:pPr>
        <w:spacing w:after="0" w:line="175" w:lineRule="exact"/>
        <w:rPr>
          <w:rFonts w:ascii="Times New Roman" w:cs="Times New Roman" w:eastAsia="Times New Roman" w:hAnsi="Times New Roman"/>
          <w:sz w:val="18"/>
          <w:szCs w:val="18"/>
          <w:color w:val="auto"/>
        </w:rPr>
      </w:pPr>
    </w:p>
    <w:p>
      <w:pPr>
        <w:ind w:right="120" w:firstLine="1428"/>
        <w:spacing w:after="0" w:line="282" w:lineRule="auto"/>
        <w:tabs>
          <w:tab w:leader="none" w:pos="174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Class A Common Stock, the Fair Market Value will be determined in good faith by the Administrator in compliance with Applicable Laws and regulations and in a manner that complies with Section 409A of the Code.</w:t>
      </w:r>
    </w:p>
    <w:p>
      <w:pPr>
        <w:spacing w:after="0" w:line="157" w:lineRule="exact"/>
        <w:rPr>
          <w:rFonts w:ascii="Times New Roman" w:cs="Times New Roman" w:eastAsia="Times New Roman" w:hAnsi="Times New Roman"/>
          <w:sz w:val="18"/>
          <w:szCs w:val="18"/>
          <w:color w:val="auto"/>
        </w:rPr>
      </w:pPr>
    </w:p>
    <w:p>
      <w:pPr>
        <w:ind w:right="300" w:firstLine="987"/>
        <w:spacing w:after="0" w:line="286"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Contractor</w:t>
      </w:r>
      <w:r>
        <w:rPr>
          <w:rFonts w:ascii="Times New Roman" w:cs="Times New Roman" w:eastAsia="Times New Roman" w:hAnsi="Times New Roman"/>
          <w:sz w:val="18"/>
          <w:szCs w:val="18"/>
          <w:color w:val="auto"/>
        </w:rPr>
        <w:t>” means any person, including an advisor, consultant or agent, engaged by the Company or an Affiliate to render services to such entity or who renders, or has rendered, services to the Company, or any Affiliate and is compensated for such services.</w:t>
      </w:r>
    </w:p>
    <w:p>
      <w:pPr>
        <w:spacing w:after="0" w:line="154" w:lineRule="exact"/>
        <w:rPr>
          <w:rFonts w:ascii="Times New Roman" w:cs="Times New Roman" w:eastAsia="Times New Roman" w:hAnsi="Times New Roman"/>
          <w:sz w:val="18"/>
          <w:szCs w:val="18"/>
          <w:color w:val="auto"/>
        </w:rPr>
      </w:pPr>
    </w:p>
    <w:p>
      <w:pPr>
        <w:ind w:right="620" w:firstLine="987"/>
        <w:spacing w:after="0" w:line="286"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Common Stock are subject to Section 16 of the Exchange Act.</w:t>
      </w:r>
    </w:p>
    <w:p>
      <w:pPr>
        <w:spacing w:after="0" w:line="154" w:lineRule="exact"/>
        <w:rPr>
          <w:rFonts w:ascii="Times New Roman" w:cs="Times New Roman" w:eastAsia="Times New Roman" w:hAnsi="Times New Roman"/>
          <w:sz w:val="18"/>
          <w:szCs w:val="18"/>
          <w:color w:val="auto"/>
        </w:rPr>
      </w:pPr>
    </w:p>
    <w:p>
      <w:pPr>
        <w:ind w:right="200" w:firstLine="987"/>
        <w:spacing w:after="0" w:line="286" w:lineRule="auto"/>
        <w:tabs>
          <w:tab w:leader="none" w:pos="128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4" w:lineRule="exact"/>
        <w:rPr>
          <w:rFonts w:ascii="Times New Roman" w:cs="Times New Roman" w:eastAsia="Times New Roman" w:hAnsi="Times New Roman"/>
          <w:sz w:val="18"/>
          <w:szCs w:val="18"/>
          <w:color w:val="auto"/>
        </w:rPr>
      </w:pPr>
    </w:p>
    <w:p>
      <w:pPr>
        <w:ind w:right="20" w:firstLine="987"/>
        <w:spacing w:after="0" w:line="262"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the holder of an outstanding Restricted Stock Unit Award.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color w:val="auto"/>
        </w:rPr>
        <w:t>” means the stock price goals set forth in Exhibit A.</w:t>
      </w:r>
    </w:p>
    <w:p>
      <w:pPr>
        <w:spacing w:after="0" w:line="225" w:lineRule="exact"/>
        <w:rPr>
          <w:sz w:val="20"/>
          <w:szCs w:val="20"/>
          <w:color w:val="auto"/>
        </w:rPr>
      </w:pPr>
    </w:p>
    <w:p>
      <w:pPr>
        <w:ind w:left="1320" w:hanging="333"/>
        <w:spacing w:after="0"/>
        <w:tabs>
          <w:tab w:leader="none" w:pos="13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2020 Management Incentive Plan.</w:t>
      </w:r>
    </w:p>
    <w:p>
      <w:pPr>
        <w:spacing w:after="0" w:line="225" w:lineRule="exact"/>
        <w:rPr>
          <w:rFonts w:ascii="Times New Roman" w:cs="Times New Roman" w:eastAsia="Times New Roman" w:hAnsi="Times New Roman"/>
          <w:sz w:val="18"/>
          <w:szCs w:val="18"/>
          <w:color w:val="auto"/>
        </w:rPr>
      </w:pPr>
    </w:p>
    <w:p>
      <w:pPr>
        <w:ind w:right="360" w:firstLine="987"/>
        <w:spacing w:after="0" w:line="286" w:lineRule="auto"/>
        <w:tabs>
          <w:tab w:leader="none" w:pos="13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6. Each Restricted Stock Unit represents an unfunded and unsecured obligation of the Company.</w:t>
      </w:r>
    </w:p>
    <w:p>
      <w:pPr>
        <w:spacing w:after="0" w:line="154"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individually or collectively, a grant under the Plan of Restricted Stock Units.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19" w:name="page220"/>
    <w:bookmarkEnd w:id="219"/>
    <w:p>
      <w:pPr>
        <w:ind w:right="100" w:firstLine="987"/>
        <w:spacing w:after="0" w:line="286" w:lineRule="auto"/>
        <w:tabs>
          <w:tab w:leader="none" w:pos="1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4"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Director or Independent Contractor.</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share of the Class B Common Stock, as adjusted in accordance with Section 9 of the Plan.</w:t>
      </w:r>
    </w:p>
    <w:p>
      <w:pPr>
        <w:spacing w:after="0" w:line="225" w:lineRule="exact"/>
        <w:rPr>
          <w:rFonts w:ascii="Times New Roman" w:cs="Times New Roman" w:eastAsia="Times New Roman" w:hAnsi="Times New Roman"/>
          <w:sz w:val="18"/>
          <w:szCs w:val="18"/>
          <w:color w:val="auto"/>
        </w:rPr>
      </w:pPr>
    </w:p>
    <w:p>
      <w:pPr>
        <w:jc w:val="both"/>
        <w:ind w:firstLine="987"/>
        <w:spacing w:after="0" w:line="262" w:lineRule="auto"/>
        <w:tabs>
          <w:tab w:leader="none" w:pos="1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6" w:lineRule="exact"/>
        <w:rPr>
          <w:rFonts w:ascii="Times New Roman" w:cs="Times New Roman" w:eastAsia="Times New Roman" w:hAnsi="Times New Roman"/>
          <w:sz w:val="18"/>
          <w:szCs w:val="18"/>
          <w:color w:val="auto"/>
        </w:rPr>
      </w:pPr>
    </w:p>
    <w:p>
      <w:pPr>
        <w:ind w:right="20" w:firstLine="987"/>
        <w:spacing w:after="0" w:line="286" w:lineRule="auto"/>
        <w:tabs>
          <w:tab w:leader="none" w:pos="1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income tax, social insurance or other social contributions, national insurance, social security, payroll tax, fringe benefits tax, payment on account or other tax-related items.</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Subject to the provisions of Section 9 of the Plan, the maximum aggregate number of Shares that may be issued under the Plan shall not exceed 33,426,983 Shares. The Shares may be authorized, but unissued, or reacquired Class B Common Stock.</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 Recycling</w:t>
      </w:r>
      <w:r>
        <w:rPr>
          <w:rFonts w:ascii="Times New Roman" w:cs="Times New Roman" w:eastAsia="Times New Roman" w:hAnsi="Times New Roman"/>
          <w:sz w:val="18"/>
          <w:szCs w:val="18"/>
          <w:color w:val="auto"/>
        </w:rPr>
        <w:t>. Any Restricted Stock Unit Awards issued under this Plan shall not be returned to the Plan and shall not become available for future issuance under the Plan under any circumstance.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82" w:lineRule="auto"/>
        <w:tabs>
          <w:tab w:leader="none" w:pos="1647"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right="60" w:firstLine="1428"/>
        <w:spacing w:after="0" w:line="282" w:lineRule="auto"/>
        <w:tabs>
          <w:tab w:leader="none" w:pos="1697"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the Administrator will have the authority:</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grant Restricted Stock Units to Key Employees in the amounts and pursuant to the terms set forth in </w:t>
      </w:r>
      <w:r>
        <w:rPr>
          <w:rFonts w:ascii="Times New Roman" w:cs="Times New Roman" w:eastAsia="Times New Roman" w:hAnsi="Times New Roman"/>
          <w:sz w:val="18"/>
          <w:szCs w:val="18"/>
          <w:u w:val="single" w:color="auto"/>
          <w:color w:val="auto"/>
        </w:rPr>
        <w:t>Exhibit A;</w:t>
      </w:r>
    </w:p>
    <w:p>
      <w:pPr>
        <w:spacing w:after="0" w:line="22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3"/>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 provided such forms of Award Agreement are consistent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terms of this Plan;</w:t>
      </w:r>
    </w:p>
    <w:p>
      <w:pPr>
        <w:spacing w:after="0" w:line="206"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3"/>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Restricted Stock Unit Awards granted pursuant to the Plan;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220" w:name="page221"/>
    <w:bookmarkEnd w:id="220"/>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(iv) correct any defect, supply any omission or reconcile any inconsistency in this Plan, any Restricted Stock Unit Award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Award Agreement;</w:t>
      </w:r>
    </w:p>
    <w:p>
      <w:pPr>
        <w:spacing w:after="0" w:line="207" w:lineRule="exact"/>
        <w:rPr>
          <w:sz w:val="20"/>
          <w:szCs w:val="20"/>
          <w:color w:val="auto"/>
        </w:rPr>
      </w:pPr>
    </w:p>
    <w:p>
      <w:pPr>
        <w:ind w:left="2240" w:hanging="261"/>
        <w:spacing w:after="0"/>
        <w:tabs>
          <w:tab w:leader="none" w:pos="224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firstLine="1979"/>
        <w:spacing w:after="0" w:line="282" w:lineRule="auto"/>
        <w:tabs>
          <w:tab w:leader="none" w:pos="2288"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Restricted Stock Unit Award (subject to Section 16 of the Plan), including but not limited to the discretionary authority to accelerate vesting;</w:t>
      </w:r>
    </w:p>
    <w:p>
      <w:pPr>
        <w:spacing w:after="0" w:line="161"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10 of the Plan;</w:t>
      </w:r>
    </w:p>
    <w:p>
      <w:pPr>
        <w:spacing w:after="0" w:line="225" w:lineRule="exact"/>
        <w:rPr>
          <w:rFonts w:ascii="Times New Roman" w:cs="Times New Roman" w:eastAsia="Times New Roman" w:hAnsi="Times New Roman"/>
          <w:sz w:val="18"/>
          <w:szCs w:val="18"/>
          <w:color w:val="auto"/>
        </w:rPr>
      </w:pPr>
    </w:p>
    <w:p>
      <w:pPr>
        <w:ind w:right="80" w:firstLine="1979"/>
        <w:spacing w:after="0" w:line="282" w:lineRule="auto"/>
        <w:tabs>
          <w:tab w:leader="none" w:pos="2388"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 Restricted Stock Unit Award previously granted by the Administrator;</w:t>
      </w:r>
    </w:p>
    <w:p>
      <w:pPr>
        <w:spacing w:after="0" w:line="161" w:lineRule="exact"/>
        <w:rPr>
          <w:rFonts w:ascii="Times New Roman" w:cs="Times New Roman" w:eastAsia="Times New Roman" w:hAnsi="Times New Roman"/>
          <w:sz w:val="18"/>
          <w:szCs w:val="18"/>
          <w:color w:val="auto"/>
        </w:rPr>
      </w:pPr>
    </w:p>
    <w:p>
      <w:pPr>
        <w:ind w:right="80" w:firstLine="1979"/>
        <w:spacing w:after="0" w:line="282" w:lineRule="auto"/>
        <w:tabs>
          <w:tab w:leader="none" w:pos="2288"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delivery of Shares that would otherwise be due to such Participant under a Restricted Stock Unit Award; and</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right="140" w:firstLine="987"/>
        <w:spacing w:after="0" w:line="281" w:lineRule="auto"/>
        <w:tabs>
          <w:tab w:leader="none" w:pos="1236"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Administrator’s Decision</w:t>
      </w:r>
      <w:r>
        <w:rPr>
          <w:rFonts w:ascii="Times New Roman" w:cs="Times New Roman" w:eastAsia="Times New Roman" w:hAnsi="Times New Roman"/>
          <w:sz w:val="17"/>
          <w:szCs w:val="17"/>
          <w:color w:val="auto"/>
        </w:rPr>
        <w:t>. The Administrator’s decisions, determinations and interpretations will be final and binding on all Participants and any other holders of Restricted Stock Unit Awards. Any dispute regarding the interpretation of the Plan or any Award Agreement shall be submitted by the Participant to the Company for review. Only the Committee shall have the authority to review and resolve disputes with respect to Restricted Stock Unit Awards held by Participants who are Insiders, and such resolution shall be final and binding on the Company and the Participant.</w:t>
      </w:r>
    </w:p>
    <w:p>
      <w:pPr>
        <w:spacing w:after="0" w:line="164" w:lineRule="exact"/>
        <w:rPr>
          <w:rFonts w:ascii="Times New Roman" w:cs="Times New Roman" w:eastAsia="Times New Roman" w:hAnsi="Times New Roman"/>
          <w:sz w:val="17"/>
          <w:szCs w:val="17"/>
          <w:color w:val="auto"/>
        </w:rPr>
      </w:pPr>
    </w:p>
    <w:p>
      <w:pPr>
        <w:ind w:right="20" w:firstLine="987"/>
        <w:spacing w:after="0" w:line="266" w:lineRule="auto"/>
        <w:tabs>
          <w:tab w:leader="none" w:pos="124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Restricted Stock Unit Awards Subject to Performance Goals</w:t>
      </w:r>
      <w:r>
        <w:rPr>
          <w:rFonts w:ascii="Times New Roman" w:cs="Times New Roman" w:eastAsia="Times New Roman" w:hAnsi="Times New Roman"/>
          <w:sz w:val="18"/>
          <w:szCs w:val="18"/>
          <w:color w:val="auto"/>
        </w:rPr>
        <w:t>. The Administrator shall determine and approve the extent to which such Performance Goals have been timely achieved and the extent to which the Shares subject to such Restricted Stock Unit Award have thereby been earned.</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Eligibility</w:t>
      </w:r>
      <w:r>
        <w:rPr>
          <w:rFonts w:ascii="Times New Roman" w:cs="Times New Roman" w:eastAsia="Times New Roman" w:hAnsi="Times New Roman"/>
          <w:sz w:val="18"/>
          <w:szCs w:val="18"/>
          <w:color w:val="auto"/>
        </w:rPr>
        <w:t>. Only the Key Employees are eligible to receive Restricted Stock Units under this Plan.</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Restricted Stock Unit Awards will be granted to the Key Employees on the Closing Date, subject to their employment with the Company on such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xml:space="preserve">. The Restricted Stock Unit Awards will vest pursuant to the criteria set forth in </w:t>
      </w:r>
      <w:r>
        <w:rPr>
          <w:rFonts w:ascii="Times New Roman" w:cs="Times New Roman" w:eastAsia="Times New Roman" w:hAnsi="Times New Roman"/>
          <w:sz w:val="18"/>
          <w:szCs w:val="18"/>
          <w:u w:val="single" w:color="auto"/>
          <w:color w:val="auto"/>
        </w:rPr>
        <w:t>Exhibit A.</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the Restricted Stock Unit Awards,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Administrator may, in its sole discretion, award dividend equivalents in connection with the grant of Restricted Stock Units that may be settled in cash, in Shares of equivalent value, or in some combination thereof.</w:t>
      </w:r>
    </w:p>
    <w:p>
      <w:pPr>
        <w:spacing w:after="0" w:line="161" w:lineRule="exact"/>
        <w:rPr>
          <w:rFonts w:ascii="Times New Roman" w:cs="Times New Roman" w:eastAsia="Times New Roman" w:hAnsi="Times New Roman"/>
          <w:sz w:val="18"/>
          <w:szCs w:val="18"/>
          <w:color w:val="auto"/>
        </w:rPr>
      </w:pPr>
    </w:p>
    <w:p>
      <w:pPr>
        <w:ind w:right="1020" w:firstLine="987"/>
        <w:spacing w:after="0" w:line="282" w:lineRule="auto"/>
        <w:tabs>
          <w:tab w:leader="none" w:pos="123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upon the date(s) determined by the Administrator and set forth in the Award Agreement. The Administrator may only settle earned Restricted Stock Units in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21" w:name="page222"/>
    <w:bookmarkEnd w:id="221"/>
    <w:p>
      <w:pPr>
        <w:ind w:left="-40" w:right="200" w:firstLine="987"/>
        <w:spacing w:after="0" w:line="282" w:lineRule="auto"/>
        <w:tabs>
          <w:tab w:leader="none" w:pos="117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Cancellation</w:t>
      </w:r>
      <w:r>
        <w:rPr>
          <w:rFonts w:ascii="Times New Roman" w:cs="Times New Roman" w:eastAsia="Times New Roman" w:hAnsi="Times New Roman"/>
          <w:sz w:val="18"/>
          <w:szCs w:val="18"/>
          <w:color w:val="auto"/>
        </w:rPr>
        <w:t>. On the date set forth in the Award Agreement, all Shares underlying any unvested, unlapsed unearned Restricted Stock Units will be forfeited to the Company for future issuance.</w:t>
      </w:r>
    </w:p>
    <w:p>
      <w:pPr>
        <w:spacing w:after="0" w:line="161" w:lineRule="exact"/>
        <w:rPr>
          <w:rFonts w:ascii="Times New Roman" w:cs="Times New Roman" w:eastAsia="Times New Roman" w:hAnsi="Times New Roman"/>
          <w:sz w:val="18"/>
          <w:szCs w:val="18"/>
          <w:color w:val="auto"/>
        </w:rPr>
      </w:pPr>
    </w:p>
    <w:p>
      <w:pPr>
        <w:ind w:left="-40" w:right="100" w:firstLine="436"/>
        <w:spacing w:after="0" w:line="258" w:lineRule="auto"/>
        <w:tabs>
          <w:tab w:leader="none" w:pos="5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w:t>
      </w:r>
      <w:r>
        <w:rPr>
          <w:rFonts w:ascii="Times New Roman" w:cs="Times New Roman" w:eastAsia="Times New Roman" w:hAnsi="Times New Roman"/>
          <w:sz w:val="18"/>
          <w:szCs w:val="18"/>
          <w:color w:val="auto"/>
        </w:rPr>
        <w:t>. The Administrator shall have the discretion to determine at any time whether and to what extent the vesting of Restricted Stock Unit Awards shall be suspended during any leave of absence; provided, however, that in the absence of such determination, vesting of Restricted Stock Unit Awards shall continue during any paid leave and shall be suspended during any unpaid leave (unless otherwise required by Applicable Laws). A Restricted Stock Unit Award will not cease to vest in the case of (i) any leave of absence approved by the Administrator or (ii) transfers between locations of the Company or between the Company or any Affiliate.</w:t>
      </w:r>
    </w:p>
    <w:p>
      <w:pPr>
        <w:spacing w:after="0" w:line="183" w:lineRule="exact"/>
        <w:rPr>
          <w:rFonts w:ascii="Times New Roman" w:cs="Times New Roman" w:eastAsia="Times New Roman" w:hAnsi="Times New Roman"/>
          <w:sz w:val="18"/>
          <w:szCs w:val="18"/>
          <w:color w:val="auto"/>
        </w:rPr>
      </w:pPr>
    </w:p>
    <w:p>
      <w:pPr>
        <w:ind w:left="-40" w:right="60" w:firstLine="436"/>
        <w:spacing w:after="0" w:line="282" w:lineRule="auto"/>
        <w:tabs>
          <w:tab w:leader="none" w:pos="5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Restricted Stock Unit Awards</w:t>
      </w:r>
      <w:r>
        <w:rPr>
          <w:rFonts w:ascii="Times New Roman" w:cs="Times New Roman" w:eastAsia="Times New Roman" w:hAnsi="Times New Roman"/>
          <w:sz w:val="18"/>
          <w:szCs w:val="18"/>
          <w:color w:val="auto"/>
        </w:rPr>
        <w:t>. Unless determined otherwise by the Administrator, a Restricted Stock Unit Award may not be sold, pledged, assigned, hypothecated, transferred, or disposed of in any manner.</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87"/>
        <w:spacing w:after="0" w:line="254" w:lineRule="auto"/>
        <w:tabs>
          <w:tab w:leader="none" w:pos="119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Class B Common Stock occurs, the Administrator, in order to prevent dilution, diminution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Restricted Stock Unit Award. Notwithstanding the forgoing, all adjustments under this Section 9 shall be made in a manner that does not result in taxation under Section 409A of the Code.</w:t>
      </w:r>
    </w:p>
    <w:p>
      <w:pPr>
        <w:spacing w:after="0" w:line="191" w:lineRule="exact"/>
        <w:rPr>
          <w:rFonts w:ascii="Times New Roman" w:cs="Times New Roman" w:eastAsia="Times New Roman" w:hAnsi="Times New Roman"/>
          <w:sz w:val="18"/>
          <w:szCs w:val="18"/>
          <w:color w:val="auto"/>
        </w:rPr>
      </w:pPr>
    </w:p>
    <w:p>
      <w:pPr>
        <w:ind w:left="-40" w:right="60" w:firstLine="987"/>
        <w:spacing w:after="0" w:line="266" w:lineRule="auto"/>
        <w:tabs>
          <w:tab w:leader="none" w:pos="120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winding up, dissolution or liquidation of the Company, the Administrator will notify each Participant as soon as practicable prior to the effective date of such proposed transaction. To the extent it has not been previously settled, a Restricted Stock Unit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40" w:right="20" w:firstLine="987"/>
        <w:spacing w:after="0" w:line="252" w:lineRule="auto"/>
        <w:tabs>
          <w:tab w:leader="none" w:pos="119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(i) a transfer of all or substantially all of the Company’s assets, (ii) a merger, consolidation or other capital reorganization or business combination transaction of the Company with or into another corporation, entity or person, (iii) the consummation of a transaction, or series of related transactions, in which any “person” (as such term is used in Sections 13(d) and 14(d) of the Exchange Act) becomes the “beneficial owner” (as defined in Rule 13d-3 of the Exchange Act), directly or indirectly, of more than 50% of the Company’s then outstanding capital stock, or (iv) a Change in Control (each, a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each outstanding Restricted Stock Unit Award (vested or unvested) will be treated as the Administrator determines, which determination may be made without the consent of any Participant and need not treat all outstanding Restricted Stock Unit Awards (or portion thereof) in an identical manner. Such determination, without the consent of any Participant, may provide (without limitation) for one or more of the following in the event of a Corporate Transaction: (A) the continuation of such outstanding Restricted Stock Unit Awards by the Company (if the Company is the surviving corporation); (B) the assumption of such outstanding Restricted Stock Unit Awards by the surviving corporation or its parent; (C) the substitution by the surviving corporation or its parent of new options or other equity awards for such Restricted Stock Unit Awards; (D) the cancellation of such Restricted Stock Unit Awards in exchange for a payment to the Participants equal to the Fair Market Value of the Shares subject to such Restricted Stock Unit Awards as of the closing date of such Corporate Transaction. Provided further, that at the discretion of the Administrator, such payment may be subject to the same conditions that apply to the consideration that will be paid to holders of Shares in connection with the transaction; provided, however, that any payout in connection with a terminated award shall comply with Section 409A of the Code to the extent necessary to avoid taxation thereunder; or (E) the full or partial acceleration of vesting and accelerated expiration of an outstanding Restricted Stock Unit Award.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70" w:right="499" w:bottom="1440" w:gutter="0" w:footer="0" w:header="0"/>
        </w:sectPr>
      </w:pPr>
    </w:p>
    <w:bookmarkStart w:id="222" w:name="page223"/>
    <w:bookmarkEnd w:id="222"/>
    <w:p>
      <w:pPr>
        <w:ind w:left="-40" w:right="440" w:firstLine="987"/>
        <w:spacing w:after="0" w:line="266" w:lineRule="auto"/>
        <w:tabs>
          <w:tab w:leader="none" w:pos="120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A Restricted Stock Unit Award may be subject to additional acceleration of vesting upon or after a Change in Control as may be provided in any other written agreement between the Company or any Affiliate and the Participant, but in the absence of such provision, no such acceleration will occur.</w:t>
      </w:r>
    </w:p>
    <w:p>
      <w:pPr>
        <w:spacing w:after="0" w:line="17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0" w:right="40" w:firstLine="987"/>
        <w:spacing w:after="0" w:line="261" w:lineRule="auto"/>
        <w:tabs>
          <w:tab w:leader="none" w:pos="119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 Restricted Stock Unit Award or prior to any time the Restricted Stock Unit Award or Shares are subject to taxation or other Tax-Related Items, the Company and/or the Participant’s employer will have the power and the right to deduct or withhold, or require a Participant to remit to the Company, an amount sufficient to satisfy any Tax-Related Items or other items that are required to be withheld or deducted or otherwise applicable with respect to such Restricted Stock Unit Award.</w:t>
      </w:r>
    </w:p>
    <w:p>
      <w:pPr>
        <w:spacing w:after="0" w:line="179"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withholding or deduction obligations or any other Tax-Related Items, in whole or in part by (without limitation) (a) paying cash, (b) electing to have the Company withhold otherwise deliverable cash or Shares, or (c) delivering to the Company already-owned Shares. The Fair Market Value of the Shares to be withheld or delivered will be determined based on such methodology that the Company deems to be reasonable and in accordance with Applicable Laws.</w:t>
      </w:r>
    </w:p>
    <w:p>
      <w:pPr>
        <w:spacing w:after="0" w:line="183"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19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Restricted Stock Unit Awards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The Plan and each Award Agreement under the Plan is intended to meet the requirements of Section 409A of the Code (or an exemption therefrom) and will be construed and interpreted in accordance with such intent, except as otherwise determined in the sole discretion of the Administrator. To the extent that a Restricted Stock Unit Award or payment, or the settlement or deferral thereof, is subject to Section 409A of the Code the Restricted Stock Unit Award will be granted, paid, settled or deferred in a manner that will meet the requirements of Section 409A of the Code (or an exemption therefrom), such that the grant, payment, settlement or deferral will not be subject to the additional tax or interest applicable under Section 409A of the Code. In no event will the Company be responsible for or reimburse a Participant for any taxes or other penalties incurred as a result of the application of Section 409A of the Code.</w:t>
      </w:r>
    </w:p>
    <w:p>
      <w:pPr>
        <w:spacing w:after="0" w:line="188" w:lineRule="exact"/>
        <w:rPr>
          <w:rFonts w:ascii="Times New Roman" w:cs="Times New Roman" w:eastAsia="Times New Roman" w:hAnsi="Times New Roman"/>
          <w:sz w:val="18"/>
          <w:szCs w:val="18"/>
          <w:color w:val="auto"/>
        </w:rPr>
      </w:pPr>
    </w:p>
    <w:p>
      <w:pPr>
        <w:ind w:left="-40" w:right="60" w:firstLine="436"/>
        <w:spacing w:after="0" w:line="261" w:lineRule="auto"/>
        <w:tabs>
          <w:tab w:leader="none" w:pos="66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Restricted Stock Unit Award will confer upon a Participant any right with respect to continuing the Participant’s relationship as a Service Provider with the Company or any Affiliate, nor will they interfere in any way with the Participant’s right or the Company’s or any Affiliate’s right to terminate such relationship at any time, with or without Cause, to the extent permitted by Applicable Laws.</w:t>
      </w:r>
    </w:p>
    <w:p>
      <w:pPr>
        <w:spacing w:after="0" w:line="179"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 Restricted Stock Unit Award will be, for all purposes, the Closing Date.</w:t>
      </w:r>
    </w:p>
    <w:p>
      <w:pPr>
        <w:spacing w:after="0" w:line="225" w:lineRule="exact"/>
        <w:rPr>
          <w:rFonts w:ascii="Times New Roman" w:cs="Times New Roman" w:eastAsia="Times New Roman" w:hAnsi="Times New Roman"/>
          <w:sz w:val="18"/>
          <w:szCs w:val="18"/>
          <w:color w:val="auto"/>
        </w:rPr>
      </w:pPr>
    </w:p>
    <w:p>
      <w:pPr>
        <w:ind w:left="-40" w:right="200" w:firstLine="436"/>
        <w:spacing w:after="0" w:line="281" w:lineRule="auto"/>
        <w:tabs>
          <w:tab w:leader="none" w:pos="67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Records Control</w:t>
      </w:r>
      <w:r>
        <w:rPr>
          <w:rFonts w:ascii="Times New Roman" w:cs="Times New Roman" w:eastAsia="Times New Roman" w:hAnsi="Times New Roman"/>
          <w:sz w:val="17"/>
          <w:szCs w:val="17"/>
          <w:color w:val="auto"/>
        </w:rPr>
        <w:t>. In the event that the corporate records (e.g., Board consents, resolutions or minutes) documenting the corporate action constituting the grant contain terms (e.g.,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70" w:right="499" w:bottom="1440" w:gutter="0" w:footer="0" w:header="0"/>
        </w:sectPr>
      </w:pPr>
    </w:p>
    <w:bookmarkStart w:id="223" w:name="page224"/>
    <w:bookmarkEnd w:id="223"/>
    <w:p>
      <w:pPr>
        <w:ind w:left="-20" w:right="40" w:firstLine="436"/>
        <w:spacing w:after="0" w:line="254" w:lineRule="auto"/>
        <w:tabs>
          <w:tab w:leader="none" w:pos="69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Clawback/Recovery</w:t>
      </w:r>
      <w:r>
        <w:rPr>
          <w:rFonts w:ascii="Times New Roman" w:cs="Times New Roman" w:eastAsia="Times New Roman" w:hAnsi="Times New Roman"/>
          <w:sz w:val="18"/>
          <w:szCs w:val="18"/>
          <w:color w:val="auto"/>
        </w:rPr>
        <w:t>. The Administrator may specify in an Award Agreement that the Participant’s rights, payments, and/or benefits with respect to a Restricted Stock Unit Award will be subject to reduction, cancellation, forfeiture, and/or recoupment upon the occurrence of certain specified events, in addition to any applicable vesting, performance or other conditions and restrictions of a Restricted Stock Unit Award. Notwithstanding any provisions to the contrary under this Plan, a Restricted Stock Unit Award granted under the Plan shall be subject to the Company’s clawback policy as may be established and/or amended from time to time. The Administrator may require a Participant to forfeit or return to and/or reimburse the Company for all or a portion of the Restricted Stock Unit Award and/or Shares issued under the Restricted Stock Unit Award, any amounts paid under the Restricted Stock Unit Award, and any payments or proceeds paid or provided upon disposition of the Shares issued under the Restricted Stock Unit Award, pursuant to the terms of such Company policy or as necessary or appropriate to comply with Applicable Laws.</w:t>
      </w:r>
    </w:p>
    <w:p>
      <w:pPr>
        <w:spacing w:after="0" w:line="191" w:lineRule="exact"/>
        <w:rPr>
          <w:rFonts w:ascii="Times New Roman" w:cs="Times New Roman" w:eastAsia="Times New Roman" w:hAnsi="Times New Roman"/>
          <w:sz w:val="18"/>
          <w:szCs w:val="18"/>
          <w:color w:val="auto"/>
        </w:rPr>
      </w:pPr>
    </w:p>
    <w:p>
      <w:pPr>
        <w:ind w:left="-20" w:right="140" w:firstLine="436"/>
        <w:spacing w:after="0" w:line="282" w:lineRule="auto"/>
        <w:tabs>
          <w:tab w:leader="none" w:pos="69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19 of the Plan, the Plan will become effective as of the Effective Date. The Plan will continue in effect until all the Restricted Stock Unit Awards granted hereunder are no longer outstanding.</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22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Restricted Stock Unit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82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will not be issued pursuant to the vesting of a Restricted Stock Unit Award unless the vesting of such Restricted Stock Unit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jc w:val="both"/>
        <w:ind w:left="-20" w:right="100" w:firstLine="436"/>
        <w:spacing w:after="0" w:line="266" w:lineRule="auto"/>
        <w:tabs>
          <w:tab w:leader="none" w:pos="69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5" w:lineRule="exact"/>
        <w:rPr>
          <w:rFonts w:ascii="Times New Roman" w:cs="Times New Roman" w:eastAsia="Times New Roman" w:hAnsi="Times New Roman"/>
          <w:sz w:val="18"/>
          <w:szCs w:val="18"/>
          <w:color w:val="auto"/>
        </w:rPr>
      </w:pPr>
    </w:p>
    <w:p>
      <w:pPr>
        <w:ind w:left="-20" w:right="140" w:firstLine="436"/>
        <w:spacing w:after="0" w:line="282" w:lineRule="auto"/>
        <w:tabs>
          <w:tab w:leader="none" w:pos="69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9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Restricted Stock Unit Awards hereunder shall be construed in accordance with and governed by the laws of the State of Delaware, but without regard to its conflict of law provisions.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 O 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ind w:right="40" w:firstLine="436"/>
        <w:spacing w:after="0" w:line="254" w:lineRule="auto"/>
        <w:tabs>
          <w:tab w:leader="none" w:pos="6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Garipalli Time-Based Award</w:t>
      </w:r>
      <w:r>
        <w:rPr>
          <w:rFonts w:ascii="Times New Roman" w:cs="Times New Roman" w:eastAsia="Times New Roman" w:hAnsi="Times New Roman"/>
          <w:sz w:val="18"/>
          <w:szCs w:val="18"/>
          <w:color w:val="auto"/>
        </w:rPr>
        <w:t>: Vivek Garipalli will receive a Restricted Stock Unit Award representing three percent (3%) of the number of shares of common stock outstanding (on an fully-diluted and as-converted basis and inclusive of the shares reserved hereunder this Plan and under the Company’s other plans) of the Company as of the Closing Date under the Plan (the “</w:t>
      </w:r>
      <w:r>
        <w:rPr>
          <w:rFonts w:ascii="Times New Roman" w:cs="Times New Roman" w:eastAsia="Times New Roman" w:hAnsi="Times New Roman"/>
          <w:sz w:val="18"/>
          <w:szCs w:val="18"/>
          <w:b w:val="1"/>
          <w:bCs w:val="1"/>
          <w:i w:val="1"/>
          <w:iCs w:val="1"/>
          <w:color w:val="auto"/>
        </w:rPr>
        <w:t>Garipalli Time-Based Award</w:t>
      </w:r>
      <w:r>
        <w:rPr>
          <w:rFonts w:ascii="Times New Roman" w:cs="Times New Roman" w:eastAsia="Times New Roman" w:hAnsi="Times New Roman"/>
          <w:sz w:val="18"/>
          <w:szCs w:val="18"/>
          <w:color w:val="auto"/>
        </w:rPr>
        <w:t>”) effective as of the Closing Date. The Garipalli Time-Based Award shall become vested as to twenty percent (20%) of the Restricted Stock Units subject to the Garipalli Time-Based Award on each of the first five (5) anniversaries of the Closing Date, subject to continued service to the Company as the Chief Executive Officer, Co-Chief Executive Officer or Executive Chairman of the Company through each vesting date. Except as set forth in Mr. Garipalli’s employment agreement with the Company, if Mr. Garipalli is terminated for any reason prior to any applicable vesting date, any then unvested Restricted Stock Units will be forfeited for no consideration. The Restricted Stock Units shall settle as set forth in the Award Agreement.</w:t>
      </w:r>
    </w:p>
    <w:p>
      <w:pPr>
        <w:spacing w:after="0" w:line="191"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Garipalli Performance-Based Award</w:t>
      </w:r>
      <w:r>
        <w:rPr>
          <w:rFonts w:ascii="Times New Roman" w:cs="Times New Roman" w:eastAsia="Times New Roman" w:hAnsi="Times New Roman"/>
          <w:sz w:val="18"/>
          <w:szCs w:val="18"/>
          <w:color w:val="auto"/>
        </w:rPr>
        <w:t>. Mr. Garipalli shall receive a Restricted Stock Unit Award representing one percent (1%) of the number of shares of common stock outstanding (on an fully-diluted and as-converted basis and inclusive of the shares reserved hereunder this Plan and under the Company’s other plans) of the Company as of the Closing Date under the Plan (the, “</w:t>
      </w:r>
      <w:r>
        <w:rPr>
          <w:rFonts w:ascii="Times New Roman" w:cs="Times New Roman" w:eastAsia="Times New Roman" w:hAnsi="Times New Roman"/>
          <w:sz w:val="18"/>
          <w:szCs w:val="18"/>
          <w:b w:val="1"/>
          <w:bCs w:val="1"/>
          <w:i w:val="1"/>
          <w:iCs w:val="1"/>
          <w:color w:val="auto"/>
        </w:rPr>
        <w:t>Garipalli Performance-Based Award</w:t>
      </w:r>
      <w:r>
        <w:rPr>
          <w:rFonts w:ascii="Times New Roman" w:cs="Times New Roman" w:eastAsia="Times New Roman" w:hAnsi="Times New Roman"/>
          <w:sz w:val="18"/>
          <w:szCs w:val="18"/>
          <w:color w:val="auto"/>
        </w:rPr>
        <w:t>”) effective as of the Closing Date, which will vest and become settled by satisfying two conditions, as set forth below:</w:t>
      </w:r>
    </w:p>
    <w:p>
      <w:pPr>
        <w:spacing w:after="0" w:line="85" w:lineRule="exact"/>
        <w:rPr>
          <w:rFonts w:ascii="Times New Roman" w:cs="Times New Roman" w:eastAsia="Times New Roman" w:hAnsi="Times New Roman"/>
          <w:sz w:val="18"/>
          <w:szCs w:val="18"/>
          <w:color w:val="auto"/>
        </w:rPr>
      </w:pPr>
    </w:p>
    <w:p>
      <w:pPr>
        <w:ind w:left="1420" w:hanging="331"/>
        <w:spacing w:after="0" w:line="258" w:lineRule="auto"/>
        <w:tabs>
          <w:tab w:leader="none" w:pos="142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 xml:space="preserve"> – the service requirement will be satisfied at a rate of twenty percent (20%) of the Restricted Stock Units subject to the Garipalli Performance-Based Award on each of the first five anniversaries of the Closing Date, subject to continued service to the Company through each service-based vesting date. Except as set forth in Mr. Garipalli’s employment agreement with the Company, if Mr. Garipalli is terminated for any reason prior to any applicable vesting date, any then unvested Restricted Stock Units will be forfeited for no consideration. The Restricted Stock Units shall settle as set forth in the Award Agreement.</w:t>
      </w:r>
    </w:p>
    <w:p>
      <w:pPr>
        <w:spacing w:after="0" w:line="88"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 xml:space="preserve"> – the performance requirement will be satisfied by achievement of a volume-weighted average stock price of the Company above a threshold of $30, for a period of ninety (90) consecutive calendar days; provided that the performance metrics will not be measured nor may be satisfied prior to the one year anniversary of the Closing Date.</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Toy Performance-Based Award</w:t>
      </w:r>
      <w:r>
        <w:rPr>
          <w:rFonts w:ascii="Times New Roman" w:cs="Times New Roman" w:eastAsia="Times New Roman" w:hAnsi="Times New Roman"/>
          <w:sz w:val="18"/>
          <w:szCs w:val="18"/>
          <w:color w:val="auto"/>
        </w:rPr>
        <w:t>. Andrew Toy shall receive a Restricted Stock Unit Award representing two percent (2%) of the number of shares of common stock outstanding (on an fully-diluted and as-converted basis and inclusive of the shares reserved hereunder this Plan and under the Company’s other plans ) of the Company as of the Closing Date under the Plan (the, “</w:t>
      </w:r>
      <w:r>
        <w:rPr>
          <w:rFonts w:ascii="Times New Roman" w:cs="Times New Roman" w:eastAsia="Times New Roman" w:hAnsi="Times New Roman"/>
          <w:sz w:val="18"/>
          <w:szCs w:val="18"/>
          <w:b w:val="1"/>
          <w:bCs w:val="1"/>
          <w:i w:val="1"/>
          <w:iCs w:val="1"/>
          <w:color w:val="auto"/>
        </w:rPr>
        <w:t>Toy Performance-Based Award</w:t>
      </w:r>
      <w:r>
        <w:rPr>
          <w:rFonts w:ascii="Times New Roman" w:cs="Times New Roman" w:eastAsia="Times New Roman" w:hAnsi="Times New Roman"/>
          <w:sz w:val="18"/>
          <w:szCs w:val="18"/>
          <w:color w:val="auto"/>
        </w:rPr>
        <w:t>”) effective as of the Closing Date, which will vest and become settled by satisfying two conditions, as set forth below:</w:t>
      </w:r>
    </w:p>
    <w:p>
      <w:pPr>
        <w:spacing w:after="0" w:line="85" w:lineRule="exact"/>
        <w:rPr>
          <w:rFonts w:ascii="Times New Roman" w:cs="Times New Roman" w:eastAsia="Times New Roman" w:hAnsi="Times New Roman"/>
          <w:sz w:val="18"/>
          <w:szCs w:val="18"/>
          <w:color w:val="auto"/>
        </w:rPr>
      </w:pPr>
    </w:p>
    <w:p>
      <w:pPr>
        <w:ind w:left="1420" w:hanging="331"/>
        <w:spacing w:after="0" w:line="277" w:lineRule="auto"/>
        <w:tabs>
          <w:tab w:leader="none" w:pos="142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requirement</w:t>
      </w:r>
      <w:r>
        <w:rPr>
          <w:rFonts w:ascii="Times New Roman" w:cs="Times New Roman" w:eastAsia="Times New Roman" w:hAnsi="Times New Roman"/>
          <w:sz w:val="17"/>
          <w:szCs w:val="17"/>
          <w:color w:val="auto"/>
        </w:rPr>
        <w:t xml:space="preserve"> – the service requirement will be satisfied at a rate of twenty percent (20%) of the Restricted Stock Units subject to the Toy Performance-Based Award on each of the first five anniversaries of the Closing Date, subject to continued service to the Company through each service-based vesting date as a Service Provider. Except as set forth in Mr. Toy’s employment agreement with the Company, if Mr. Toy is terminated for any reason prior to any applicable vesting date, any then unvested Restricted Stock Units will be forfeited for no consideration. The Restricted Stock Units shall settle as set forth in the Award Agreement.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25" w:name="page226"/>
    <w:bookmarkEnd w:id="225"/>
    <w:p>
      <w:pPr>
        <w:ind w:left="1420" w:right="80" w:hanging="331"/>
        <w:spacing w:after="0" w:line="255" w:lineRule="auto"/>
        <w:tabs>
          <w:tab w:leader="none" w:pos="14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Performance requirement</w:t>
      </w:r>
      <w:r>
        <w:rPr>
          <w:rFonts w:ascii="Times New Roman" w:cs="Times New Roman" w:eastAsia="Times New Roman" w:hAnsi="Times New Roman"/>
          <w:sz w:val="18"/>
          <w:szCs w:val="18"/>
          <w:color w:val="auto"/>
        </w:rPr>
        <w:t xml:space="preserve"> – the performance requirement will be satisfied by achievement of a volume-weighted average stock price of the Company above a threshold broken out into two equal tranches of one percent (1%) of the number of shares of common stock outstanding (on an fully-diluted and as-converted basis and inclusive of the shares reserved hereunder this Plan and under the Company’s other plans) of the Company as of the Closing Date, as set forth in the below table, for a period of ninety</w:t>
      </w:r>
    </w:p>
    <w:p>
      <w:pPr>
        <w:spacing w:after="0" w:line="2" w:lineRule="exact"/>
        <w:rPr>
          <w:rFonts w:ascii="Times New Roman" w:cs="Times New Roman" w:eastAsia="Times New Roman" w:hAnsi="Times New Roman"/>
          <w:sz w:val="18"/>
          <w:szCs w:val="18"/>
          <w:color w:val="auto"/>
        </w:rPr>
      </w:pPr>
    </w:p>
    <w:p>
      <w:pPr>
        <w:ind w:left="142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consecutive calendar days; provided that the performance metrics will not be measured nor may be satisfied prior to the one year anniversary of the Closing Date.</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1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Percentage of the</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6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Tranche</w:t>
            </w:r>
          </w:p>
        </w:tc>
        <w:tc>
          <w:tcPr>
            <w:tcW w:w="4440" w:type="dxa"/>
            <w:vAlign w:val="bottom"/>
          </w:tcPr>
          <w:p>
            <w:pPr>
              <w:spacing w:after="0"/>
              <w:rPr>
                <w:sz w:val="12"/>
                <w:szCs w:val="12"/>
                <w:color w:val="auto"/>
              </w:rPr>
            </w:pPr>
          </w:p>
        </w:tc>
        <w:tc>
          <w:tcPr>
            <w:tcW w:w="216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Price Hurdle</w:t>
            </w:r>
          </w:p>
        </w:tc>
        <w:tc>
          <w:tcPr>
            <w:tcW w:w="0" w:type="dxa"/>
            <w:vAlign w:val="bottom"/>
          </w:tcPr>
          <w:p>
            <w:pPr>
              <w:spacing w:after="0"/>
              <w:rPr>
                <w:sz w:val="1"/>
                <w:szCs w:val="1"/>
                <w:color w:val="auto"/>
              </w:rPr>
            </w:pPr>
          </w:p>
        </w:tc>
      </w:tr>
      <w:tr>
        <w:trPr>
          <w:trHeight w:val="165"/>
        </w:trPr>
        <w:tc>
          <w:tcPr>
            <w:tcW w:w="520" w:type="dxa"/>
            <w:vAlign w:val="bottom"/>
            <w:tcBorders>
              <w:bottom w:val="single" w:sz="8" w:color="auto"/>
            </w:tcBorders>
            <w:vMerge w:val="continue"/>
          </w:tcPr>
          <w:p>
            <w:pPr>
              <w:spacing w:after="0"/>
              <w:rPr>
                <w:sz w:val="13"/>
                <w:szCs w:val="13"/>
                <w:color w:val="auto"/>
              </w:rPr>
            </w:pPr>
          </w:p>
        </w:tc>
        <w:tc>
          <w:tcPr>
            <w:tcW w:w="4440" w:type="dxa"/>
            <w:vAlign w:val="bottom"/>
          </w:tcPr>
          <w:p>
            <w:pPr>
              <w:spacing w:after="0"/>
              <w:rPr>
                <w:sz w:val="13"/>
                <w:szCs w:val="13"/>
                <w:color w:val="auto"/>
              </w:rPr>
            </w:pPr>
          </w:p>
        </w:tc>
        <w:tc>
          <w:tcPr>
            <w:tcW w:w="2160" w:type="dxa"/>
            <w:vAlign w:val="bottom"/>
            <w:gridSpan w:val="2"/>
          </w:tcPr>
          <w:p>
            <w:pPr>
              <w:jc w:val="center"/>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Closing Date</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4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vMerge w:val="continue"/>
            <w:shd w:val="clear" w:color="auto" w:fill="CCEEFF"/>
          </w:tcPr>
          <w:p>
            <w:pPr>
              <w:spacing w:after="0"/>
              <w:rPr>
                <w:sz w:val="17"/>
                <w:szCs w:val="17"/>
                <w:color w:val="auto"/>
              </w:rPr>
            </w:pPr>
          </w:p>
        </w:tc>
        <w:tc>
          <w:tcPr>
            <w:tcW w:w="444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jc w:val="right"/>
              <w:ind w:right="9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60" w:firstLine="436"/>
        <w:spacing w:after="0" w:line="286" w:lineRule="auto"/>
        <w:tabs>
          <w:tab w:leader="none" w:pos="7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Each of the Garipalli Performance-Based Award and the Toy Performance-Based Award (collectively, the “</w:t>
      </w:r>
      <w:r>
        <w:rPr>
          <w:rFonts w:ascii="Times New Roman" w:cs="Times New Roman" w:eastAsia="Times New Roman" w:hAnsi="Times New Roman"/>
          <w:sz w:val="18"/>
          <w:szCs w:val="18"/>
          <w:b w:val="1"/>
          <w:bCs w:val="1"/>
          <w:i w:val="1"/>
          <w:iCs w:val="1"/>
          <w:color w:val="auto"/>
        </w:rPr>
        <w:t>Performance-Based Awards</w:t>
      </w:r>
      <w:r>
        <w:rPr>
          <w:rFonts w:ascii="Times New Roman" w:cs="Times New Roman" w:eastAsia="Times New Roman" w:hAnsi="Times New Roman"/>
          <w:sz w:val="18"/>
          <w:szCs w:val="18"/>
          <w:color w:val="auto"/>
        </w:rPr>
        <w:t>”) will include the following general terms:</w:t>
      </w:r>
    </w:p>
    <w:p>
      <w:pPr>
        <w:spacing w:after="0" w:line="60" w:lineRule="exact"/>
        <w:rPr>
          <w:rFonts w:ascii="Times New Roman" w:cs="Times New Roman" w:eastAsia="Times New Roman" w:hAnsi="Times New Roman"/>
          <w:sz w:val="18"/>
          <w:szCs w:val="18"/>
          <w:color w:val="auto"/>
        </w:rPr>
      </w:pPr>
    </w:p>
    <w:p>
      <w:pPr>
        <w:ind w:left="1420" w:hanging="331"/>
        <w:spacing w:after="0" w:line="286" w:lineRule="auto"/>
        <w:tabs>
          <w:tab w:leader="none" w:pos="142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requirement must be satisfied within five (5) years of the Closing Date (the “</w:t>
      </w:r>
      <w:r>
        <w:rPr>
          <w:rFonts w:ascii="Times New Roman" w:cs="Times New Roman" w:eastAsia="Times New Roman" w:hAnsi="Times New Roman"/>
          <w:sz w:val="18"/>
          <w:szCs w:val="18"/>
          <w:b w:val="1"/>
          <w:bCs w:val="1"/>
          <w:i w:val="1"/>
          <w:iCs w:val="1"/>
          <w:color w:val="auto"/>
        </w:rPr>
        <w:t>Performance Deadline</w:t>
      </w:r>
      <w:r>
        <w:rPr>
          <w:rFonts w:ascii="Times New Roman" w:cs="Times New Roman" w:eastAsia="Times New Roman" w:hAnsi="Times New Roman"/>
          <w:sz w:val="18"/>
          <w:szCs w:val="18"/>
          <w:color w:val="auto"/>
        </w:rPr>
        <w:t>”). Any portion of a Performance-Based Award that is unvested as of the Performance Deadline will be forfeited for no consideration.</w:t>
      </w:r>
    </w:p>
    <w:p>
      <w:pPr>
        <w:spacing w:after="0" w:line="64" w:lineRule="exact"/>
        <w:rPr>
          <w:rFonts w:ascii="Times New Roman" w:cs="Times New Roman" w:eastAsia="Times New Roman" w:hAnsi="Times New Roman"/>
          <w:sz w:val="18"/>
          <w:szCs w:val="18"/>
          <w:color w:val="auto"/>
        </w:rPr>
      </w:pPr>
    </w:p>
    <w:p>
      <w:pPr>
        <w:ind w:left="1420" w:hanging="331"/>
        <w:spacing w:after="0" w:line="261" w:lineRule="auto"/>
        <w:tabs>
          <w:tab w:leader="none" w:pos="142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26" w:name="page227"/>
    <w:bookmarkEnd w:id="2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2020 MANAGEMENT INCENTIVE PLAN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this Restricted Stock Unit Grant Notice (the “</w:t>
      </w:r>
      <w:r>
        <w:rPr>
          <w:rFonts w:ascii="Times New Roman" w:cs="Times New Roman" w:eastAsia="Times New Roman" w:hAnsi="Times New Roman"/>
          <w:sz w:val="18"/>
          <w:szCs w:val="18"/>
          <w:b w:val="1"/>
          <w:bCs w:val="1"/>
          <w:i w:val="1"/>
          <w:iCs w:val="1"/>
          <w:color w:val="auto"/>
        </w:rPr>
        <w:t>Notice of Grant</w:t>
      </w:r>
      <w:r>
        <w:rPr>
          <w:rFonts w:ascii="Times New Roman" w:cs="Times New Roman" w:eastAsia="Times New Roman" w:hAnsi="Times New Roman"/>
          <w:sz w:val="18"/>
          <w:szCs w:val="18"/>
          <w:color w:val="auto"/>
        </w:rPr>
        <w:t>”), the Clover Health Investments, Corp. 2020 Management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attached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set forth below. Unless otherwise defined herein, the terms used in this Notice of Grant shall have the meanings defined in the Plan.</w:t>
      </w:r>
    </w:p>
    <w:p>
      <w:pPr>
        <w:sectPr>
          <w:pgSz w:w="11900" w:h="16838" w:orient="portrait"/>
          <w:cols w:equalWidth="0" w:num="1">
            <w:col w:w="10860"/>
          </w:cols>
          <w:pgMar w:left="440" w:top="266" w:right="599" w:bottom="1440" w:gutter="0" w:footer="0" w:header="0"/>
        </w:sect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8"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DATE]</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[INSERT NUMBER]</w:t>
      </w:r>
    </w:p>
    <w:p>
      <w:pPr>
        <w:spacing w:after="0" w:line="129" w:lineRule="exact"/>
        <w:rPr>
          <w:sz w:val="20"/>
          <w:szCs w:val="20"/>
          <w:color w:val="auto"/>
        </w:rPr>
      </w:pPr>
    </w:p>
    <w:p>
      <w:pPr>
        <w:sectPr>
          <w:pgSz w:w="11900" w:h="16838" w:orient="portrait"/>
          <w:cols w:equalWidth="0" w:num="2">
            <w:col w:w="3220" w:space="720"/>
            <w:col w:w="6920"/>
          </w:cols>
          <w:pgMar w:left="440" w:top="266" w:right="5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ectPr>
          <w:pgSz w:w="11900" w:h="16838" w:orient="portrait"/>
          <w:cols w:equalWidth="0" w:num="1">
            <w:col w:w="10860"/>
          </w:cols>
          <w:pgMar w:left="440" w:top="266" w:right="599" w:bottom="1440" w:gutter="0" w:footer="0" w:header="0"/>
          <w:type w:val="continuous"/>
        </w:sectPr>
      </w:pPr>
    </w:p>
    <w:p>
      <w:pPr>
        <w:spacing w:after="0" w:line="129"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Subject to Section 3 of the Award Agreement, the Restricted Stock Units will vest in accordance with the following schedule: [INSERT VESTING SCHEDULE].</w:t>
      </w:r>
    </w:p>
    <w:p>
      <w:pPr>
        <w:sectPr>
          <w:pgSz w:w="11900" w:h="16838" w:orient="portrait"/>
          <w:cols w:equalWidth="0" w:num="1">
            <w:col w:w="10860"/>
          </w:cols>
          <w:pgMar w:left="440" w:top="266" w:right="599" w:bottom="1440" w:gutter="0" w:footer="0" w:header="0"/>
          <w:type w:val="continuous"/>
        </w:sectPr>
      </w:pPr>
    </w:p>
    <w:bookmarkStart w:id="227" w:name="page228"/>
    <w:bookmarkEnd w:id="2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accepting this Award (whether electronically or otherwise), Participant acknowledges and agrees to the following:</w:t>
      </w:r>
    </w:p>
    <w:p>
      <w:pPr>
        <w:spacing w:after="0" w:line="117" w:lineRule="exact"/>
        <w:rPr>
          <w:sz w:val="20"/>
          <w:szCs w:val="20"/>
          <w:color w:val="auto"/>
        </w:rPr>
      </w:pPr>
    </w:p>
    <w:p>
      <w:pPr>
        <w:jc w:val="both"/>
        <w:ind w:right="180" w:firstLine="436"/>
        <w:spacing w:after="0" w:line="266"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Award and the Plan.</w:t>
      </w:r>
    </w:p>
    <w:p>
      <w:pPr>
        <w:spacing w:after="0" w:line="67" w:lineRule="exact"/>
        <w:rPr>
          <w:rFonts w:ascii="Times New Roman" w:cs="Times New Roman" w:eastAsia="Times New Roman" w:hAnsi="Times New Roman"/>
          <w:sz w:val="18"/>
          <w:szCs w:val="18"/>
          <w:color w:val="auto"/>
        </w:rPr>
      </w:pPr>
    </w:p>
    <w:p>
      <w:pPr>
        <w:ind w:right="620" w:firstLine="436"/>
        <w:spacing w:after="0" w:line="282"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Award is subject to Participant’s continuous status as a Service Provider, which is for an unspecified duration and may be terminated at any time, with or without Cause, and nothing in the Award Agreement or the Plan changes the nature of that relationship.</w:t>
      </w:r>
    </w:p>
    <w:p>
      <w:pPr>
        <w:spacing w:after="0" w:line="5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consents to electronic delivery and participation as set forth in the Plan and the Award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5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CLOVER HEALTH INVESTMENTS, CORP.</w:t>
            </w:r>
          </w:p>
        </w:tc>
      </w:tr>
      <w:tr>
        <w:trPr>
          <w:trHeight w:val="432"/>
        </w:trPr>
        <w:tc>
          <w:tcPr>
            <w:tcW w:w="51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7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5180" w:type="dxa"/>
            <w:vAlign w:val="bottom"/>
          </w:tcPr>
          <w:p>
            <w:pPr>
              <w:spacing w:after="0"/>
              <w:rPr>
                <w:sz w:val="24"/>
                <w:szCs w:val="24"/>
                <w:color w:val="auto"/>
              </w:rPr>
            </w:pPr>
          </w:p>
        </w:tc>
        <w:tc>
          <w:tcPr>
            <w:tcW w:w="5840" w:type="dxa"/>
            <w:vAlign w:val="bottom"/>
            <w:gridSpan w:val="2"/>
          </w:tcPr>
          <w:p>
            <w:pPr>
              <w:spacing w:after="0"/>
              <w:rPr>
                <w:sz w:val="24"/>
                <w:szCs w:val="24"/>
                <w:color w:val="auto"/>
              </w:rPr>
            </w:pP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7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bl>
    <w:p>
      <w:pPr>
        <w:sectPr>
          <w:pgSz w:w="11900" w:h="16838" w:orient="portrait"/>
          <w:cols w:equalWidth="0" w:num="1">
            <w:col w:w="11020"/>
          </w:cols>
          <w:pgMar w:left="440" w:top="270" w:right="439" w:bottom="1440" w:gutter="0" w:footer="0" w:header="0"/>
        </w:sectPr>
      </w:pPr>
    </w:p>
    <w:bookmarkStart w:id="228" w:name="page229"/>
    <w:bookmarkEnd w:id="22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CLOVER HEALTH INVESTMENTS, CORP.</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2020 MANAGEMENT INCENTIVE PLAN</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25" w:lineRule="exact"/>
        <w:rPr>
          <w:sz w:val="20"/>
          <w:szCs w:val="20"/>
          <w:color w:val="auto"/>
        </w:rPr>
      </w:pPr>
    </w:p>
    <w:p>
      <w:pPr>
        <w:ind w:left="4" w:right="20" w:firstLine="436"/>
        <w:spacing w:after="0" w:line="259" w:lineRule="auto"/>
        <w:tabs>
          <w:tab w:leader="none" w:pos="62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named in the Notice of Restricted Stock Unit Grant (the “</w:t>
      </w:r>
      <w:r>
        <w:rPr>
          <w:rFonts w:ascii="Times New Roman" w:cs="Times New Roman" w:eastAsia="Times New Roman" w:hAnsi="Times New Roman"/>
          <w:sz w:val="18"/>
          <w:szCs w:val="18"/>
          <w:b w:val="1"/>
          <w:bCs w:val="1"/>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an Award of Restricted Stock Units under the Clover Health Investments, Corp. 2020 Management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subject to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and conditions in the Notice of Grant, this Restricted Stock Unit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and the Plan, which is incorporated herein by reference. [If there is a conflict between the terms and conditions of the Plan and the terms and conditions of this Award Agreement, the terms and conditions of the Plan will prevail.]</w:t>
      </w:r>
    </w:p>
    <w:p>
      <w:pPr>
        <w:spacing w:after="0" w:line="7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2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and Section 13, such vested Restricted Stock Units will be settled by delivery of whole Shares on the applicable vesting date; provided that settlement can be made during the period from the vesting date until December 31 of the year in which vesting occurs. In no event will Participant be permitted, directly or indirectly, to specify the taxable year in which Shares will be issued upon payment of any Restricted Stock Units under this Award Agreement.</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the Notice of Grant. Status as a Service Provider for purposes of this Award will end on the day that Participant is no longer actively providing services as [INSERT POSITION(S)]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75" w:lineRule="exact"/>
        <w:rPr>
          <w:rFonts w:ascii="Times New Roman" w:cs="Times New Roman" w:eastAsia="Times New Roman" w:hAnsi="Times New Roman"/>
          <w:sz w:val="18"/>
          <w:szCs w:val="18"/>
          <w:color w:val="auto"/>
        </w:rPr>
      </w:pPr>
    </w:p>
    <w:p>
      <w:pPr>
        <w:ind w:left="4" w:right="20" w:firstLine="436"/>
        <w:spacing w:after="0" w:line="270" w:lineRule="auto"/>
        <w:tabs>
          <w:tab w:leader="none" w:pos="624"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Administrator Discretion</w:t>
      </w:r>
      <w:r>
        <w:rPr>
          <w:rFonts w:ascii="Times New Roman" w:cs="Times New Roman" w:eastAsia="Times New Roman" w:hAnsi="Times New Roman"/>
          <w:sz w:val="17"/>
          <w:szCs w:val="17"/>
          <w:color w:val="auto"/>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w:t>
      </w:r>
    </w:p>
    <w:p>
      <w:pPr>
        <w:spacing w:after="0" w:line="2" w:lineRule="exact"/>
        <w:rPr>
          <w:rFonts w:ascii="Times New Roman" w:cs="Times New Roman" w:eastAsia="Times New Roman" w:hAnsi="Times New Roman"/>
          <w:sz w:val="17"/>
          <w:szCs w:val="17"/>
          <w:color w:val="auto"/>
        </w:rPr>
      </w:pPr>
    </w:p>
    <w:p>
      <w:pPr>
        <w:ind w:left="4" w:right="80" w:hanging="4"/>
        <w:spacing w:after="0" w:line="252" w:lineRule="auto"/>
        <w:tabs>
          <w:tab w:leader="none" w:pos="25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such accelerated Restricted Stock Units will result in the imposition of additional tax under Code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w:t>
      </w:r>
    </w:p>
    <w:p>
      <w:pPr>
        <w:sectPr>
          <w:pgSz w:w="11900" w:h="16838" w:orient="portrait"/>
          <w:cols w:equalWidth="0" w:num="1">
            <w:col w:w="10984"/>
          </w:cols>
          <w:pgMar w:left="436" w:top="266" w:right="479" w:bottom="1440" w:gutter="0" w:footer="0" w:header="0"/>
        </w:sectPr>
      </w:pPr>
    </w:p>
    <w:bookmarkStart w:id="229" w:name="page230"/>
    <w:bookmarkEnd w:id="229"/>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w:t>
      </w:r>
      <w:r>
        <w:rPr>
          <w:rFonts w:ascii="Times New Roman" w:cs="Times New Roman" w:eastAsia="Times New Roman" w:hAnsi="Times New Roman"/>
          <w:sz w:val="17"/>
          <w:szCs w:val="17"/>
          <w:b w:val="1"/>
          <w:bCs w:val="1"/>
          <w:i w:val="1"/>
          <w:iCs w:val="1"/>
          <w:color w:val="auto"/>
        </w:rPr>
        <w:t>Code Section 409A</w:t>
      </w:r>
      <w:r>
        <w:rPr>
          <w:rFonts w:ascii="Times New Roman" w:cs="Times New Roman" w:eastAsia="Times New Roman" w:hAnsi="Times New Roman"/>
          <w:sz w:val="17"/>
          <w:szCs w:val="17"/>
          <w:color w:val="auto"/>
        </w:rPr>
        <w:t>” means Section 409A of the Code, and any final U.S. Treasury Regulations and U.S. Internal Revenue Service guidance thereunder, as each may be amended from time to time.</w:t>
      </w:r>
    </w:p>
    <w:p>
      <w:pPr>
        <w:spacing w:after="0" w:line="60" w:lineRule="exact"/>
        <w:rPr>
          <w:sz w:val="20"/>
          <w:szCs w:val="20"/>
          <w:color w:val="auto"/>
        </w:rPr>
      </w:pPr>
    </w:p>
    <w:p>
      <w:pPr>
        <w:jc w:val="both"/>
        <w:ind w:right="180" w:firstLine="436"/>
        <w:spacing w:after="0" w:line="266" w:lineRule="auto"/>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Except as otherwise provided in the Notice of Grant, any Restricted Stock Units that have not vested will be forfeited and will return to the Plan on the date that is thirty (30) days following the termination of Participant’s status as a Service Provider.</w:t>
      </w:r>
    </w:p>
    <w:p>
      <w:pPr>
        <w:spacing w:after="0" w:line="67"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71"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an Affiliate or Employer pursuant to Applicable Laws)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30" w:name="page231"/>
    <w:bookmarkEnd w:id="23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condition to the grant and vesting of the Restricted Stock Units and as set forth in Section 10 of the Plan, Participant hereby agrees to make adequate provision for the satisfaction of (and will indemnify the Company and any Affiliate for) any Tax-Related Items.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any Affiliate or Employer any Tax-Related Items that cannot be satisfied by the foregoing methods.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Participant may elect to satisfy Tax-Related Items in cash. Any election to pay Tax-Related Items in cash shall be made in accordance with the Company’s Insider Trading Policy and pursuant to procedures mutually agreed between Participant and the Company.</w:t>
      </w:r>
    </w:p>
    <w:p>
      <w:pPr>
        <w:spacing w:after="0" w:line="54" w:lineRule="exact"/>
        <w:rPr>
          <w:sz w:val="20"/>
          <w:szCs w:val="20"/>
          <w:color w:val="auto"/>
        </w:rPr>
      </w:pPr>
    </w:p>
    <w:p>
      <w:pPr>
        <w:ind w:right="60" w:firstLine="436"/>
        <w:spacing w:after="0" w:line="258" w:lineRule="auto"/>
        <w:tabs>
          <w:tab w:leader="none" w:pos="6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75" w:lineRule="exact"/>
        <w:rPr>
          <w:rFonts w:ascii="Times New Roman" w:cs="Times New Roman" w:eastAsia="Times New Roman" w:hAnsi="Times New Roman"/>
          <w:sz w:val="18"/>
          <w:szCs w:val="18"/>
          <w:color w:val="auto"/>
        </w:rPr>
      </w:pPr>
    </w:p>
    <w:p>
      <w:pPr>
        <w:ind w:right="60" w:firstLine="436"/>
        <w:spacing w:after="0" w:line="253" w:lineRule="auto"/>
        <w:tabs>
          <w:tab w:leader="none" w:pos="6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31" w:name="page232"/>
    <w:bookmarkEnd w:id="23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84" w:lineRule="exact"/>
        <w:rPr>
          <w:sz w:val="20"/>
          <w:szCs w:val="20"/>
          <w:color w:val="auto"/>
        </w:rPr>
      </w:pPr>
    </w:p>
    <w:p>
      <w:pPr>
        <w:jc w:val="both"/>
        <w:ind w:right="100" w:firstLine="436"/>
        <w:spacing w:after="0" w:line="266" w:lineRule="auto"/>
        <w:tabs>
          <w:tab w:leader="none" w:pos="71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Secretary at Clover Health Investments, Corp., 725 Cool Springs Blvd, Suite 300, Franklin, Tennessee 37067,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70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right="60" w:firstLine="436"/>
        <w:spacing w:after="0" w:line="282" w:lineRule="auto"/>
        <w:tabs>
          <w:tab w:leader="none" w:pos="71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53"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 and Imposition of Other Requirements</w:t>
      </w:r>
      <w:r>
        <w:rPr>
          <w:rFonts w:ascii="Times New Roman" w:cs="Times New Roman" w:eastAsia="Times New Roman" w:hAnsi="Times New Roman"/>
          <w:sz w:val="18"/>
          <w:szCs w:val="18"/>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232" w:name="page233"/>
    <w:bookmarkEnd w:id="232"/>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the Company’s bylaws, including any restrictions on the disposition of Shares acquired under the Plan.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spacing w:after="0" w:line="82" w:lineRule="exact"/>
        <w:rPr>
          <w:sz w:val="20"/>
          <w:szCs w:val="20"/>
          <w:color w:val="auto"/>
        </w:rPr>
      </w:pPr>
    </w:p>
    <w:p>
      <w:pPr>
        <w:ind w:firstLine="436"/>
        <w:spacing w:after="0" w:line="266" w:lineRule="auto"/>
        <w:tabs>
          <w:tab w:leader="none" w:pos="71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the Notice of Grant will have the meaning set forth in the Plan.</w:t>
      </w:r>
    </w:p>
    <w:p>
      <w:pPr>
        <w:spacing w:after="0" w:line="67" w:lineRule="exact"/>
        <w:rPr>
          <w:rFonts w:ascii="Times New Roman" w:cs="Times New Roman" w:eastAsia="Times New Roman" w:hAnsi="Times New Roman"/>
          <w:sz w:val="18"/>
          <w:szCs w:val="18"/>
          <w:color w:val="auto"/>
        </w:rPr>
      </w:pPr>
    </w:p>
    <w:p>
      <w:pPr>
        <w:ind w:right="240" w:firstLine="436"/>
        <w:spacing w:after="0" w:line="256" w:lineRule="auto"/>
        <w:tabs>
          <w:tab w:leader="none" w:pos="71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spacing w:after="0" w:line="80"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33" w:name="page234"/>
    <w:bookmarkEnd w:id="233"/>
    <w:p>
      <w:pPr>
        <w:ind w:right="100" w:firstLine="436"/>
        <w:spacing w:after="0" w:line="282" w:lineRule="auto"/>
        <w:tabs>
          <w:tab w:leader="none" w:pos="71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Severable</w:t>
      </w:r>
      <w:r>
        <w:rPr>
          <w:rFonts w:ascii="Times New Roman" w:cs="Times New Roman" w:eastAsia="Times New Roman" w:hAnsi="Times New Roman"/>
          <w:sz w:val="18"/>
          <w:szCs w:val="18"/>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53" w:lineRule="exact"/>
        <w:rPr>
          <w:rFonts w:ascii="Times New Roman" w:cs="Times New Roman" w:eastAsia="Times New Roman" w:hAnsi="Times New Roman"/>
          <w:sz w:val="18"/>
          <w:szCs w:val="18"/>
          <w:color w:val="auto"/>
        </w:rPr>
      </w:pPr>
    </w:p>
    <w:p>
      <w:pPr>
        <w:ind w:right="180" w:firstLine="436"/>
        <w:spacing w:after="0" w:line="255" w:lineRule="auto"/>
        <w:tabs>
          <w:tab w:leader="none" w:pos="71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76" w:lineRule="exact"/>
        <w:rPr>
          <w:rFonts w:ascii="Times New Roman" w:cs="Times New Roman" w:eastAsia="Times New Roman" w:hAnsi="Times New Roman"/>
          <w:sz w:val="18"/>
          <w:szCs w:val="18"/>
          <w:color w:val="auto"/>
        </w:rPr>
      </w:pPr>
    </w:p>
    <w:p>
      <w:pPr>
        <w:ind w:right="140" w:firstLine="436"/>
        <w:spacing w:after="0" w:line="259" w:lineRule="auto"/>
        <w:tabs>
          <w:tab w:leader="none" w:pos="710" w:val="left"/>
        </w:tabs>
        <w:numPr>
          <w:ilvl w:val="0"/>
          <w:numId w:val="2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Personal Data</w:t>
      </w:r>
      <w:r>
        <w:rPr>
          <w:rFonts w:ascii="Times New Roman" w:cs="Times New Roman" w:eastAsia="Times New Roman" w:hAnsi="Times New Roman"/>
          <w:sz w:val="18"/>
          <w:szCs w:val="18"/>
          <w:b w:val="1"/>
          <w:bCs w:val="1"/>
          <w:i w:val="1"/>
          <w:iCs w:val="1"/>
          <w:color w:val="auto"/>
        </w:rPr>
        <w:t>”).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184" w:lineRule="exact"/>
        <w:rPr>
          <w:sz w:val="20"/>
          <w:szCs w:val="20"/>
          <w:color w:val="auto"/>
        </w:rPr>
      </w:pPr>
    </w:p>
    <w:p>
      <w:pPr>
        <w:ind w:right="60" w:firstLine="1542"/>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69" w:lineRule="exact"/>
        <w:rPr>
          <w:sz w:val="20"/>
          <w:szCs w:val="20"/>
          <w:color w:val="auto"/>
        </w:rPr>
      </w:pPr>
    </w:p>
    <w:p>
      <w:pPr>
        <w:ind w:right="80" w:firstLine="436"/>
        <w:spacing w:after="0" w:line="255" w:lineRule="auto"/>
        <w:tabs>
          <w:tab w:leader="none" w:pos="71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34" w:name="page235"/>
    <w:bookmarkEnd w:id="234"/>
    <w:p>
      <w:pPr>
        <w:ind w:left="-436" w:right="40" w:firstLine="436"/>
        <w:spacing w:after="0" w:line="266" w:lineRule="auto"/>
        <w:tabs>
          <w:tab w:leader="none" w:pos="27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67"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of Restricted Stock Units or this Award Agreement, the parties hereby submit to and consent to the jurisdiction of the State of Delaware, and agree that such litigation will be conducted in the courts of New Castle County, Delaware, or the federal courts for the United States for the District of Delaware, and no other courts.</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4"/>
          </w:cols>
          <w:pgMar w:left="876" w:top="270" w:right="49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INCENTIVE BONUS PLAN</w:t>
      </w:r>
    </w:p>
    <w:p>
      <w:pPr>
        <w:spacing w:after="0" w:line="374" w:lineRule="exact"/>
        <w:rPr>
          <w:sz w:val="20"/>
          <w:szCs w:val="20"/>
          <w:color w:val="auto"/>
        </w:rPr>
      </w:pPr>
    </w:p>
    <w:p>
      <w:pPr>
        <w:ind w:left="424" w:hanging="424"/>
        <w:spacing w:after="0"/>
        <w:tabs>
          <w:tab w:leader="none" w:pos="424"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17"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The purpose of the Clover Health Investments, Corp. Executive Incentive Bonus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motivate and reward eligible employees for their contributions toward the achievement of certain Performance Goals (as defined below) by Clover Health Investments, Corp. (together with any of its Affiliates,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ind w:left="424" w:hanging="424"/>
        <w:spacing w:after="0"/>
        <w:tabs>
          <w:tab w:leader="none" w:pos="42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definitions shall be applicable throughout the Plan:</w:t>
      </w:r>
    </w:p>
    <w:p>
      <w:pPr>
        <w:spacing w:after="0" w:line="113"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6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46" w:lineRule="exact"/>
        <w:rPr>
          <w:rFonts w:ascii="Times New Roman" w:cs="Times New Roman" w:eastAsia="Times New Roman" w:hAnsi="Times New Roman"/>
          <w:sz w:val="18"/>
          <w:szCs w:val="18"/>
          <w:color w:val="auto"/>
        </w:rPr>
      </w:pPr>
    </w:p>
    <w:p>
      <w:pPr>
        <w:ind w:left="4" w:right="40" w:firstLine="436"/>
        <w:spacing w:after="0" w:line="262" w:lineRule="auto"/>
        <w:tabs>
          <w:tab w:leader="none" w:pos="69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or state laws, rules and regulations, the rules and regulations of any stock exchange or quotation system on which the Company’s common stock is listed or quoted, and the applicable laws, rules and regulations of any other country or jurisdiction where Awards are, or will be, granted under the Plan or Participants reside or provide services to the Company or any Affiliate, as such laws, rules, and regulations shall be in effect from time to time.</w:t>
      </w:r>
    </w:p>
    <w:p>
      <w:pPr>
        <w:spacing w:after="0" w:line="6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the amount of cash incentive payable under the Plan to a Participant with respect to a Performance Period.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117" w:lineRule="exact"/>
        <w:rPr>
          <w:rFonts w:ascii="Times New Roman" w:cs="Times New Roman" w:eastAsia="Times New Roman" w:hAnsi="Times New Roman"/>
          <w:sz w:val="18"/>
          <w:szCs w:val="18"/>
          <w:color w:val="auto"/>
        </w:rPr>
      </w:pPr>
    </w:p>
    <w:p>
      <w:pPr>
        <w:jc w:val="both"/>
        <w:ind w:left="4" w:right="460" w:firstLine="436"/>
        <w:spacing w:after="0" w:line="268" w:lineRule="auto"/>
        <w:tabs>
          <w:tab w:leader="none" w:pos="6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62" w:lineRule="exact"/>
        <w:rPr>
          <w:rFonts w:ascii="Times New Roman" w:cs="Times New Roman" w:eastAsia="Times New Roman" w:hAnsi="Times New Roman"/>
          <w:sz w:val="18"/>
          <w:szCs w:val="18"/>
          <w:color w:val="auto"/>
        </w:rPr>
      </w:pPr>
    </w:p>
    <w:p>
      <w:pPr>
        <w:ind w:left="4" w:right="160" w:firstLine="436"/>
        <w:spacing w:after="0" w:line="262" w:lineRule="auto"/>
        <w:tabs>
          <w:tab w:leader="none" w:pos="66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unless another Committee is designated by the Board. The members of any Committee designated by the Board shall be appointed from time to time by, and serve at the pleasure of, the Board. Any member of any such Committee may resign at any time by notice in writing mailed or delivered to the Secretary of the Company. As of the Effective Date, the Plan shall be administered by the Compensation Committee of the Board.</w:t>
      </w:r>
    </w:p>
    <w:p>
      <w:pPr>
        <w:spacing w:after="0" w:line="6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January 7, 2021.</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officer or employee of the Company who is designated as a Participant by the Committee.</w:t>
      </w:r>
    </w:p>
    <w:p>
      <w:pPr>
        <w:sectPr>
          <w:pgSz w:w="11900" w:h="16838" w:orient="portrait"/>
          <w:cols w:equalWidth="0" w:num="1">
            <w:col w:w="11024"/>
          </w:cols>
          <w:pgMar w:left="436" w:top="266" w:right="439" w:bottom="1440" w:gutter="0" w:footer="0" w:header="0"/>
        </w:sectPr>
      </w:pPr>
    </w:p>
    <w:bookmarkStart w:id="236" w:name="page237"/>
    <w:bookmarkEnd w:id="236"/>
    <w:p>
      <w:pPr>
        <w:ind w:left="4" w:right="400" w:firstLine="436"/>
        <w:spacing w:after="0" w:line="278" w:lineRule="auto"/>
        <w:tabs>
          <w:tab w:leader="none" w:pos="659"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Performance Goal</w:t>
      </w:r>
      <w:r>
        <w:rPr>
          <w:rFonts w:ascii="Times New Roman" w:cs="Times New Roman" w:eastAsia="Times New Roman" w:hAnsi="Times New Roman"/>
          <w:sz w:val="17"/>
          <w:szCs w:val="17"/>
          <w:color w:val="auto"/>
        </w:rPr>
        <w:t>” means a formula or standard determined by the Committee with respect to each Performance Period based on one or more of the following criteria and any adjustment(s) thereto established by the Committee: (1) sales or non-sales revenue; (2) return on revenues;</w:t>
      </w:r>
    </w:p>
    <w:p>
      <w:pPr>
        <w:spacing w:after="0" w:line="1" w:lineRule="exact"/>
        <w:rPr>
          <w:rFonts w:ascii="Times New Roman" w:cs="Times New Roman" w:eastAsia="Times New Roman" w:hAnsi="Times New Roman"/>
          <w:sz w:val="17"/>
          <w:szCs w:val="17"/>
          <w:color w:val="auto"/>
        </w:rPr>
      </w:pPr>
    </w:p>
    <w:p>
      <w:pPr>
        <w:jc w:val="both"/>
        <w:ind w:left="4" w:right="60" w:hanging="4"/>
        <w:spacing w:after="0" w:line="265" w:lineRule="auto"/>
        <w:tabs>
          <w:tab w:leader="none" w:pos="25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or revenue backlog; (13) gross margin;</w:t>
      </w:r>
    </w:p>
    <w:p>
      <w:pPr>
        <w:ind w:left="4" w:right="280" w:hanging="4"/>
        <w:spacing w:after="0" w:line="265" w:lineRule="auto"/>
        <w:tabs>
          <w:tab w:leader="none" w:pos="349"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 or profit margin; (15) capital expenditures, cost targets, reductions and savings and expense management; (16) return on assets (gross or net), return on investment, return on capital, or return on shareholder equity; (17) cash flow, operating cash flow, free cash flow, cash flow return on investment (discounted or otherwise), net cash provided by operations, or cash flow in excess of cost of capital; (18) stock price or total stockholder return; (19) earnings or book value per share (basic or diluted); (20) economic value created; (21) pre-tax profit or after-tax profit;</w:t>
      </w:r>
    </w:p>
    <w:p>
      <w:pPr>
        <w:ind w:left="4" w:hanging="4"/>
        <w:spacing w:after="0" w:line="265" w:lineRule="auto"/>
        <w:tabs>
          <w:tab w:leader="none" w:pos="349"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(23) objective goals relating to divestitures, joint ventures, mergers, acquisitions and similar transactions; (24) objective goals relating to staff management, results from staff attitude and/or opinion surveys, staff satisfaction scores, staff safety, staff accident and/or injury rates, compliance, headcount, performance management, completion of critical staff training initiatives; (25) objective goals relating to projects, including project completion, timing and/or achievement of milestones, project budget, technical progress against work plans;</w:t>
      </w:r>
    </w:p>
    <w:p>
      <w:pPr>
        <w:ind w:left="4" w:right="80" w:hanging="4"/>
        <w:spacing w:after="0" w:line="265" w:lineRule="auto"/>
        <w:tabs>
          <w:tab w:leader="none" w:pos="349"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resource planning; (27) new markets; (28) new products, product development, product quality; (29) net promoter score; (30) physician partner satisfaction; (31) Clover Assistant coverage, adoption, and engagement; (32) advance integrated clinical capabilities; (33) market capitalization;</w:t>
      </w:r>
    </w:p>
    <w:p>
      <w:pPr>
        <w:ind w:left="344" w:hanging="344"/>
        <w:spacing w:after="0"/>
        <w:tabs>
          <w:tab w:leader="none" w:pos="34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growth or churn reduction; (35) member satisfaction; (36) member adherence to evidence-based protocols/standards of care;</w:t>
      </w:r>
    </w:p>
    <w:p>
      <w:pPr>
        <w:spacing w:after="0" w:line="9" w:lineRule="exact"/>
        <w:rPr>
          <w:rFonts w:ascii="Times New Roman" w:cs="Times New Roman" w:eastAsia="Times New Roman" w:hAnsi="Times New Roman"/>
          <w:sz w:val="18"/>
          <w:szCs w:val="18"/>
          <w:color w:val="auto"/>
        </w:rPr>
      </w:pPr>
    </w:p>
    <w:p>
      <w:pPr>
        <w:ind w:left="4" w:right="20" w:hanging="4"/>
        <w:spacing w:after="0" w:line="251" w:lineRule="auto"/>
        <w:tabs>
          <w:tab w:leader="none" w:pos="34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expense reduction; (38) provider network growth; (39) successful resolution of claims or disputes; (40) successful audit performance or response to regulatory inquiries; (41) employee recruitment, retention or satisfaction; (42) workforce diversity; (43) organizational culture and leadership; (44) strategic joint ventures, partnerships, or acquisitions; (45) Star Ratings or quality measures performance; (46) successful advocacy for government policy changes; and (47) effective risk management. Awards issued to Participants may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(vi) on a GAAP or non-GAAP basis, and/or (vii) using an actual foreign exchange rate or on a foreign exchange neutral basis.</w:t>
      </w:r>
    </w:p>
    <w:p>
      <w:pPr>
        <w:spacing w:after="0" w:line="80" w:lineRule="exact"/>
        <w:rPr>
          <w:rFonts w:ascii="Times New Roman" w:cs="Times New Roman" w:eastAsia="Times New Roman" w:hAnsi="Times New Roman"/>
          <w:sz w:val="18"/>
          <w:szCs w:val="18"/>
          <w:color w:val="auto"/>
        </w:rPr>
      </w:pPr>
    </w:p>
    <w:p>
      <w:pPr>
        <w:ind w:left="4" w:right="80" w:firstLine="436"/>
        <w:spacing w:after="0" w:line="262" w:lineRule="auto"/>
        <w:tabs>
          <w:tab w:leader="none" w:pos="65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4"/>
          </w:cols>
          <w:pgMar w:left="436" w:top="266" w:right="459" w:bottom="1440" w:gutter="0" w:footer="0" w:header="0"/>
        </w:sectPr>
      </w:pPr>
    </w:p>
    <w:bookmarkStart w:id="237" w:name="page238"/>
    <w:bookmarkEnd w:id="237"/>
    <w:p>
      <w:pPr>
        <w:ind w:left="4" w:right="340" w:firstLine="436"/>
        <w:spacing w:after="0" w:line="268" w:lineRule="auto"/>
        <w:tabs>
          <w:tab w:leader="none" w:pos="69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Company’s fiscal year, multiple fiscal years or any other period longer or shorter than one fiscal year, as determined by the Committee, in its sole discretion. The Committee may establish different Performance Periods for different Participants, and the Committee may establish concurrent or overlapping Performance Periods.</w:t>
      </w:r>
    </w:p>
    <w:p>
      <w:pPr>
        <w:spacing w:after="0" w:line="62" w:lineRule="exact"/>
        <w:rPr>
          <w:rFonts w:ascii="Times New Roman" w:cs="Times New Roman" w:eastAsia="Times New Roman" w:hAnsi="Times New Roman"/>
          <w:sz w:val="18"/>
          <w:szCs w:val="18"/>
          <w:color w:val="auto"/>
        </w:rPr>
      </w:pPr>
    </w:p>
    <w:p>
      <w:pPr>
        <w:jc w:val="both"/>
        <w:ind w:left="4" w:firstLine="436"/>
        <w:spacing w:after="0" w:line="262" w:lineRule="auto"/>
        <w:tabs>
          <w:tab w:leader="none" w:pos="65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68" w:lineRule="exact"/>
        <w:rPr>
          <w:rFonts w:ascii="Times New Roman" w:cs="Times New Roman" w:eastAsia="Times New Roman" w:hAnsi="Times New Roman"/>
          <w:sz w:val="18"/>
          <w:szCs w:val="18"/>
          <w:color w:val="auto"/>
        </w:rPr>
      </w:pPr>
    </w:p>
    <w:p>
      <w:pPr>
        <w:ind w:left="4" w:right="260" w:firstLine="436"/>
        <w:spacing w:after="0" w:line="286" w:lineRule="auto"/>
        <w:tabs>
          <w:tab w:leader="none" w:pos="74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in relation to a Participant’s participation in the Plan and legally applicable to a Participant.</w:t>
      </w:r>
    </w:p>
    <w:p>
      <w:pPr>
        <w:spacing w:after="0" w:line="3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Plan shall be administered by the Committee, which shall have the discretionary authority to interpret the provisions of the Plan, including all decisions on eligibility to participate, the establishment of Performance Goals, the amount of Awards payable under the Plan, and the payment of Awards. The Committee shall also have the discretionary authority to establish rules under the Plan so long as such rules do not explicitly conflict with the terms of the Plan and any such rules shall constitute part of the Plan. The decisions of the Committee shall be final and binding on all parties making claims under the Plan. The Committee, in its sole discretion and on such terms and conditions as it may provide, may delegate all or part of its authority and powers under the Plan to one or more directors and/or officers of the Company.</w:t>
      </w:r>
    </w:p>
    <w:p>
      <w:pPr>
        <w:spacing w:after="0" w:line="332" w:lineRule="exact"/>
        <w:rPr>
          <w:sz w:val="20"/>
          <w:szCs w:val="20"/>
          <w:color w:val="auto"/>
        </w:rPr>
      </w:pPr>
    </w:p>
    <w:p>
      <w:pPr>
        <w:ind w:left="424" w:hanging="424"/>
        <w:spacing w:after="0"/>
        <w:tabs>
          <w:tab w:leader="none" w:pos="424"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Officers and other key employees of the Company designated by the Committee to participate in the Plan shall be eligible to participate in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provided the Committee has not, in its sole discretion, withdrawn such designation and he or she meets the following conditions:</w:t>
      </w:r>
    </w:p>
    <w:p>
      <w:pPr>
        <w:spacing w:after="0" w:line="99" w:lineRule="exact"/>
        <w:rPr>
          <w:sz w:val="20"/>
          <w:szCs w:val="20"/>
          <w:color w:val="auto"/>
        </w:rPr>
      </w:pPr>
    </w:p>
    <w:p>
      <w:pPr>
        <w:ind w:left="684" w:hanging="244"/>
        <w:spacing w:after="0"/>
        <w:tabs>
          <w:tab w:leader="none" w:pos="68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part-time or full-time regular employee of the Company as of the last day of the applicable Performance Period; and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disciplinary action, is in good standing with the Company and is not subject to a performance improvement plan.</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OF AWARDS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each Participant, the Committee will establish one or more Performance Periods, an individual Participant incentive target (which</w:t>
      </w:r>
    </w:p>
    <w:p>
      <w:pPr>
        <w:spacing w:after="0" w:line="27"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may be, but is not required to be, based on the Participant’s base salary) for each Performance Period and the Performance Goal(s) to be met during such Performance Period(s).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4"/>
          </w:cols>
          <w:pgMar w:left="436" w:top="266" w:right="459" w:bottom="1440" w:gutter="0" w:footer="0" w:header="0"/>
        </w:sectPr>
      </w:pPr>
    </w:p>
    <w:bookmarkStart w:id="238" w:name="page239"/>
    <w:bookmarkEnd w:id="238"/>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required by Applicable Laws or as determined by the Committee, base salary shall not include salary paid during any paid leave of absence or any variable forms of compensation including, but not limited to, overtime, on-call pay, lead premiums, shift differentials, bonuses, incentive compensation, commissions, stock options, restricted stock units, restricted stock, stock appreciation rights, or expense allowances or reimbursements. Nothing in the Plan, or arising as a result of a Participant’s participation in the Plan, shall prevent the Company from changing a Participant’s base salary at any time based on such factors as the Company shall in its discretion determine appropriate.</w:t>
      </w:r>
    </w:p>
    <w:p>
      <w:pPr>
        <w:spacing w:after="0" w:line="7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Awards may be pro-rated on any basis determined appropriate in the Committee’s sole discretion, including, but not limited to, in connection with transfers to new positions or new locations, new hires, Participants on a leave of absence for all or any portion of a Performance Period, or Participants working less than full-time. The Committee reserves the right, in its sole discretion, to increase, reduce or eliminate the amount of an Award otherwise payable to a Participant with respect to any Performance Period.</w:t>
      </w:r>
    </w:p>
    <w:p>
      <w:pPr>
        <w:spacing w:after="0" w:line="324" w:lineRule="exact"/>
        <w:rPr>
          <w:sz w:val="20"/>
          <w:szCs w:val="20"/>
          <w:color w:val="auto"/>
        </w:rPr>
      </w:pPr>
    </w:p>
    <w:p>
      <w:pPr>
        <w:ind w:left="424" w:hanging="424"/>
        <w:spacing w:after="0"/>
        <w:tabs>
          <w:tab w:leader="none" w:pos="42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AWARDS</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66" w:lineRule="auto"/>
        <w:tabs>
          <w:tab w:leader="none" w:pos="68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a Participant must be actively employed and in good standing with the Company on the date the Award is paid. The Committee may make exceptions to this requirement in the case of retirement, death or disability, an unqualified leave of absence or under other circumstances, as determined by the Committee in its sole discretion.</w:t>
      </w:r>
    </w:p>
    <w:p>
      <w:pPr>
        <w:spacing w:after="0" w:line="67" w:lineRule="exact"/>
        <w:rPr>
          <w:rFonts w:ascii="Times New Roman" w:cs="Times New Roman" w:eastAsia="Times New Roman" w:hAnsi="Times New Roman"/>
          <w:sz w:val="18"/>
          <w:szCs w:val="18"/>
          <w:color w:val="auto"/>
        </w:rPr>
      </w:pPr>
    </w:p>
    <w:p>
      <w:pPr>
        <w:ind w:left="4" w:right="280" w:firstLine="436"/>
        <w:spacing w:after="0" w:line="261" w:lineRule="auto"/>
        <w:tabs>
          <w:tab w:leader="none" w:pos="69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each Award shall be made as soon as administratively practicable but in any event no later than the 15th day of the third month following the end of the Performance Period during which the Award was earned (in the case of any Performance Period based on a fiscal year, by March 15th thereafter). Each Award shall be paid in cash (or its equivalent) in a single lump sum unless such amounts are otherwise deferred in accordance with Section 6(c).</w:t>
      </w:r>
    </w:p>
    <w:p>
      <w:pPr>
        <w:spacing w:after="0" w:line="7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8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permit a Participant to defer receipt of the payment of cash that would otherwise be delivered to a Participant under the Plan. Any such deferral elections shall be subject to such rules and procedures as shall be determined by the Committee in its sole discretion.</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66" w:lineRule="auto"/>
        <w:tabs>
          <w:tab w:leader="none" w:pos="68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The Company shall have the right to deduct from all Awards any Tax-Related Items, and any other deductions, required to be withheld with respect to such payments. The Company also may withhold such amounts from any other amount payable by the Company or any Affiliate to the Participant, subject to compliance with Applicable Laws.</w:t>
      </w:r>
    </w:p>
    <w:p>
      <w:pPr>
        <w:spacing w:after="0" w:line="67"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To the extent that any Award under the Plan is subject to Section 409A of the Code, the terms and administration of such Award shall comply with the provisions of such section and good faith reasonable interpretations thereof, and, to the extent necessary to achieve compliance, shall be modified, replaced or terminated at the discretion of the Committee. In no event will the Company reimburse a Participant for any taxes or other penalties that may be imposed on the Participant as a result of Section 409A of the Code.</w:t>
      </w:r>
    </w:p>
    <w:p>
      <w:pPr>
        <w:spacing w:after="0" w:line="71" w:lineRule="exact"/>
        <w:rPr>
          <w:rFonts w:ascii="Times New Roman" w:cs="Times New Roman" w:eastAsia="Times New Roman" w:hAnsi="Times New Roman"/>
          <w:sz w:val="18"/>
          <w:szCs w:val="18"/>
          <w:color w:val="auto"/>
        </w:rPr>
      </w:pPr>
    </w:p>
    <w:p>
      <w:pPr>
        <w:ind w:left="4" w:right="240" w:firstLine="436"/>
        <w:spacing w:after="0" w:line="258" w:lineRule="auto"/>
        <w:tabs>
          <w:tab w:leader="none" w:pos="68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TO AWARDS AND EMPLOYMENT RIGHTS. Nothing in the Plan shall confer on any Participant the right to continued employment with the Company or any of its Affiliates, or affect in any way the right of the Company or any Affiliate to terminate the Participant’s employment at any time, and for any reason, or change the Participant’s responsibilities. Awards represent unfunded and unsecured obligations of the Company and a holder of any right hereunder in respect of any Award shall have no rights other than those of a general unsecured creditor to the Company.</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84"/>
          </w:cols>
          <w:pgMar w:left="436" w:top="270" w:right="479" w:bottom="1440" w:gutter="0" w:footer="0" w:header="0"/>
        </w:sectPr>
      </w:pPr>
    </w:p>
    <w:bookmarkStart w:id="239" w:name="page240"/>
    <w:bookmarkEnd w:id="239"/>
    <w:p>
      <w:pPr>
        <w:ind w:left="-436" w:right="120" w:firstLine="436"/>
        <w:spacing w:after="0" w:line="258" w:lineRule="auto"/>
        <w:tabs>
          <w:tab w:leader="none" w:pos="25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BENEFICIARIES. To the extent the Committee permits beneficiary designations, any payment of Awards under the Plan to a deceased Participant shall be paid to the beneficiary duly designated by the Participant in accordance with the Company’s practices. If no such beneficiary has been designated or survives the Participant, payment shall be made to the Participant’s legal representative, legal beneficiary or estate, as applicable. A beneficiary designation may be changed or revoked by a Participant at any time, provided the change or revocation is filed with the Committee prior to the Participant’s death.</w:t>
      </w:r>
    </w:p>
    <w:p>
      <w:pPr>
        <w:spacing w:after="0" w:line="75" w:lineRule="exact"/>
        <w:rPr>
          <w:rFonts w:ascii="Times New Roman" w:cs="Times New Roman" w:eastAsia="Times New Roman" w:hAnsi="Times New Roman"/>
          <w:sz w:val="18"/>
          <w:szCs w:val="18"/>
          <w:color w:val="auto"/>
        </w:rPr>
      </w:pPr>
    </w:p>
    <w:p>
      <w:pPr>
        <w:ind w:left="-436" w:right="540" w:firstLine="436"/>
        <w:spacing w:after="0" w:line="261" w:lineRule="auto"/>
        <w:tabs>
          <w:tab w:leader="none" w:pos="24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A person’s rights and interests under the Plan, including any Award previously made to such person or any amounts payable under the Plan, may not be sold, assigned, pledged, transferred or otherwise alienated or hypothecated except, in the event of a Participant’s death, to a designated beneficiary as provided in the Plan, or in the absence of such designation, by will or the laws of descent and distribution.</w:t>
      </w:r>
    </w:p>
    <w:p>
      <w:pPr>
        <w:spacing w:after="0" w:line="71"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22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67" w:lineRule="exact"/>
        <w:rPr>
          <w:rFonts w:ascii="Times New Roman" w:cs="Times New Roman" w:eastAsia="Times New Roman" w:hAnsi="Times New Roman"/>
          <w:sz w:val="18"/>
          <w:szCs w:val="18"/>
          <w:color w:val="auto"/>
        </w:rPr>
      </w:pPr>
    </w:p>
    <w:p>
      <w:pPr>
        <w:ind w:left="-436" w:firstLine="436"/>
        <w:spacing w:after="0" w:line="253" w:lineRule="auto"/>
        <w:tabs>
          <w:tab w:leader="none" w:pos="25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Each person who is or shall have been a member of the Committee and each employee of the Company or an Affiliate who is delegated a duty under the Plan shall be indemnified and held harmless by the Company from and against any loss, cost, liability or expense that may be imposed upon or reasonably incurred by him or her in connection with or resulting from any claim, action, suit or proceeding to which he or she may be a party or in which he or she may be involved by reason of any action or failure to act under the Plan and against and from any and all amounts paid by him or her in satisfaction of judgment in any such action, suit or proceeding against him or her, provided such loss, cost, liability or expense is not attributable to such person’s willful misconduct. Any person seeking indemnification under this provision shall give the Company prompt notice of any claim and shall give the Company an opportunity, at its own expense, to handle and defend the same before the person undertakes to handle and defend such claim on his or her own behalf. The foregoing right of indemnification shall not be exclusive of any other rights of indemnification to which such persons may be entitled, including under the Company’s Articles of Incorporation or Bylaws, as a matter of Applicable Laws, or otherwise, or any power that the Company may have to indemnify them or hold them harmless.</w:t>
      </w:r>
    </w:p>
    <w:p>
      <w:pPr>
        <w:spacing w:after="0" w:line="86" w:lineRule="exact"/>
        <w:rPr>
          <w:rFonts w:ascii="Times New Roman" w:cs="Times New Roman" w:eastAsia="Times New Roman" w:hAnsi="Times New Roman"/>
          <w:sz w:val="18"/>
          <w:szCs w:val="18"/>
          <w:color w:val="auto"/>
        </w:rPr>
      </w:pPr>
    </w:p>
    <w:p>
      <w:pPr>
        <w:ind w:left="-436" w:right="140" w:firstLine="436"/>
        <w:spacing w:after="0" w:line="256" w:lineRule="auto"/>
        <w:tabs>
          <w:tab w:leader="none" w:pos="25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CLAWBACK/RECOVERY. The Committee may specify in an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Committee may require a Participant to forfeit or return to and/or reimburse the Company for any amounts paid with respect to an Award, pursuant to the terms of such Company policy or as necessary or appropriate to comply with Applicable Laws.</w:t>
      </w:r>
    </w:p>
    <w:p>
      <w:pPr>
        <w:spacing w:after="0" w:line="119"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64"/>
          </w:cols>
          <w:pgMar w:left="876" w:top="270" w:right="459" w:bottom="1440" w:gutter="0" w:footer="0" w:header="0"/>
        </w:sectPr>
      </w:pPr>
    </w:p>
    <w:bookmarkStart w:id="240" w:name="page241"/>
    <w:bookmarkEnd w:id="240"/>
    <w:p>
      <w:pPr>
        <w:ind w:left="224" w:hanging="224"/>
        <w:spacing w:after="0"/>
        <w:tabs>
          <w:tab w:leader="none" w:pos="2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EXPENSES. The expenses of administering the Plan shall be borne by the Company.</w:t>
      </w:r>
    </w:p>
    <w:p>
      <w:pPr>
        <w:spacing w:after="0" w:line="117"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21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TITLES AND HEADINGS. The titles and headings of the sections in the Plan are for convenience of reference only, and in the event of any conflict, the text of the Plan, rather than such titles or headings, shall control.</w:t>
      </w:r>
    </w:p>
    <w:p>
      <w:pPr>
        <w:spacing w:after="0" w:line="53" w:lineRule="exact"/>
        <w:rPr>
          <w:rFonts w:ascii="Times New Roman" w:cs="Times New Roman" w:eastAsia="Times New Roman" w:hAnsi="Times New Roman"/>
          <w:sz w:val="18"/>
          <w:szCs w:val="18"/>
          <w:color w:val="auto"/>
        </w:rPr>
      </w:pPr>
    </w:p>
    <w:p>
      <w:pPr>
        <w:jc w:val="both"/>
        <w:ind w:left="-436" w:right="40" w:firstLine="436"/>
        <w:spacing w:after="0" w:line="266" w:lineRule="auto"/>
        <w:tabs>
          <w:tab w:leader="none" w:pos="2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validity, construction, and effect of the Plan, any rules and regulations relating to the Plan, and any Award shall be determined in accordance with the laws of the State of Delaware (without giving effect to principles of conflicts of laws thereof) and applicable federal law.</w:t>
      </w:r>
    </w:p>
    <w:p>
      <w:pPr>
        <w:spacing w:after="0" w:line="67" w:lineRule="exact"/>
        <w:rPr>
          <w:rFonts w:ascii="Times New Roman" w:cs="Times New Roman" w:eastAsia="Times New Roman" w:hAnsi="Times New Roman"/>
          <w:sz w:val="18"/>
          <w:szCs w:val="18"/>
          <w:color w:val="auto"/>
        </w:rPr>
      </w:pPr>
    </w:p>
    <w:p>
      <w:pPr>
        <w:ind w:left="-436" w:firstLine="436"/>
        <w:spacing w:after="0" w:line="261" w:lineRule="auto"/>
        <w:tabs>
          <w:tab w:leader="none" w:pos="21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AND TERMINATION. The Committee may terminate the Plan at any time, provided such termination shall not affect the payment of any Awards accrued under the Plan prior to the date of the termination. The Committee may, at any time, or from time to time, amend or suspend and, if suspended, reinstate, the Plan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amendment of the Plan shall be subject to the approval of the Company’s shareholders to the extent required to comply with Applicable Laws, regulations or rules.</w:t>
      </w:r>
    </w:p>
    <w:p>
      <w:pPr>
        <w:spacing w:after="0" w:line="112"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64"/>
          </w:cols>
          <w:pgMar w:left="876" w:top="270" w:right="55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(Adopted, approved, and effective on January 7, 2021)</w:t>
      </w:r>
    </w:p>
    <w:p>
      <w:pPr>
        <w:spacing w:after="0" w:line="221"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Clover Health Investments,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an employee of the Company (each such member, an “</w:t>
      </w:r>
      <w:r>
        <w:rPr>
          <w:rFonts w:ascii="Times New Roman" w:cs="Times New Roman" w:eastAsia="Times New Roman" w:hAnsi="Times New Roman"/>
          <w:sz w:val="18"/>
          <w:szCs w:val="18"/>
          <w:b w:val="1"/>
          <w:bCs w:val="1"/>
          <w:i w:val="1"/>
          <w:iCs w:val="1"/>
          <w:color w:val="auto"/>
        </w:rPr>
        <w:t>Outside Director</w:t>
      </w:r>
      <w:r>
        <w:rPr>
          <w:rFonts w:ascii="Times New Roman" w:cs="Times New Roman" w:eastAsia="Times New Roman" w:hAnsi="Times New Roman"/>
          <w:sz w:val="18"/>
          <w:szCs w:val="18"/>
          <w:color w:val="auto"/>
        </w:rPr>
        <w:t>”) will receive the compensation described in this Outside Director Compensation Policy (the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Compensation Policy</w:t>
      </w:r>
      <w:r>
        <w:rPr>
          <w:rFonts w:ascii="Times New Roman" w:cs="Times New Roman" w:eastAsia="Times New Roman" w:hAnsi="Times New Roman"/>
          <w:sz w:val="18"/>
          <w:szCs w:val="18"/>
          <w:color w:val="auto"/>
        </w:rPr>
        <w:t>”) for his or her Board service following the effective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Director Compensation Policy will become effective upon the Effective Date. The Director Compensation Policy may be amended at any time in the sole discretion of the Board.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12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Each Outside Director will receive the cash compensation set forth below for service on the Board. The annual cash compensation amounts will be payable in arrears, in equal quarterly installments following the end of each fiscal quarter of the Company in which the service occurred. Any amount payable for a partial quarter of service will be pro-rated by multiplying such amount by a fraction, the numerator of which will be the number of days of service that the Outside Director provided in such quarter and the denominator of which will be the number of days in such quarter inclusive. All annual cash fees are vested upon payment. For purposes of clarity, the first quarterly installment of the annual retainers set forth below shall be paid for the first quarter that ends on or after the Effective Date, with the amount of such payment equal to the full quarterly installment, pro-rated as applicable based on the days of service that the Outside Director provided in such quarter.</w:t>
      </w:r>
    </w:p>
    <w:p>
      <w:pPr>
        <w:spacing w:after="0" w:line="90" w:lineRule="exact"/>
        <w:rPr>
          <w:sz w:val="20"/>
          <w:szCs w:val="20"/>
          <w:color w:val="auto"/>
        </w:rPr>
      </w:pPr>
    </w:p>
    <w:p>
      <w:pPr>
        <w:ind w:left="324" w:hanging="324"/>
        <w:spacing w:after="0"/>
        <w:tabs>
          <w:tab w:leader="none" w:pos="3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AnnualBoard Member Service Retainer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Outside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$50,000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serving as Chairperson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$50,000</w:t>
      </w:r>
      <w:r>
        <w:rPr>
          <w:rFonts w:ascii="Times New Roman" w:cs="Times New Roman" w:eastAsia="Times New Roman" w:hAnsi="Times New Roman"/>
          <w:sz w:val="18"/>
          <w:szCs w:val="18"/>
          <w:color w:val="auto"/>
        </w:rPr>
        <w:t xml:space="preserve"> (in addition to above).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serving as Lead Independent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$30,000</w:t>
      </w:r>
      <w:r>
        <w:rPr>
          <w:rFonts w:ascii="Times New Roman" w:cs="Times New Roman" w:eastAsia="Times New Roman" w:hAnsi="Times New Roman"/>
          <w:sz w:val="18"/>
          <w:szCs w:val="18"/>
          <w:color w:val="auto"/>
        </w:rPr>
        <w:t xml:space="preserve"> (in addition to above).</w:t>
      </w:r>
    </w:p>
    <w:p>
      <w:pPr>
        <w:spacing w:after="0" w:line="130"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AnnualCommittee Member Service Retainer:</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 of the Audit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$10,000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 of the 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$7,500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 of the Nominating and Corporate Governance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Committee Chair Service Retainer (in lieu of the Annual Committee Member Service Retainer):</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Chairperson of the Audit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$25,000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Chairperson of the 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$20,000</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Chairperson of the Nominating and Corporate Governance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$15,000</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66" w:right="439" w:bottom="1440" w:gutter="0" w:footer="0" w:header="0"/>
        </w:sectPr>
      </w:pPr>
    </w:p>
    <w:bookmarkStart w:id="242" w:name="page243"/>
    <w:bookmarkEnd w:id="24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Equity Compensation</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Equity awards will be granted under the Company’s 2020 Equity Incentive Plan or any successor equity incentive plan adopted by the Board and the stockholders of the Company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24" w:right="260" w:hanging="424"/>
        <w:spacing w:after="0" w:line="286"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Equity Grants</w:t>
      </w:r>
      <w:r>
        <w:rPr>
          <w:rFonts w:ascii="Times New Roman" w:cs="Times New Roman" w:eastAsia="Times New Roman" w:hAnsi="Times New Roman"/>
          <w:sz w:val="18"/>
          <w:szCs w:val="18"/>
          <w:color w:val="auto"/>
        </w:rPr>
        <w:t>. Annual and initial grants made on or after the annual meeting of the Company’s stockholders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2022 (the “</w:t>
      </w:r>
      <w:r>
        <w:rPr>
          <w:rFonts w:ascii="Times New Roman" w:cs="Times New Roman" w:eastAsia="Times New Roman" w:hAnsi="Times New Roman"/>
          <w:sz w:val="18"/>
          <w:szCs w:val="18"/>
          <w:b w:val="1"/>
          <w:bCs w:val="1"/>
          <w:i w:val="1"/>
          <w:iCs w:val="1"/>
          <w:color w:val="auto"/>
        </w:rPr>
        <w:t>2022 Annual Meeting</w:t>
      </w:r>
      <w:r>
        <w:rPr>
          <w:rFonts w:ascii="Times New Roman" w:cs="Times New Roman" w:eastAsia="Times New Roman" w:hAnsi="Times New Roman"/>
          <w:sz w:val="18"/>
          <w:szCs w:val="18"/>
          <w:color w:val="auto"/>
        </w:rPr>
        <w:t>”) shall be made as follows:</w:t>
      </w:r>
    </w:p>
    <w:p>
      <w:pPr>
        <w:spacing w:after="0" w:line="64"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 for Outside Directors</w:t>
      </w:r>
      <w:r>
        <w:rPr>
          <w:rFonts w:ascii="Times New Roman" w:cs="Times New Roman" w:eastAsia="Times New Roman" w:hAnsi="Times New Roman"/>
          <w:sz w:val="18"/>
          <w:szCs w:val="18"/>
          <w:color w:val="auto"/>
        </w:rPr>
        <w:t>. Without any further action of the Board, at the close of business on the date of each Annual Meeting beginning with the 2022 Annual Meeting, each Outside Director who has served as a member of the Board for at least three (3) full months prior to such Annual Meeting shall be granted restricted stock units under the Plan covering shares of the Company’s Class A Common Stock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having an RSU Value (as defined below) of </w:t>
      </w:r>
      <w:r>
        <w:rPr>
          <w:rFonts w:ascii="Times New Roman" w:cs="Times New Roman" w:eastAsia="Times New Roman" w:hAnsi="Times New Roman"/>
          <w:sz w:val="18"/>
          <w:szCs w:val="18"/>
          <w:b w:val="1"/>
          <w:bCs w:val="1"/>
          <w:color w:val="auto"/>
        </w:rPr>
        <w:t>$200,000</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Annual RSU Award</w:t>
      </w:r>
      <w:r>
        <w:rPr>
          <w:rFonts w:ascii="Times New Roman" w:cs="Times New Roman" w:eastAsia="Times New Roman" w:hAnsi="Times New Roman"/>
          <w:sz w:val="18"/>
          <w:szCs w:val="18"/>
          <w:color w:val="auto"/>
        </w:rPr>
        <w:t>”); provided that the number of Shares covered by each Annual RSU Award will be rounded down to the nearest whole Share. Each Annual RSU Award shall vest in full on the earlier to occur of (i) the next Annual Meeting or (ii) the one-year anniversary of the date of grant, subject to the applicable Outside Director’s continued service as a member of the Board through such date.</w:t>
      </w:r>
    </w:p>
    <w:p>
      <w:pPr>
        <w:spacing w:after="0" w:line="94" w:lineRule="exact"/>
        <w:rPr>
          <w:rFonts w:ascii="Times New Roman" w:cs="Times New Roman" w:eastAsia="Times New Roman" w:hAnsi="Times New Roman"/>
          <w:sz w:val="18"/>
          <w:szCs w:val="18"/>
          <w:color w:val="auto"/>
        </w:rPr>
      </w:pPr>
    </w:p>
    <w:p>
      <w:pPr>
        <w:ind w:left="964" w:right="20" w:hanging="532"/>
        <w:spacing w:after="0" w:line="256" w:lineRule="auto"/>
        <w:tabs>
          <w:tab w:leader="none" w:pos="96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 for New Outside Directors</w:t>
      </w:r>
      <w:r>
        <w:rPr>
          <w:rFonts w:ascii="Times New Roman" w:cs="Times New Roman" w:eastAsia="Times New Roman" w:hAnsi="Times New Roman"/>
          <w:sz w:val="18"/>
          <w:szCs w:val="18"/>
          <w:color w:val="auto"/>
        </w:rPr>
        <w:t xml:space="preserve">. Without any further action of the Board, each person who on or after the 2022 Annual Meeting is elected or appointed for the first time to serve as a member of the Board will automatically, upon the date of his or her initial election or appointment, be granted restricted stock units under the Plan covering Shares having an RSU Value of </w:t>
      </w:r>
      <w:r>
        <w:rPr>
          <w:rFonts w:ascii="Times New Roman" w:cs="Times New Roman" w:eastAsia="Times New Roman" w:hAnsi="Times New Roman"/>
          <w:sz w:val="18"/>
          <w:szCs w:val="18"/>
          <w:b w:val="1"/>
          <w:bCs w:val="1"/>
          <w:color w:val="auto"/>
        </w:rPr>
        <w:t>$200,000</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New Director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provided that the number of Shares covered by each New Director Initial RSU Award will be rounded down to the nearest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 Share. Each New Director Initial RSU Award shall vest in full on the one-year anniversary of the Outside Director’s election or appointment to be a member of the Board, subject to the Outside Director’s continued service as a member of the Board through such date.</w:t>
      </w:r>
    </w:p>
    <w:p>
      <w:pPr>
        <w:spacing w:after="0" w:line="88" w:lineRule="exact"/>
        <w:rPr>
          <w:rFonts w:ascii="Times New Roman" w:cs="Times New Roman" w:eastAsia="Times New Roman" w:hAnsi="Times New Roman"/>
          <w:sz w:val="18"/>
          <w:szCs w:val="18"/>
          <w:color w:val="auto"/>
        </w:rPr>
      </w:pPr>
    </w:p>
    <w:p>
      <w:pPr>
        <w:ind w:left="424" w:right="200" w:hanging="424"/>
        <w:spacing w:after="0" w:line="286" w:lineRule="auto"/>
        <w:tabs>
          <w:tab w:leader="none" w:pos="4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Transitional RSU Grants</w:t>
      </w:r>
      <w:r>
        <w:rPr>
          <w:rFonts w:ascii="Times New Roman" w:cs="Times New Roman" w:eastAsia="Times New Roman" w:hAnsi="Times New Roman"/>
          <w:sz w:val="18"/>
          <w:szCs w:val="18"/>
          <w:color w:val="auto"/>
        </w:rPr>
        <w:t>. Prior to the 2022 Annual Meeting, in lieu of the restricted stock unit awards provided in Section 1 above, there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transitional restricted stock unit awards (the “</w:t>
      </w:r>
      <w:r>
        <w:rPr>
          <w:rFonts w:ascii="Times New Roman" w:cs="Times New Roman" w:eastAsia="Times New Roman" w:hAnsi="Times New Roman"/>
          <w:sz w:val="18"/>
          <w:szCs w:val="18"/>
          <w:b w:val="1"/>
          <w:bCs w:val="1"/>
          <w:i w:val="1"/>
          <w:iCs w:val="1"/>
          <w:color w:val="auto"/>
        </w:rPr>
        <w:t>Transitional RSU Awards</w:t>
      </w:r>
      <w:r>
        <w:rPr>
          <w:rFonts w:ascii="Times New Roman" w:cs="Times New Roman" w:eastAsia="Times New Roman" w:hAnsi="Times New Roman"/>
          <w:sz w:val="18"/>
          <w:szCs w:val="18"/>
          <w:color w:val="auto"/>
        </w:rPr>
        <w:t>”) granted upon the following terms:</w:t>
      </w:r>
    </w:p>
    <w:p>
      <w:pPr>
        <w:spacing w:after="0" w:line="64"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Transitional Initial Grant for New Outside Directors</w:t>
      </w:r>
      <w:r>
        <w:rPr>
          <w:rFonts w:ascii="Times New Roman" w:cs="Times New Roman" w:eastAsia="Times New Roman" w:hAnsi="Times New Roman"/>
          <w:sz w:val="18"/>
          <w:szCs w:val="18"/>
          <w:color w:val="auto"/>
        </w:rPr>
        <w:t xml:space="preserve">. Outside Directors who are initially elected or appointed to serve as members of the Board on or after the Effective Date, but prior to April 1, 2021 (including, for the avoidance of doubt, any Outside Director that joins the Board in connection with the consummation of the transaction resulting in the Company becoming a publicly-traded company), shall be granted a restricted stock unit award under the Plan covering Shares having an RSU Value of </w:t>
      </w:r>
      <w:r>
        <w:rPr>
          <w:rFonts w:ascii="Times New Roman" w:cs="Times New Roman" w:eastAsia="Times New Roman" w:hAnsi="Times New Roman"/>
          <w:sz w:val="18"/>
          <w:szCs w:val="18"/>
          <w:b w:val="1"/>
          <w:bCs w:val="1"/>
          <w:color w:val="auto"/>
        </w:rPr>
        <w:t>$400,000</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Transitional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Initial RSU Award</w:t>
      </w:r>
      <w:r>
        <w:rPr>
          <w:rFonts w:ascii="Times New Roman" w:cs="Times New Roman" w:eastAsia="Times New Roman" w:hAnsi="Times New Roman"/>
          <w:sz w:val="18"/>
          <w:szCs w:val="18"/>
          <w:color w:val="auto"/>
        </w:rPr>
        <w:t>”); provided that the number of Shares covered by each Transitional Initial RSU Award will be rounded down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nearest whole Share. Each Transitional Initial RSU Award shall vest as to 50% of the Shares subject to the award on the first anniversary of the Effective Date, and shall vest as to the remaining Shares subject to the award</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4"/>
          </w:cols>
          <w:pgMar w:left="436" w:top="266" w:right="459" w:bottom="1440" w:gutter="0" w:footer="0" w:header="0"/>
        </w:sectPr>
      </w:pPr>
    </w:p>
    <w:bookmarkStart w:id="243" w:name="page244"/>
    <w:bookmarkEnd w:id="243"/>
    <w:p>
      <w:pPr>
        <w:ind w:left="98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date of the 2022 Annual Meeting, subject to the applicable Outside Director’s continued service as a member of the Board through each such vesting date. For purposes of clarity, Outside Directors who served prior to the Effective Date as members of the board of directors of the Company’s predecessor, Clover Health Investments, Corp., a Delaware corporation (“</w:t>
      </w:r>
      <w:r>
        <w:rPr>
          <w:rFonts w:ascii="Times New Roman" w:cs="Times New Roman" w:eastAsia="Times New Roman" w:hAnsi="Times New Roman"/>
          <w:sz w:val="18"/>
          <w:szCs w:val="18"/>
          <w:b w:val="1"/>
          <w:bCs w:val="1"/>
          <w:i w:val="1"/>
          <w:iCs w:val="1"/>
          <w:color w:val="auto"/>
        </w:rPr>
        <w:t>Clover Health</w:t>
      </w:r>
      <w:r>
        <w:rPr>
          <w:rFonts w:ascii="Times New Roman" w:cs="Times New Roman" w:eastAsia="Times New Roman" w:hAnsi="Times New Roman"/>
          <w:sz w:val="18"/>
          <w:szCs w:val="18"/>
          <w:color w:val="auto"/>
        </w:rPr>
        <w:t xml:space="preserve">”), are not eligible to receive a Transitional Initial RSU Award. Each Outside Director who is initially elected or appointed so serve as a member of the Board during the period commencing April 1, 2021 until the 2022 Annual Meeting will receive a Transitional Initial RSU Award with an RSU Value of </w:t>
      </w:r>
      <w:r>
        <w:rPr>
          <w:rFonts w:ascii="Times New Roman" w:cs="Times New Roman" w:eastAsia="Times New Roman" w:hAnsi="Times New Roman"/>
          <w:sz w:val="18"/>
          <w:szCs w:val="18"/>
          <w:b w:val="1"/>
          <w:bCs w:val="1"/>
          <w:color w:val="auto"/>
        </w:rPr>
        <w:t>$200,000</w:t>
      </w:r>
      <w:r>
        <w:rPr>
          <w:rFonts w:ascii="Times New Roman" w:cs="Times New Roman" w:eastAsia="Times New Roman" w:hAnsi="Times New Roman"/>
          <w:sz w:val="18"/>
          <w:szCs w:val="18"/>
          <w:color w:val="auto"/>
        </w:rPr>
        <w:t>, which will vest on the date of the 2022 Annual Meeting, subject to the applicable Outside Director’s continued service as a member of the Board through each such vesting date.</w:t>
      </w:r>
    </w:p>
    <w:p>
      <w:pPr>
        <w:spacing w:after="0" w:line="94" w:lineRule="exact"/>
        <w:rPr>
          <w:sz w:val="20"/>
          <w:szCs w:val="20"/>
          <w:color w:val="auto"/>
        </w:rPr>
      </w:pPr>
    </w:p>
    <w:p>
      <w:pPr>
        <w:ind w:left="964" w:right="20" w:hanging="532"/>
        <w:spacing w:after="0" w:line="253" w:lineRule="auto"/>
        <w:tabs>
          <w:tab w:leader="none" w:pos="96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Transitional Annual Grant for Existing Outside Directors</w:t>
      </w:r>
      <w:r>
        <w:rPr>
          <w:rFonts w:ascii="Times New Roman" w:cs="Times New Roman" w:eastAsia="Times New Roman" w:hAnsi="Times New Roman"/>
          <w:sz w:val="18"/>
          <w:szCs w:val="18"/>
          <w:color w:val="auto"/>
        </w:rPr>
        <w:t xml:space="preserve">. All Outside Directors who served as members of the board of directors of Clover Health prior to the Effective Date (and were not appointed in connection with the connection with the consummation of the transaction resulting in the Company becoming a publicly-traded company, which will be covered by 2(b) above) and continue to serve as members of the Board after the Effective Date shall be granted a restricted stock unit award under the Plan covering Shares having an RSU Value equal to approximately </w:t>
      </w:r>
      <w:r>
        <w:rPr>
          <w:rFonts w:ascii="Times New Roman" w:cs="Times New Roman" w:eastAsia="Times New Roman" w:hAnsi="Times New Roman"/>
          <w:sz w:val="18"/>
          <w:szCs w:val="18"/>
          <w:b w:val="1"/>
          <w:bCs w:val="1"/>
          <w:color w:val="auto"/>
        </w:rPr>
        <w:t>$400,000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anticipated number of whole months from the Effective Date until the 2022 Annual Meeting,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24) (a “</w:t>
      </w:r>
      <w:r>
        <w:rPr>
          <w:rFonts w:ascii="Times New Roman" w:cs="Times New Roman" w:eastAsia="Times New Roman" w:hAnsi="Times New Roman"/>
          <w:sz w:val="18"/>
          <w:szCs w:val="18"/>
          <w:b w:val="1"/>
          <w:bCs w:val="1"/>
          <w:i w:val="1"/>
          <w:iCs w:val="1"/>
          <w:color w:val="auto"/>
        </w:rPr>
        <w:t>Transitional Annual RSU Award</w:t>
      </w:r>
      <w:r>
        <w:rPr>
          <w:rFonts w:ascii="Times New Roman" w:cs="Times New Roman" w:eastAsia="Times New Roman" w:hAnsi="Times New Roman"/>
          <w:sz w:val="18"/>
          <w:szCs w:val="18"/>
          <w:color w:val="auto"/>
        </w:rPr>
        <w:t>”); provided that the number of Shares covered by each Transitional Annual RSU Award will be rounded down to the nearest whole Share. For example, if the Effective Date is January 15, 2021 and the anticipated date for the 2022 Annual Meeting is May 15, 2022, the RSU Value would be $400,000 x 16/24 = $266,667. Each Transitional Annual RSU Award shall vest on the date of the 2022 Annual Meeting, subject to the applicable Outside Director’s continued service as a member of the Board through each such vesting date.</w:t>
      </w:r>
    </w:p>
    <w:p>
      <w:pPr>
        <w:spacing w:after="0" w:line="99"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Date and Vesting Start Date</w:t>
      </w:r>
      <w:r>
        <w:rPr>
          <w:rFonts w:ascii="Times New Roman" w:cs="Times New Roman" w:eastAsia="Times New Roman" w:hAnsi="Times New Roman"/>
          <w:sz w:val="18"/>
          <w:szCs w:val="18"/>
          <w:color w:val="auto"/>
        </w:rPr>
        <w:t>. Without any further action on the Board, the Transitional RSU Awards shall be granted on the latest to occur of (i) the Outside Director’s election or appointment to be a member of the Board, (ii) the Effective Date and (iii) the effectiveness of the Company’s registration statement for the Shares subject to the Plan. The Transitional RSU Awards shall start to vest from the later to occur of the Effective Date and the date the Outside Director is elected or appointed to be a member of the Board.</w:t>
      </w:r>
    </w:p>
    <w:p>
      <w:pPr>
        <w:spacing w:after="0" w:line="81" w:lineRule="exact"/>
        <w:rPr>
          <w:rFonts w:ascii="Times New Roman" w:cs="Times New Roman" w:eastAsia="Times New Roman" w:hAnsi="Times New Roman"/>
          <w:sz w:val="18"/>
          <w:szCs w:val="18"/>
          <w:color w:val="auto"/>
        </w:rPr>
      </w:pPr>
    </w:p>
    <w:p>
      <w:pPr>
        <w:ind w:left="424" w:right="60" w:hanging="424"/>
        <w:spacing w:after="0" w:line="259" w:lineRule="auto"/>
        <w:tabs>
          <w:tab w:leader="none" w:pos="42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Change in Control</w:t>
      </w:r>
      <w:r>
        <w:rPr>
          <w:rFonts w:ascii="Times New Roman" w:cs="Times New Roman" w:eastAsia="Times New Roman" w:hAnsi="Times New Roman"/>
          <w:sz w:val="18"/>
          <w:szCs w:val="18"/>
          <w:color w:val="auto"/>
        </w:rPr>
        <w:t>. All vesting is subject to the Outside Director’s continued service as a member of the Board through each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Notwithstanding the foregoing, for each Outside Director who remains in continuous service as a member of the Board until immediately prior to the closing of a “Change in Control” (as defined in the Plan), any unvested portion of any restricted stock unit award granted in consideration of such Outside Director’s service as a member of the Board shall vest in full immediately prior to, and contingent upon, the consummation of the Change in Control.</w:t>
      </w:r>
    </w:p>
    <w:p>
      <w:pPr>
        <w:spacing w:after="0" w:line="84" w:lineRule="exact"/>
        <w:rPr>
          <w:rFonts w:ascii="Times New Roman" w:cs="Times New Roman" w:eastAsia="Times New Roman" w:hAnsi="Times New Roman"/>
          <w:sz w:val="18"/>
          <w:szCs w:val="18"/>
          <w:color w:val="auto"/>
        </w:rPr>
      </w:pPr>
    </w:p>
    <w:p>
      <w:pPr>
        <w:ind w:left="424" w:right="260" w:hanging="424"/>
        <w:spacing w:after="0" w:line="268" w:lineRule="auto"/>
        <w:tabs>
          <w:tab w:leader="none" w:pos="42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 of RSU Value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RSU Value</w:t>
      </w:r>
      <w:r>
        <w:rPr>
          <w:rFonts w:ascii="Times New Roman" w:cs="Times New Roman" w:eastAsia="Times New Roman" w:hAnsi="Times New Roman"/>
          <w:sz w:val="18"/>
          <w:szCs w:val="18"/>
          <w:color w:val="auto"/>
        </w:rPr>
        <w:t>” of a restricted stock unit award to be granted under this policy will equal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restricted stock unit award multiplied by the closing price of a Share on the grant date, or if the grant date is not a trading day, the closing price of a Share on the trading day immediately prior to the grant date.</w:t>
      </w:r>
    </w:p>
    <w:p>
      <w:pPr>
        <w:spacing w:after="0" w:line="107"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244" w:name="page245"/>
    <w:bookmarkEnd w:id="244"/>
    <w:p>
      <w:pPr>
        <w:ind w:left="424" w:hanging="424"/>
        <w:spacing w:after="0" w:line="268" w:lineRule="auto"/>
        <w:tabs>
          <w:tab w:leader="none" w:pos="4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Discretionary Grants</w:t>
      </w:r>
      <w:r>
        <w:rPr>
          <w:rFonts w:ascii="Times New Roman" w:cs="Times New Roman" w:eastAsia="Times New Roman" w:hAnsi="Times New Roman"/>
          <w:sz w:val="18"/>
          <w:szCs w:val="18"/>
          <w:color w:val="auto"/>
        </w:rPr>
        <w:t>. In addition to the automatic grants described herein, the Board, in its sole discretion, may grant additional equity awards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Outside Directors for services to the Company that exceed the standard expectations of an Outside Director or for other circumstances determined appropriate by the Board, including, without limitation, an inducement for the Outside Director to remain on the Board.</w:t>
      </w:r>
    </w:p>
    <w:p>
      <w:pPr>
        <w:spacing w:after="0" w:line="76" w:lineRule="exact"/>
        <w:rPr>
          <w:rFonts w:ascii="Times New Roman" w:cs="Times New Roman" w:eastAsia="Times New Roman" w:hAnsi="Times New Roman"/>
          <w:sz w:val="18"/>
          <w:szCs w:val="18"/>
          <w:color w:val="auto"/>
        </w:rPr>
      </w:pPr>
    </w:p>
    <w:p>
      <w:pPr>
        <w:ind w:left="424" w:right="60" w:hanging="424"/>
        <w:spacing w:after="0" w:line="268" w:lineRule="auto"/>
        <w:tabs>
          <w:tab w:leader="none" w:pos="4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Remaining Terms</w:t>
      </w:r>
      <w:r>
        <w:rPr>
          <w:rFonts w:ascii="Times New Roman" w:cs="Times New Roman" w:eastAsia="Times New Roman" w:hAnsi="Times New Roman"/>
          <w:sz w:val="18"/>
          <w:szCs w:val="18"/>
          <w:color w:val="auto"/>
        </w:rPr>
        <w:t>. The remaining terms and conditions of each restricted stock unit award granted under this policy will be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the Company’s standard form of restricted stock unit award agreement, as amended from time to time by the Board or the Compensation Committee of the Board, as applicable.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Company will reimburse each Outside Director for ordinary, necessary and reasonable out-of-pocket travel expenses to cover in-person attendance at, and participation in, Board and committee meetings; provided that the Outside Director timely submits to the Company appropriate documentation substantiating such expenses in accordance with the Company’s travel and expense policy, as in effect from time to time.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4"/>
          </w:cols>
          <w:pgMar w:left="436" w:top="266" w:right="45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10.9</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725 Cool Springs Blvd, Suite 300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Franklin, Tennessee 37067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Garipalli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Vivek:</w:t>
      </w:r>
    </w:p>
    <w:p>
      <w:pPr>
        <w:spacing w:after="0" w:line="11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you (referred to hereinafter as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Clover Health Investments,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sets forth the terms and conditions that shall govern Executive’s continued employment with the Company (referred to hereinafter as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Employment Period</w:t>
      </w:r>
      <w:r>
        <w:rPr>
          <w:rFonts w:ascii="Times New Roman" w:cs="Times New Roman" w:eastAsia="Times New Roman" w:hAnsi="Times New Roman"/>
          <w:sz w:val="18"/>
          <w:szCs w:val="18"/>
          <w:color w:val="auto"/>
        </w:rPr>
        <w:t>”), effective as of immediately after the Closing of the Mergers (as those terms are defined in the Merger Agreement)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20" w:hanging="184"/>
        <w:spacing w:after="0"/>
        <w:tabs>
          <w:tab w:leader="none" w:pos="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 and Scope of Employment</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120" w:firstLine="987"/>
        <w:spacing w:after="0" w:line="259" w:lineRule="auto"/>
        <w:tabs>
          <w:tab w:leader="none" w:pos="123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color w:val="auto"/>
        </w:rPr>
        <w:t>. Executive’s Employment with the Company is for no specified period and constitutes “at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71" w:lineRule="exact"/>
        <w:rPr>
          <w:rFonts w:ascii="Times New Roman" w:cs="Times New Roman" w:eastAsia="Times New Roman" w:hAnsi="Times New Roman"/>
          <w:sz w:val="18"/>
          <w:szCs w:val="18"/>
          <w:color w:val="auto"/>
        </w:rPr>
      </w:pPr>
    </w:p>
    <w:p>
      <w:pPr>
        <w:ind w:right="20" w:firstLine="987"/>
        <w:spacing w:after="0" w:line="257" w:lineRule="auto"/>
        <w:tabs>
          <w:tab w:leader="none" w:pos="124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 and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the Company agrees to employ Executive in the position of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Executive will report to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Executive will be working remotely and based out of the Greater New York City Area until receiving further notice from the Company, at which time Executive will work out of the Company’s office in Jersey City, New Jersey. Executive will perform the duties and have the responsibilities and authority customarily performed and held by an employee in Executive’s position or as otherwise may be assigned or delegated to Executive by the Board. Executive shall comply with the Company’s policies and rules, as they may be in effect from time to time during Executive’s Employment.</w:t>
      </w:r>
    </w:p>
    <w:p>
      <w:pPr>
        <w:spacing w:after="0" w:line="74" w:lineRule="exact"/>
        <w:rPr>
          <w:rFonts w:ascii="Times New Roman" w:cs="Times New Roman" w:eastAsia="Times New Roman" w:hAnsi="Times New Roman"/>
          <w:sz w:val="18"/>
          <w:szCs w:val="18"/>
          <w:color w:val="auto"/>
        </w:rPr>
      </w:pPr>
    </w:p>
    <w:p>
      <w:pPr>
        <w:ind w:right="160" w:firstLine="987"/>
        <w:spacing w:after="0" w:line="257" w:lineRule="auto"/>
        <w:tabs>
          <w:tab w:leader="none" w:pos="123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Conflicting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represents and warrants to the Company that Executive is under no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whether contractual or otherwise, that are inconsistent with Executive’s obligations under this Agreement or that would otherwise prohibit Executive from performing Executive’s duties with the Company.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ectPr>
          <w:pgSz w:w="11900" w:h="16838" w:orient="portrait"/>
          <w:cols w:equalWidth="0" w:num="1">
            <w:col w:w="11020"/>
          </w:cols>
          <w:pgMar w:left="440" w:top="266" w:right="439" w:bottom="1440" w:gutter="0" w:footer="0" w:header="0"/>
        </w:sectPr>
      </w:pPr>
    </w:p>
    <w:bookmarkStart w:id="246" w:name="page247"/>
    <w:bookmarkEnd w:id="246"/>
    <w:p>
      <w:pPr>
        <w:ind w:left="620" w:hanging="184"/>
        <w:spacing w:after="0"/>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 and Incentive Compensation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68"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Compensation</w:t>
      </w:r>
      <w:r>
        <w:rPr>
          <w:rFonts w:ascii="Times New Roman" w:cs="Times New Roman" w:eastAsia="Times New Roman" w:hAnsi="Times New Roman"/>
          <w:sz w:val="18"/>
          <w:szCs w:val="18"/>
          <w:color w:val="auto"/>
        </w:rPr>
        <w:t>. Initially Executive shall not be entitled to either an annual base salary or an annual incentive cash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i w:val="1"/>
          <w:iCs w:val="1"/>
          <w:color w:val="auto"/>
        </w:rPr>
        <w:t>Cash Compensation</w:t>
      </w:r>
      <w:r>
        <w:rPr>
          <w:rFonts w:ascii="Times New Roman" w:cs="Times New Roman" w:eastAsia="Times New Roman" w:hAnsi="Times New Roman"/>
          <w:sz w:val="18"/>
          <w:szCs w:val="18"/>
          <w:color w:val="auto"/>
        </w:rPr>
        <w:t>”). The Board, or any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may provide Executive with Cash Compensation in the future.</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Compensation</w:t>
      </w:r>
      <w:r>
        <w:rPr>
          <w:rFonts w:ascii="Times New Roman" w:cs="Times New Roman" w:eastAsia="Times New Roman" w:hAnsi="Times New Roman"/>
          <w:sz w:val="18"/>
          <w:szCs w:val="18"/>
          <w:color w:val="auto"/>
        </w:rPr>
        <w:t>. Executive shall be entitled to the following equity compensation for Executive’s services.</w:t>
      </w:r>
    </w:p>
    <w:p>
      <w:pPr>
        <w:spacing w:after="0" w:line="117" w:lineRule="exact"/>
        <w:rPr>
          <w:rFonts w:ascii="Times New Roman" w:cs="Times New Roman" w:eastAsia="Times New Roman" w:hAnsi="Times New Roman"/>
          <w:sz w:val="18"/>
          <w:szCs w:val="18"/>
          <w:color w:val="auto"/>
        </w:rPr>
      </w:pPr>
    </w:p>
    <w:p>
      <w:pPr>
        <w:ind w:right="80" w:firstLine="1428"/>
        <w:spacing w:after="0" w:line="259" w:lineRule="auto"/>
        <w:tabs>
          <w:tab w:leader="none" w:pos="1647"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2014 Plan RSUs</w:t>
      </w:r>
      <w:r>
        <w:rPr>
          <w:rFonts w:ascii="Times New Roman" w:cs="Times New Roman" w:eastAsia="Times New Roman" w:hAnsi="Times New Roman"/>
          <w:sz w:val="18"/>
          <w:szCs w:val="18"/>
          <w:color w:val="auto"/>
        </w:rPr>
        <w:t>. Prior to the Closing of the Mergers, the predecessor corporation to the Company, Clover Health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b w:val="1"/>
          <w:bCs w:val="1"/>
          <w:i w:val="1"/>
          <w:iCs w:val="1"/>
          <w:color w:val="auto"/>
        </w:rPr>
        <w:t>Clover Health</w:t>
      </w:r>
      <w:r>
        <w:rPr>
          <w:rFonts w:ascii="Times New Roman" w:cs="Times New Roman" w:eastAsia="Times New Roman" w:hAnsi="Times New Roman"/>
          <w:sz w:val="18"/>
          <w:szCs w:val="18"/>
          <w:color w:val="auto"/>
        </w:rPr>
        <w:t>”), Executive will be granted a restricted stock unit award under Clover Health’s Amended and Restated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covering that number of shares of Clover Health’s common stock which represented two percent (2%) of the fully-diluted ownership of Clover Health as of immediately prior to the Closing of the Mergers (the “</w:t>
      </w:r>
      <w:r>
        <w:rPr>
          <w:rFonts w:ascii="Times New Roman" w:cs="Times New Roman" w:eastAsia="Times New Roman" w:hAnsi="Times New Roman"/>
          <w:sz w:val="18"/>
          <w:szCs w:val="18"/>
          <w:b w:val="1"/>
          <w:bCs w:val="1"/>
          <w:i w:val="1"/>
          <w:iCs w:val="1"/>
          <w:color w:val="auto"/>
        </w:rPr>
        <w:t>2014 Plan RSUs</w:t>
      </w:r>
      <w:r>
        <w:rPr>
          <w:rFonts w:ascii="Times New Roman" w:cs="Times New Roman" w:eastAsia="Times New Roman" w:hAnsi="Times New Roman"/>
          <w:sz w:val="18"/>
          <w:szCs w:val="18"/>
          <w:color w:val="auto"/>
        </w:rPr>
        <w:t xml:space="preserve">”). The 2014 Plan RSUs will vest by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following two requirements:</w:t>
      </w:r>
    </w:p>
    <w:p>
      <w:pPr>
        <w:spacing w:after="0" w:line="71" w:lineRule="exact"/>
        <w:rPr>
          <w:rFonts w:ascii="Times New Roman" w:cs="Times New Roman" w:eastAsia="Times New Roman" w:hAnsi="Times New Roman"/>
          <w:sz w:val="18"/>
          <w:szCs w:val="18"/>
          <w:color w:val="auto"/>
        </w:rPr>
      </w:pPr>
    </w:p>
    <w:p>
      <w:pPr>
        <w:jc w:val="both"/>
        <w:ind w:right="40" w:firstLine="1979"/>
        <w:spacing w:after="0" w:line="268" w:lineRule="auto"/>
        <w:tabs>
          <w:tab w:leader="none" w:pos="2277" w:val="left"/>
        </w:tabs>
        <w:numPr>
          <w:ilvl w:val="3"/>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Requirement</w:t>
      </w:r>
      <w:r>
        <w:rPr>
          <w:rFonts w:ascii="Times New Roman" w:cs="Times New Roman" w:eastAsia="Times New Roman" w:hAnsi="Times New Roman"/>
          <w:sz w:val="18"/>
          <w:szCs w:val="18"/>
          <w:color w:val="auto"/>
        </w:rPr>
        <w:t>. Twenty percent (20%) of the 2014 Plan RSUs will vest on each of the first five (5) anniversaries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Closing Date (as defined in the Merger Agreement), subject to Executive’s providing continuous service as the Chief Executive Officer, Co-Chief Executive Officer or Executive Chairman of the Company through each service-based vesting date.</w:t>
      </w:r>
    </w:p>
    <w:p>
      <w:pPr>
        <w:spacing w:after="0" w:line="62" w:lineRule="exact"/>
        <w:rPr>
          <w:rFonts w:ascii="Times New Roman" w:cs="Times New Roman" w:eastAsia="Times New Roman" w:hAnsi="Times New Roman"/>
          <w:sz w:val="18"/>
          <w:szCs w:val="18"/>
          <w:color w:val="auto"/>
        </w:rPr>
      </w:pPr>
    </w:p>
    <w:p>
      <w:pPr>
        <w:ind w:right="140" w:firstLine="1979"/>
        <w:spacing w:after="0" w:line="262" w:lineRule="auto"/>
        <w:tabs>
          <w:tab w:leader="none" w:pos="2268" w:val="left"/>
        </w:tabs>
        <w:numPr>
          <w:ilvl w:val="3"/>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Requirement</w:t>
      </w:r>
      <w:r>
        <w:rPr>
          <w:rFonts w:ascii="Times New Roman" w:cs="Times New Roman" w:eastAsia="Times New Roman" w:hAnsi="Times New Roman"/>
          <w:sz w:val="18"/>
          <w:szCs w:val="18"/>
          <w:color w:val="auto"/>
        </w:rPr>
        <w:t>. Measured beginning after the first anniversary of the Closing Date, 50% of the 2014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will vest upon the Company’s volume-weighted average stock closing price for the Company’s Class A common stock reaching $20 for 90 consecutive calendar days, and 50% will vest upon the Company’s volume-weighted average stock closing price for the Company’s Class A common stock reaching $25 for 90 consecutive calendar days; provided that all such vesting occurs on or within 5 years of the Closing Date.</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The 2014 Plan RSUs shall settle as set forth in the applicable RSU award agreement. In addition, upon a Change in Control (as defined in the 2014 Plan), the 2014 Plan RSUs will vest in full as to its service requirement, and if the per share value in the Change in Control equals or exceeds a required stock closing hurdle price under its performance requirement, the award will also vest as to the applicable portion of the performance requirement. Unless otherwise provided in Section 6 below, any portion of the 2014 Plan RSUs that is unvested at the consummation of the Change in Control will be forfeited.</w:t>
      </w:r>
    </w:p>
    <w:p>
      <w:pPr>
        <w:spacing w:after="0" w:line="183" w:lineRule="exact"/>
        <w:rPr>
          <w:sz w:val="20"/>
          <w:szCs w:val="20"/>
          <w:color w:val="auto"/>
        </w:rPr>
      </w:pPr>
    </w:p>
    <w:p>
      <w:pPr>
        <w:ind w:right="120" w:firstLine="1432"/>
        <w:spacing w:after="0" w:line="256" w:lineRule="auto"/>
        <w:rPr>
          <w:sz w:val="20"/>
          <w:szCs w:val="20"/>
          <w:color w:val="auto"/>
        </w:rPr>
      </w:pPr>
      <w:r>
        <w:rPr>
          <w:rFonts w:ascii="Times New Roman" w:cs="Times New Roman" w:eastAsia="Times New Roman" w:hAnsi="Times New Roman"/>
          <w:sz w:val="18"/>
          <w:szCs w:val="18"/>
          <w:color w:val="auto"/>
        </w:rPr>
        <w:t>The Company assumed the 2014 Plan RSUs in the Merger, and although the 2014 Plan will terminate as of the Closing of the Mergers, the terms and conditions of the applicable Notice of Restricted Stock Unit Grant and Restricted Stock Unit Agreement and the 2014 Plan will continue to govern the 2014 Plan RSUs. As of the Closing of the Mergers, the 2014 Plan RSUs will be converted to be denominated in shares of the Company’s Class B common stock in accordance with the Merger Agreement. The 2014 Plan RSUs are also subject to the terms of this Agreement, including the acceleration of their vesting in connection with Executive’s Involuntary Termination during a Change in Control Protection Period as defined and provided in Section 6 below.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47" w:name="page248"/>
    <w:bookmarkEnd w:id="247"/>
    <w:p>
      <w:pPr>
        <w:ind w:right="100" w:firstLine="1428"/>
        <w:spacing w:after="0" w:line="256" w:lineRule="auto"/>
        <w:tabs>
          <w:tab w:leader="none" w:pos="169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 Incentive Plan RSUs</w:t>
      </w:r>
      <w:r>
        <w:rPr>
          <w:rFonts w:ascii="Times New Roman" w:cs="Times New Roman" w:eastAsia="Times New Roman" w:hAnsi="Times New Roman"/>
          <w:sz w:val="18"/>
          <w:szCs w:val="18"/>
          <w:color w:val="auto"/>
        </w:rPr>
        <w:t>. Executive will also receive a time-based restricted stock unit award under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Incentive Plan (the “</w:t>
      </w:r>
      <w:r>
        <w:rPr>
          <w:rFonts w:ascii="Times New Roman" w:cs="Times New Roman" w:eastAsia="Times New Roman" w:hAnsi="Times New Roman"/>
          <w:sz w:val="18"/>
          <w:szCs w:val="18"/>
          <w:b w:val="1"/>
          <w:bCs w:val="1"/>
          <w:i w:val="1"/>
          <w:iCs w:val="1"/>
          <w:color w:val="auto"/>
        </w:rPr>
        <w:t>Management Plan</w:t>
      </w:r>
      <w:r>
        <w:rPr>
          <w:rFonts w:ascii="Times New Roman" w:cs="Times New Roman" w:eastAsia="Times New Roman" w:hAnsi="Times New Roman"/>
          <w:sz w:val="18"/>
          <w:szCs w:val="18"/>
          <w:color w:val="auto"/>
        </w:rPr>
        <w:t>”) representing three percent (3%) of the number shares of all classes of common stock of the Company as of the Closing of the Mergers (the “</w:t>
      </w:r>
      <w:r>
        <w:rPr>
          <w:rFonts w:ascii="Times New Roman" w:cs="Times New Roman" w:eastAsia="Times New Roman" w:hAnsi="Times New Roman"/>
          <w:sz w:val="18"/>
          <w:szCs w:val="18"/>
          <w:b w:val="1"/>
          <w:bCs w:val="1"/>
          <w:i w:val="1"/>
          <w:iCs w:val="1"/>
          <w:color w:val="auto"/>
        </w:rPr>
        <w:t>Time-based Management Plan RSUs</w:t>
      </w:r>
      <w:r>
        <w:rPr>
          <w:rFonts w:ascii="Times New Roman" w:cs="Times New Roman" w:eastAsia="Times New Roman" w:hAnsi="Times New Roman"/>
          <w:sz w:val="18"/>
          <w:szCs w:val="18"/>
          <w:color w:val="auto"/>
        </w:rPr>
        <w:t>”) and a performance-based restricted stock unit award under the Management Plan representing one percent (1%) of the number shares of all classes of common stock of the Company as of the Closing of the Mergers (the “</w:t>
      </w:r>
      <w:r>
        <w:rPr>
          <w:rFonts w:ascii="Times New Roman" w:cs="Times New Roman" w:eastAsia="Times New Roman" w:hAnsi="Times New Roman"/>
          <w:sz w:val="18"/>
          <w:szCs w:val="18"/>
          <w:b w:val="1"/>
          <w:bCs w:val="1"/>
          <w:i w:val="1"/>
          <w:iCs w:val="1"/>
          <w:color w:val="auto"/>
        </w:rPr>
        <w:t>Performance-based Management Plan RSUs</w:t>
      </w:r>
      <w:r>
        <w:rPr>
          <w:rFonts w:ascii="Times New Roman" w:cs="Times New Roman" w:eastAsia="Times New Roman" w:hAnsi="Times New Roman"/>
          <w:sz w:val="18"/>
          <w:szCs w:val="18"/>
          <w:color w:val="auto"/>
        </w:rPr>
        <w:t>” and together with the Time-based Management Plan RSUs, the “</w:t>
      </w:r>
      <w:r>
        <w:rPr>
          <w:rFonts w:ascii="Times New Roman" w:cs="Times New Roman" w:eastAsia="Times New Roman" w:hAnsi="Times New Roman"/>
          <w:sz w:val="18"/>
          <w:szCs w:val="18"/>
          <w:b w:val="1"/>
          <w:bCs w:val="1"/>
          <w:i w:val="1"/>
          <w:iCs w:val="1"/>
          <w:color w:val="auto"/>
        </w:rPr>
        <w:t>Management Plan RSUs</w:t>
      </w:r>
      <w:r>
        <w:rPr>
          <w:rFonts w:ascii="Times New Roman" w:cs="Times New Roman" w:eastAsia="Times New Roman" w:hAnsi="Times New Roman"/>
          <w:sz w:val="18"/>
          <w:szCs w:val="18"/>
          <w:color w:val="auto"/>
        </w:rPr>
        <w:t>”). The Management Plan RSUs will be denominated in shares of the Company’s Class B common stock and will be granted effective as of the Closing of the Mergers.</w:t>
      </w:r>
    </w:p>
    <w:p>
      <w:pPr>
        <w:spacing w:after="0" w:line="187" w:lineRule="exact"/>
        <w:rPr>
          <w:sz w:val="20"/>
          <w:szCs w:val="20"/>
          <w:color w:val="auto"/>
        </w:rPr>
      </w:pPr>
    </w:p>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t>Twenty percent (20%) of the Time-based Management Plan RSUs will vest on each of the first five (5) anniversaries of the Closing Date, subject to Executive’s providing continuous service as the Chief Executive Officer, Co-Chief Executive Officer or Executive Chairman of the Company through each service-based vesting date.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The Performance-based Management Plan RSUs will vest by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following two requirements:</w:t>
      </w:r>
    </w:p>
    <w:p>
      <w:pPr>
        <w:spacing w:after="0" w:line="115" w:lineRule="exact"/>
        <w:rPr>
          <w:sz w:val="20"/>
          <w:szCs w:val="20"/>
          <w:color w:val="auto"/>
        </w:rPr>
      </w:pPr>
    </w:p>
    <w:p>
      <w:pPr>
        <w:ind w:firstLine="1979"/>
        <w:spacing w:after="0" w:line="268" w:lineRule="auto"/>
        <w:tabs>
          <w:tab w:leader="none" w:pos="227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Requirement</w:t>
      </w:r>
      <w:r>
        <w:rPr>
          <w:rFonts w:ascii="Times New Roman" w:cs="Times New Roman" w:eastAsia="Times New Roman" w:hAnsi="Times New Roman"/>
          <w:sz w:val="18"/>
          <w:szCs w:val="18"/>
          <w:color w:val="auto"/>
        </w:rPr>
        <w:t>. Twenty percent (20%) of the Performance-based Management Plan RSUs will vest on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five (5) anniversaries of the Closing Date, subject to Executive’s providing continuous service as the Chief Executive Officer, Co-Chief Executive Officer or Executive Chairman of the Company through each service-based vesting date.</w:t>
      </w:r>
    </w:p>
    <w:p>
      <w:pPr>
        <w:spacing w:after="0" w:line="62" w:lineRule="exact"/>
        <w:rPr>
          <w:rFonts w:ascii="Times New Roman" w:cs="Times New Roman" w:eastAsia="Times New Roman" w:hAnsi="Times New Roman"/>
          <w:sz w:val="18"/>
          <w:szCs w:val="18"/>
          <w:color w:val="auto"/>
        </w:rPr>
      </w:pPr>
    </w:p>
    <w:p>
      <w:pPr>
        <w:ind w:right="80" w:firstLine="1979"/>
        <w:spacing w:after="0" w:line="268" w:lineRule="auto"/>
        <w:tabs>
          <w:tab w:leader="none" w:pos="226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Requirement</w:t>
      </w:r>
      <w:r>
        <w:rPr>
          <w:rFonts w:ascii="Times New Roman" w:cs="Times New Roman" w:eastAsia="Times New Roman" w:hAnsi="Times New Roman"/>
          <w:sz w:val="18"/>
          <w:szCs w:val="18"/>
          <w:color w:val="auto"/>
        </w:rPr>
        <w:t>. Measured beginning after the first anniversary of the Closing Date, the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Plan RSUs will vest in full upon the Company’s volume-weighted average stock closing price for the Company’s Class A common exceeding $30 for 90 consecutive calendar days; provided such vesting occurs on or within 5 years of the Closing Date.</w:t>
      </w:r>
    </w:p>
    <w:p>
      <w:pPr>
        <w:spacing w:after="0" w:line="175" w:lineRule="exact"/>
        <w:rPr>
          <w:sz w:val="20"/>
          <w:szCs w:val="20"/>
          <w:color w:val="auto"/>
        </w:rPr>
      </w:pPr>
    </w:p>
    <w:p>
      <w:pPr>
        <w:ind w:right="40" w:firstLine="1432"/>
        <w:spacing w:after="0" w:line="256" w:lineRule="auto"/>
        <w:rPr>
          <w:sz w:val="20"/>
          <w:szCs w:val="20"/>
          <w:color w:val="auto"/>
        </w:rPr>
      </w:pPr>
      <w:r>
        <w:rPr>
          <w:rFonts w:ascii="Times New Roman" w:cs="Times New Roman" w:eastAsia="Times New Roman" w:hAnsi="Times New Roman"/>
          <w:sz w:val="18"/>
          <w:szCs w:val="18"/>
          <w:color w:val="auto"/>
        </w:rPr>
        <w:t>The Management Plan RSUs shall settle as set forth in the applicable RSU award agreement. In addition, upon a Change in Control (as defined in the Management Plan), which does not include the Mergers), the Performance-based Management Plan RSUs will vest in full as to its service requirement, and if the per share value in the Change in Control exceeds $30, the award will also vest as to the performance requirement. Unless otherwise provided in Section 6 below, any portion of the Management Plan RSUs that is unvested at the consummation of the Change in Control will be forfeited. The Management Plan RSUs are also subject to the terms of this Agreement, including the acceleration of their vesting in connection with the Involuntary Termination of Executive during a Change in Control Protection Period, as defined and provided in Section 6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48" w:name="page249"/>
    <w:bookmarkEnd w:id="248"/>
    <w:p>
      <w:pPr>
        <w:ind w:right="260" w:firstLine="1428"/>
        <w:spacing w:after="0" w:line="286" w:lineRule="auto"/>
        <w:tabs>
          <w:tab w:leader="none" w:pos="1747"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2020 Plan</w:t>
      </w:r>
      <w:r>
        <w:rPr>
          <w:rFonts w:ascii="Times New Roman" w:cs="Times New Roman" w:eastAsia="Times New Roman" w:hAnsi="Times New Roman"/>
          <w:sz w:val="18"/>
          <w:szCs w:val="18"/>
          <w:color w:val="auto"/>
        </w:rPr>
        <w:t>. Executive will be eligible for future equity awards under the Company’s 2020 Equity Incentive Plan (the “</w:t>
      </w:r>
      <w:r>
        <w:rPr>
          <w:rFonts w:ascii="Times New Roman" w:cs="Times New Roman" w:eastAsia="Times New Roman" w:hAnsi="Times New Roman"/>
          <w:sz w:val="18"/>
          <w:szCs w:val="18"/>
          <w:b w:val="1"/>
          <w:bCs w:val="1"/>
          <w:i w:val="1"/>
          <w:iCs w:val="1"/>
          <w:color w:val="auto"/>
        </w:rPr>
        <w:t>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determined in the sole discretion of the Board or the Committee.</w:t>
      </w:r>
    </w:p>
    <w:p>
      <w:pPr>
        <w:spacing w:after="0" w:line="4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Benefits.</w:t>
      </w:r>
    </w:p>
    <w:p>
      <w:pPr>
        <w:spacing w:after="0" w:line="117" w:lineRule="exact"/>
        <w:rPr>
          <w:rFonts w:ascii="Times New Roman" w:cs="Times New Roman" w:eastAsia="Times New Roman" w:hAnsi="Times New Roman"/>
          <w:sz w:val="18"/>
          <w:szCs w:val="18"/>
          <w:color w:val="auto"/>
        </w:rPr>
      </w:pPr>
    </w:p>
    <w:p>
      <w:pPr>
        <w:jc w:val="both"/>
        <w:ind w:right="100" w:firstLine="987"/>
        <w:spacing w:after="0" w:line="262" w:lineRule="auto"/>
        <w:tabs>
          <w:tab w:leader="none" w:pos="123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Involuntary Termination Within the Change in Control Protection Period</w:t>
      </w:r>
      <w:r>
        <w:rPr>
          <w:rFonts w:ascii="Times New Roman" w:cs="Times New Roman" w:eastAsia="Times New Roman" w:hAnsi="Times New Roman"/>
          <w:sz w:val="18"/>
          <w:szCs w:val="18"/>
          <w:color w:val="auto"/>
        </w:rPr>
        <w:t>. If, during the Change in Control Protection Period,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 occurs, then, subject to Section 4, all of Executive’s unvested and outstanding equity awards of the Company shall vest in full, contingent upon the consummation of the Change in Control (as defined in this Agreement), but effective as of the earlier to occur of Executive’s Involuntary Termination or the Change in Control.</w:t>
      </w:r>
    </w:p>
    <w:p>
      <w:pPr>
        <w:spacing w:after="0" w:line="68" w:lineRule="exact"/>
        <w:rPr>
          <w:rFonts w:ascii="Times New Roman" w:cs="Times New Roman" w:eastAsia="Times New Roman" w:hAnsi="Times New Roman"/>
          <w:sz w:val="18"/>
          <w:szCs w:val="18"/>
          <w:color w:val="auto"/>
        </w:rPr>
      </w:pPr>
    </w:p>
    <w:p>
      <w:pPr>
        <w:ind w:right="260" w:firstLine="987"/>
        <w:spacing w:after="0" w:line="286" w:lineRule="auto"/>
        <w:tabs>
          <w:tab w:leader="none" w:pos="124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Payments</w:t>
      </w:r>
      <w:r>
        <w:rPr>
          <w:rFonts w:ascii="Times New Roman" w:cs="Times New Roman" w:eastAsia="Times New Roman" w:hAnsi="Times New Roman"/>
          <w:sz w:val="18"/>
          <w:szCs w:val="18"/>
          <w:color w:val="auto"/>
        </w:rPr>
        <w:t>. Subject to any specific timing provisions in Section 4(a), 4(b), or 4(c), payment of the severance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be made or commence to be made as soon as practicable following Executive’s termination of employment.</w:t>
      </w:r>
    </w:p>
    <w:p>
      <w:pPr>
        <w:spacing w:after="0" w:line="46"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Exclusive Remedy</w:t>
      </w:r>
      <w:r>
        <w:rPr>
          <w:rFonts w:ascii="Times New Roman" w:cs="Times New Roman" w:eastAsia="Times New Roman" w:hAnsi="Times New Roman"/>
          <w:sz w:val="18"/>
          <w:szCs w:val="18"/>
          <w:color w:val="auto"/>
        </w:rPr>
        <w:t>. In the event of a termination of Executive’s employment with the Company (or any parent, subsidiary or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the provisions of this Section 3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3 of this Agreement or pursuant to written equity award agreements with the Company.</w:t>
      </w:r>
    </w:p>
    <w:p>
      <w:pPr>
        <w:spacing w:after="0" w:line="74" w:lineRule="exact"/>
        <w:rPr>
          <w:rFonts w:ascii="Times New Roman" w:cs="Times New Roman" w:eastAsia="Times New Roman" w:hAnsi="Times New Roman"/>
          <w:sz w:val="18"/>
          <w:szCs w:val="18"/>
          <w:color w:val="auto"/>
        </w:rPr>
      </w:pPr>
    </w:p>
    <w:p>
      <w:pPr>
        <w:ind w:right="80" w:firstLine="987"/>
        <w:spacing w:after="0" w:line="286" w:lineRule="auto"/>
        <w:tabs>
          <w:tab w:leader="none" w:pos="124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earnings that Executive may receive from any other source reduce any such payment.</w:t>
      </w:r>
    </w:p>
    <w:p>
      <w:pPr>
        <w:spacing w:after="0" w:line="4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Receipt of Severance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Claims Agreement</w:t>
      </w:r>
      <w:r>
        <w:rPr>
          <w:rFonts w:ascii="Times New Roman" w:cs="Times New Roman" w:eastAsia="Times New Roman" w:hAnsi="Times New Roman"/>
          <w:sz w:val="18"/>
          <w:szCs w:val="18"/>
          <w:color w:val="auto"/>
        </w:rPr>
        <w:t>. The receipt of any severance payments or benefits pursuant to Section 3 of this Agreement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signing and not revoking a separation agreement and release of claims in a form attached hereto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49" w:name="page250"/>
    <w:bookmarkEnd w:id="249"/>
    <w:p>
      <w:pPr>
        <w:jc w:val="both"/>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which Executive’s termination of employment occurs, then any severance payments or benefits under this Agreement that would be considered Deferred Payments (as defined in Section 4(c)(i)) will be paid on the first payroll date to occur during the calendar year following the calendar year in which such termination occurs, or such later time as required by (i) the payment schedule applicable to each payment or benefit as set forth in Section 3, (ii) the date the Release becomes effective, or (iii) Section 4(c)(ii); provided that the first payment shall include all amounts that would have been paid to Executive if payment had commenced on the date of Executive’s termination of employment.</w:t>
      </w:r>
    </w:p>
    <w:p>
      <w:pPr>
        <w:spacing w:after="0" w:line="71" w:lineRule="exact"/>
        <w:rPr>
          <w:sz w:val="20"/>
          <w:szCs w:val="20"/>
          <w:color w:val="auto"/>
        </w:rPr>
      </w:pPr>
    </w:p>
    <w:p>
      <w:pPr>
        <w:ind w:left="4" w:right="180" w:firstLine="987"/>
        <w:spacing w:after="0" w:line="286" w:lineRule="auto"/>
        <w:tabs>
          <w:tab w:leader="none" w:pos="125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Agreement</w:t>
      </w:r>
      <w:r>
        <w:rPr>
          <w:rFonts w:ascii="Times New Roman" w:cs="Times New Roman" w:eastAsia="Times New Roman" w:hAnsi="Times New Roman"/>
          <w:sz w:val="18"/>
          <w:szCs w:val="18"/>
          <w:color w:val="auto"/>
        </w:rPr>
        <w:t>. Executive’s receipt of any payments or benefits under Section 3 will be subject to Executive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the terms of the Confidentiality Agreement (as defined in Section 8 below).</w:t>
      </w:r>
    </w:p>
    <w:p>
      <w:pPr>
        <w:spacing w:after="0" w:line="4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right="80" w:firstLine="1428"/>
        <w:spacing w:after="0" w:line="253" w:lineRule="auto"/>
        <w:tabs>
          <w:tab w:leader="none" w:pos="1651"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1.409A-1(b)(9) will be payable until Executive has a “separation from service” within the meaning of Section 409A.</w:t>
      </w:r>
    </w:p>
    <w:p>
      <w:pPr>
        <w:spacing w:after="0" w:line="94" w:lineRule="exact"/>
        <w:rPr>
          <w:rFonts w:ascii="Times New Roman" w:cs="Times New Roman" w:eastAsia="Times New Roman" w:hAnsi="Times New Roman"/>
          <w:sz w:val="18"/>
          <w:szCs w:val="18"/>
          <w:color w:val="auto"/>
        </w:rPr>
      </w:pPr>
    </w:p>
    <w:p>
      <w:pPr>
        <w:ind w:left="4" w:firstLine="1428"/>
        <w:spacing w:after="0" w:line="274" w:lineRule="auto"/>
        <w:tabs>
          <w:tab w:leader="none" w:pos="1701" w:val="left"/>
        </w:tabs>
        <w:numPr>
          <w:ilvl w:val="2"/>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w:t>
      </w:r>
      <w:r>
        <w:rPr>
          <w:rFonts w:ascii="Times New Roman" w:cs="Times New Roman" w:eastAsia="Times New Roman" w:hAnsi="Times New Roman"/>
          <w:sz w:val="17"/>
          <w:szCs w:val="17"/>
          <w:b w:val="1"/>
          <w:bCs w:val="1"/>
          <w:i w:val="1"/>
          <w:iCs w:val="1"/>
          <w:color w:val="auto"/>
        </w:rPr>
        <w:t>specified employee</w:t>
      </w:r>
      <w:r>
        <w:rPr>
          <w:rFonts w:ascii="Times New Roman" w:cs="Times New Roman" w:eastAsia="Times New Roman" w:hAnsi="Times New Roman"/>
          <w:sz w:val="17"/>
          <w:szCs w:val="17"/>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w:t>
      </w:r>
    </w:p>
    <w:p>
      <w:pPr>
        <w:ind w:left="4" w:right="180" w:hanging="4"/>
        <w:spacing w:after="0" w:line="270" w:lineRule="auto"/>
        <w:tabs>
          <w:tab w:leader="none" w:pos="259"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66" w:lineRule="exact"/>
        <w:rPr>
          <w:rFonts w:ascii="Times New Roman" w:cs="Times New Roman" w:eastAsia="Times New Roman" w:hAnsi="Times New Roman"/>
          <w:sz w:val="17"/>
          <w:szCs w:val="17"/>
          <w:color w:val="auto"/>
        </w:rPr>
      </w:pPr>
    </w:p>
    <w:p>
      <w:pPr>
        <w:ind w:left="4" w:right="280" w:firstLine="1428"/>
        <w:spacing w:after="0" w:line="282" w:lineRule="auto"/>
        <w:tabs>
          <w:tab w:leader="none" w:pos="1751"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250" w:name="page251"/>
    <w:bookmarkEnd w:id="250"/>
    <w:p>
      <w:pPr>
        <w:ind w:right="40" w:firstLine="1428"/>
        <w:spacing w:after="0" w:line="261" w:lineRule="auto"/>
        <w:tabs>
          <w:tab w:leader="none" w:pos="1737"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71"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75" w:lineRule="exact"/>
        <w:rPr>
          <w:rFonts w:ascii="Times New Roman" w:cs="Times New Roman" w:eastAsia="Times New Roman" w:hAnsi="Times New Roman"/>
          <w:sz w:val="18"/>
          <w:szCs w:val="18"/>
          <w:color w:val="auto"/>
        </w:rPr>
      </w:pPr>
    </w:p>
    <w:p>
      <w:pPr>
        <w:ind w:right="480" w:firstLine="1428"/>
        <w:spacing w:after="0" w:line="277" w:lineRule="auto"/>
        <w:tabs>
          <w:tab w:leader="none" w:pos="1737" w:val="left"/>
        </w:tabs>
        <w:numPr>
          <w:ilvl w:val="2"/>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55"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“Cause” means:</w:t>
      </w:r>
    </w:p>
    <w:p>
      <w:pPr>
        <w:spacing w:after="0" w:line="121" w:lineRule="exact"/>
        <w:rPr>
          <w:rFonts w:ascii="Times New Roman" w:cs="Times New Roman" w:eastAsia="Times New Roman" w:hAnsi="Times New Roman"/>
          <w:sz w:val="18"/>
          <w:szCs w:val="18"/>
          <w:color w:val="auto"/>
        </w:rPr>
      </w:pPr>
    </w:p>
    <w:p>
      <w:pPr>
        <w:ind w:right="20" w:firstLine="1428"/>
        <w:spacing w:after="0" w:line="282" w:lineRule="auto"/>
        <w:tabs>
          <w:tab w:leader="none" w:pos="1647"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gross negligence or willful misconduct in the performance of his or her duties and responsibilities to the Company or Executive’s violation of any written Company policy;</w:t>
      </w:r>
    </w:p>
    <w:p>
      <w:pPr>
        <w:spacing w:after="0" w:line="53" w:lineRule="exact"/>
        <w:rPr>
          <w:rFonts w:ascii="Times New Roman" w:cs="Times New Roman" w:eastAsia="Times New Roman" w:hAnsi="Times New Roman"/>
          <w:sz w:val="18"/>
          <w:szCs w:val="18"/>
          <w:color w:val="auto"/>
        </w:rPr>
      </w:pPr>
    </w:p>
    <w:p>
      <w:pPr>
        <w:ind w:right="160" w:firstLine="1428"/>
        <w:spacing w:after="0" w:line="282" w:lineRule="auto"/>
        <w:tabs>
          <w:tab w:leader="none" w:pos="1697"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5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conviction of, or pleading guilty or </w:t>
      </w:r>
      <w:r>
        <w:rPr>
          <w:rFonts w:ascii="Times New Roman" w:cs="Times New Roman" w:eastAsia="Times New Roman" w:hAnsi="Times New Roman"/>
          <w:sz w:val="18"/>
          <w:szCs w:val="18"/>
          <w:i w:val="1"/>
          <w:iCs w:val="1"/>
          <w:color w:val="auto"/>
        </w:rPr>
        <w:t>nolo contendre</w:t>
      </w:r>
      <w:r>
        <w:rPr>
          <w:rFonts w:ascii="Times New Roman" w:cs="Times New Roman" w:eastAsia="Times New Roman" w:hAnsi="Times New Roman"/>
          <w:sz w:val="18"/>
          <w:szCs w:val="18"/>
          <w:color w:val="auto"/>
        </w:rPr>
        <w:t xml:space="preserve"> to, any felony or a lesser crime involving dishonesty or moral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turpitude;</w:t>
      </w:r>
    </w:p>
    <w:p>
      <w:pPr>
        <w:spacing w:after="0" w:line="98" w:lineRule="exact"/>
        <w:rPr>
          <w:rFonts w:ascii="Times New Roman" w:cs="Times New Roman" w:eastAsia="Times New Roman" w:hAnsi="Times New Roman"/>
          <w:sz w:val="18"/>
          <w:szCs w:val="18"/>
          <w:color w:val="auto"/>
        </w:rPr>
      </w:pPr>
    </w:p>
    <w:p>
      <w:pPr>
        <w:ind w:firstLine="1428"/>
        <w:spacing w:after="0" w:line="282" w:lineRule="auto"/>
        <w:tabs>
          <w:tab w:leader="none" w:pos="1737"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unlawful use (including being under the influence) or possession of illegal drugs on the premises of the Company or while performing Executive’s duties and responsibilities for the Company</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687"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51" w:name="page252"/>
    <w:bookmarkEnd w:id="251"/>
    <w:p>
      <w:pPr>
        <w:ind w:left="1740" w:hanging="312"/>
        <w:spacing w:after="0"/>
        <w:tabs>
          <w:tab w:leader="none" w:pos="17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Executive’s material breach of any of his or her obligations under any written agreement or covenant with the Company.</w:t>
      </w:r>
    </w:p>
    <w:p>
      <w:pPr>
        <w:spacing w:after="0" w:line="11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“Change in Control” shall have the meaning ascribed to such term in the Equity Plan.</w:t>
      </w:r>
    </w:p>
    <w:p>
      <w:pPr>
        <w:spacing w:after="0" w:line="117" w:lineRule="exact"/>
        <w:rPr>
          <w:rFonts w:ascii="Times New Roman" w:cs="Times New Roman" w:eastAsia="Times New Roman" w:hAnsi="Times New Roman"/>
          <w:sz w:val="18"/>
          <w:szCs w:val="18"/>
          <w:color w:val="auto"/>
        </w:rPr>
      </w:pPr>
    </w:p>
    <w:p>
      <w:pPr>
        <w:ind w:right="340" w:firstLine="987"/>
        <w:spacing w:after="0" w:line="286"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 Protection Period</w:t>
      </w:r>
      <w:r>
        <w:rPr>
          <w:rFonts w:ascii="Times New Roman" w:cs="Times New Roman" w:eastAsia="Times New Roman" w:hAnsi="Times New Roman"/>
          <w:sz w:val="18"/>
          <w:szCs w:val="18"/>
          <w:color w:val="auto"/>
        </w:rPr>
        <w:t>. “Change in Control Protection Period” means the period beginning one month prior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twelve (12) months immediately following the consummation of a Change in Control.</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“Code” means the Internal Revenue Code of 1986, as amended.</w:t>
      </w:r>
    </w:p>
    <w:p>
      <w:pPr>
        <w:spacing w:after="0" w:line="117" w:lineRule="exact"/>
        <w:rPr>
          <w:rFonts w:ascii="Times New Roman" w:cs="Times New Roman" w:eastAsia="Times New Roman" w:hAnsi="Times New Roman"/>
          <w:sz w:val="18"/>
          <w:szCs w:val="18"/>
          <w:color w:val="auto"/>
        </w:rPr>
      </w:pPr>
    </w:p>
    <w:p>
      <w:pPr>
        <w:jc w:val="both"/>
        <w:ind w:right="340" w:firstLine="987"/>
        <w:spacing w:after="0" w:line="268"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“Disability” or “Disabled” means that Executive is unable to engage in any substantial gainful activity by reason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medically determinable physical or mental impairment which can be expected to result in death or which has lasted, or can be expected to last, for a continuous period of not less than one (1) year.</w:t>
      </w:r>
    </w:p>
    <w:p>
      <w:pPr>
        <w:spacing w:after="0" w:line="62" w:lineRule="exact"/>
        <w:rPr>
          <w:rFonts w:ascii="Times New Roman" w:cs="Times New Roman" w:eastAsia="Times New Roman" w:hAnsi="Times New Roman"/>
          <w:sz w:val="18"/>
          <w:szCs w:val="18"/>
          <w:color w:val="auto"/>
        </w:rPr>
      </w:pPr>
    </w:p>
    <w:p>
      <w:pPr>
        <w:ind w:right="420" w:firstLine="987"/>
        <w:spacing w:after="0" w:line="286" w:lineRule="auto"/>
        <w:tabs>
          <w:tab w:leader="none" w:pos="12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“Good Reason” means Executive’s resignation or termination of employment within thirty (30) days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any cure period (discussed below) following the occurrence of one or more of the following without Executive’s consent:</w:t>
      </w:r>
    </w:p>
    <w:p>
      <w:pPr>
        <w:spacing w:after="0" w:line="50"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4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Chief Executive Officer of the Company remains as such following a Change in Control but is not made the Chief Executive Officer of the acquiring corporation) will not constitute Good Reason;</w:t>
      </w:r>
    </w:p>
    <w:p>
      <w:pPr>
        <w:spacing w:after="0" w:line="71" w:lineRule="exact"/>
        <w:rPr>
          <w:rFonts w:ascii="Times New Roman" w:cs="Times New Roman" w:eastAsia="Times New Roman" w:hAnsi="Times New Roman"/>
          <w:sz w:val="18"/>
          <w:szCs w:val="18"/>
          <w:color w:val="auto"/>
        </w:rPr>
      </w:pPr>
    </w:p>
    <w:p>
      <w:pPr>
        <w:ind w:right="160" w:firstLine="1428"/>
        <w:spacing w:after="0" w:line="282" w:lineRule="auto"/>
        <w:tabs>
          <w:tab w:leader="none" w:pos="169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53" w:lineRule="exact"/>
        <w:rPr>
          <w:rFonts w:ascii="Times New Roman" w:cs="Times New Roman" w:eastAsia="Times New Roman" w:hAnsi="Times New Roman"/>
          <w:sz w:val="18"/>
          <w:szCs w:val="18"/>
          <w:color w:val="auto"/>
        </w:rPr>
      </w:pPr>
    </w:p>
    <w:p>
      <w:pPr>
        <w:ind w:right="40" w:firstLine="1428"/>
        <w:spacing w:after="0" w:line="282" w:lineRule="auto"/>
        <w:tabs>
          <w:tab w:leader="none" w:pos="174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of a material provision of this Agreement.</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52" w:name="page253"/>
    <w:bookmarkEnd w:id="252"/>
    <w:p>
      <w:pPr>
        <w:ind w:left="4" w:right="40" w:firstLine="987"/>
        <w:spacing w:after="0" w:line="286" w:lineRule="auto"/>
        <w:tabs>
          <w:tab w:leader="none" w:pos="125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Governmental Authority</w:t>
      </w:r>
      <w:r>
        <w:rPr>
          <w:rFonts w:ascii="Times New Roman" w:cs="Times New Roman" w:eastAsia="Times New Roman" w:hAnsi="Times New Roman"/>
          <w:sz w:val="18"/>
          <w:szCs w:val="18"/>
          <w:color w:val="auto"/>
        </w:rPr>
        <w:t>. “Governmental Authority” means any federal, state, municipal, foreign or other government,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commission, board, bureau, agency or instrumentality, or any private or public court or tribunal.</w:t>
      </w:r>
    </w:p>
    <w:p>
      <w:pPr>
        <w:spacing w:after="0" w:line="46"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Involuntary Termination</w:t>
      </w:r>
      <w:r>
        <w:rPr>
          <w:rFonts w:ascii="Times New Roman" w:cs="Times New Roman" w:eastAsia="Times New Roman" w:hAnsi="Times New Roman"/>
          <w:sz w:val="18"/>
          <w:szCs w:val="18"/>
          <w:color w:val="auto"/>
        </w:rPr>
        <w:t>. “Involuntary Termination” means either: (i) the Company (or any parent, subsidiary or successor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terminates Executive’s service to the Company for a reason other than (A) Cause, (B) Executive becoming Disabled or (C) Executive’s death; or (ii) Executive resigns from service to the Company for Good Reason.</w:t>
      </w:r>
    </w:p>
    <w:p>
      <w:pPr>
        <w:spacing w:after="0" w:line="62"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1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“Merger Agreement” means that certain Agreement and Plan of Merger by and among Social Capital Hedosophia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Corp. III, Asclepius Merger Sub Inc. and Clover Health Investments, Corp. dated October 5, 2020, of which Executive has a received copy and has reviewed.</w:t>
      </w:r>
    </w:p>
    <w:p>
      <w:pPr>
        <w:spacing w:after="0" w:line="62"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1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“Person” shall be construed in the broadest sense and means and includes any natural person, a partnership, a corporation,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a joint stock company, a limited liability company, a trust, a joint venture, an unincorporated organization and other entity or Governmental Authority.</w:t>
      </w:r>
    </w:p>
    <w:p>
      <w:pPr>
        <w:spacing w:after="0" w:line="62" w:lineRule="exact"/>
        <w:rPr>
          <w:rFonts w:ascii="Times New Roman" w:cs="Times New Roman" w:eastAsia="Times New Roman" w:hAnsi="Times New Roman"/>
          <w:sz w:val="18"/>
          <w:szCs w:val="18"/>
          <w:color w:val="auto"/>
        </w:rPr>
      </w:pPr>
    </w:p>
    <w:p>
      <w:pPr>
        <w:ind w:left="4" w:firstLine="987"/>
        <w:spacing w:after="0" w:line="286" w:lineRule="auto"/>
        <w:tabs>
          <w:tab w:leader="none" w:pos="125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“Section 409A” means Section 409A of the Code, and the final regulations and any guidance promulgated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state law equivalent.</w:t>
      </w:r>
    </w:p>
    <w:p>
      <w:pPr>
        <w:spacing w:after="0" w:line="46" w:lineRule="exact"/>
        <w:rPr>
          <w:rFonts w:ascii="Times New Roman" w:cs="Times New Roman" w:eastAsia="Times New Roman" w:hAnsi="Times New Roman"/>
          <w:sz w:val="18"/>
          <w:szCs w:val="18"/>
          <w:color w:val="auto"/>
        </w:rPr>
      </w:pPr>
    </w:p>
    <w:p>
      <w:pPr>
        <w:ind w:left="4" w:right="20" w:firstLine="987"/>
        <w:spacing w:after="0" w:line="259" w:lineRule="auto"/>
        <w:tabs>
          <w:tab w:leader="none" w:pos="121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Limit</w:t>
      </w:r>
      <w:r>
        <w:rPr>
          <w:rFonts w:ascii="Times New Roman" w:cs="Times New Roman" w:eastAsia="Times New Roman" w:hAnsi="Times New Roman"/>
          <w:sz w:val="18"/>
          <w:szCs w:val="18"/>
          <w:color w:val="auto"/>
        </w:rPr>
        <w:t>. “Section 409A Limit” shall mean two (2) times the lesser of: (i) Executive’s annualized compensation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rate of pay paid to Executive during Executive’s taxable year preceding Executive’s taxable year of his or her separation from service as determined under Treasury Regulation Section 1.409A-1(b)(9)(iii)(A)(1) and any Internal Revenue Service guidance issued with respect thereto; or</w:t>
      </w:r>
    </w:p>
    <w:p>
      <w:pPr>
        <w:ind w:left="4" w:right="620" w:hanging="4"/>
        <w:spacing w:after="0" w:line="260" w:lineRule="auto"/>
        <w:tabs>
          <w:tab w:leader="none" w:pos="26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that may be taken into account under a qualified plan pursuant to Section 401(a)(17) of the Code for the year in which Executive’s separation from service occurred.</w:t>
      </w:r>
    </w:p>
    <w:p>
      <w:pPr>
        <w:spacing w:after="0" w:line="6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Golden Parachute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40" w:val="left"/>
        </w:tabs>
        <w:numPr>
          <w:ilvl w:val="2"/>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if any payment or benefit Executive would receive from the Company or otherwise (“</w:t>
      </w:r>
      <w:r>
        <w:rPr>
          <w:rFonts w:ascii="Times New Roman" w:cs="Times New Roman" w:eastAsia="Times New Roman" w:hAnsi="Times New Roman"/>
          <w:sz w:val="17"/>
          <w:szCs w:val="17"/>
          <w:b w:val="1"/>
          <w:bCs w:val="1"/>
          <w:i w:val="1"/>
          <w:iCs w:val="1"/>
          <w:color w:val="auto"/>
        </w:rPr>
        <w:t>Payment</w:t>
      </w:r>
      <w:r>
        <w:rPr>
          <w:rFonts w:ascii="Times New Roman" w:cs="Times New Roman" w:eastAsia="Times New Roman" w:hAnsi="Times New Roman"/>
          <w:sz w:val="17"/>
          <w:szCs w:val="17"/>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7"/>
          <w:szCs w:val="17"/>
          <w:b w:val="1"/>
          <w:bCs w:val="1"/>
          <w:i w:val="1"/>
          <w:iCs w:val="1"/>
          <w:color w:val="auto"/>
        </w:rPr>
        <w:t>Excise Tax</w:t>
      </w:r>
      <w:r>
        <w:rPr>
          <w:rFonts w:ascii="Times New Roman" w:cs="Times New Roman" w:eastAsia="Times New Roman" w:hAnsi="Times New Roman"/>
          <w:sz w:val="17"/>
          <w:szCs w:val="17"/>
          <w:color w:val="auto"/>
        </w:rPr>
        <w:t>”), then such Payment shall be equal to the Reduced Amount. The “</w:t>
      </w:r>
      <w:r>
        <w:rPr>
          <w:rFonts w:ascii="Times New Roman" w:cs="Times New Roman" w:eastAsia="Times New Roman" w:hAnsi="Times New Roman"/>
          <w:sz w:val="17"/>
          <w:szCs w:val="17"/>
          <w:b w:val="1"/>
          <w:bCs w:val="1"/>
          <w:i w:val="1"/>
          <w:iCs w:val="1"/>
          <w:color w:val="auto"/>
        </w:rPr>
        <w:t>Reduced Amount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the optioned stock (“</w:t>
      </w:r>
      <w:r>
        <w:rPr>
          <w:rFonts w:ascii="Times New Roman" w:cs="Times New Roman" w:eastAsia="Times New Roman" w:hAnsi="Times New Roman"/>
          <w:sz w:val="17"/>
          <w:szCs w:val="17"/>
          <w:b w:val="1"/>
          <w:bCs w:val="1"/>
          <w:i w:val="1"/>
          <w:iCs w:val="1"/>
          <w:color w:val="auto"/>
        </w:rPr>
        <w:t>Underwater Options</w:t>
      </w:r>
      <w:r>
        <w:rPr>
          <w:rFonts w:ascii="Times New Roman" w:cs="Times New Roman" w:eastAsia="Times New Roman" w:hAnsi="Times New Roman"/>
          <w:sz w:val="17"/>
          <w:szCs w:val="17"/>
          <w:color w:val="auto"/>
        </w:rPr>
        <w:t>”) (ii) Full Credit Payments (as defined below) that are payable in cash, (iii) non-cash Full Credit Payments that are taxable, (iv) non-cash Full Credit Payments that are not taxable</w:t>
      </w:r>
    </w:p>
    <w:p>
      <w:pPr>
        <w:spacing w:after="0" w:line="5" w:lineRule="exact"/>
        <w:rPr>
          <w:rFonts w:ascii="Times New Roman" w:cs="Times New Roman" w:eastAsia="Times New Roman" w:hAnsi="Times New Roman"/>
          <w:sz w:val="17"/>
          <w:szCs w:val="17"/>
          <w:color w:val="auto"/>
        </w:rPr>
      </w:pPr>
    </w:p>
    <w:p>
      <w:pPr>
        <w:ind w:left="4" w:right="220" w:hanging="4"/>
        <w:spacing w:after="0" w:line="253" w:lineRule="auto"/>
        <w:tabs>
          <w:tab w:leader="none" w:pos="25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Times New Roman" w:cs="Times New Roman" w:eastAsia="Times New Roman" w:hAnsi="Times New Roman"/>
          <w:sz w:val="18"/>
          <w:szCs w:val="18"/>
          <w:b w:val="1"/>
          <w:bCs w:val="1"/>
          <w:i w:val="1"/>
          <w:iCs w:val="1"/>
          <w:color w:val="auto"/>
        </w:rPr>
        <w:t>Full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means a payment, distribution or benefit, whether paid or payable or distributed or distributable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253" w:name="page254"/>
    <w:bookmarkEnd w:id="25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Times New Roman" w:cs="Times New Roman" w:eastAsia="Times New Roman" w:hAnsi="Times New Roman"/>
          <w:sz w:val="18"/>
          <w:szCs w:val="18"/>
          <w:b w:val="1"/>
          <w:bCs w:val="1"/>
          <w:i w:val="1"/>
          <w:iCs w:val="1"/>
          <w:color w:val="auto"/>
        </w:rPr>
        <w:t>Partial Credit Payment</w:t>
      </w:r>
      <w:r>
        <w:rPr>
          <w:rFonts w:ascii="Times New Roman" w:cs="Times New Roman" w:eastAsia="Times New Roman" w:hAnsi="Times New Roman"/>
          <w:sz w:val="18"/>
          <w:szCs w:val="18"/>
          <w:color w:val="auto"/>
        </w:rPr>
        <w:t>” means any payment, distribution or benefit that is not a Full Credit Payment.</w:t>
      </w:r>
    </w:p>
    <w:p>
      <w:pPr>
        <w:spacing w:after="0" w:line="64" w:lineRule="exact"/>
        <w:rPr>
          <w:sz w:val="20"/>
          <w:szCs w:val="20"/>
          <w:color w:val="auto"/>
        </w:rPr>
      </w:pPr>
    </w:p>
    <w:p>
      <w:pPr>
        <w:ind w:right="40" w:firstLine="987"/>
        <w:spacing w:after="0" w:line="262" w:lineRule="auto"/>
        <w:tabs>
          <w:tab w:leader="none" w:pos="12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nationally recognized certified public accounting firm selected by the Company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shall perform the foregoing calculations related to the Excise Tax. If a reduction is required pursuant to Section 6(a), the Accounting Firm shall administer the ordering of the reduction as set forth in Section 6(a). The Company shall bear all expenses with respect to the determinations by such accounting firm required to be made hereunder.</w:t>
      </w:r>
    </w:p>
    <w:p>
      <w:pPr>
        <w:spacing w:after="0" w:line="72"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6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To the fullest extent permitted by applicable law, Executive and the Company agree that any and all disputes, demands, claims,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controversies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New York, New York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w:t>
      </w:r>
      <w:r>
        <w:rPr>
          <w:rFonts w:ascii="Times New Roman" w:cs="Times New Roman" w:eastAsia="Times New Roman" w:hAnsi="Times New Roman"/>
          <w:sz w:val="18"/>
          <w:szCs w:val="18"/>
          <w:b w:val="1"/>
          <w:bCs w:val="1"/>
          <w:i w:val="1"/>
          <w:iCs w:val="1"/>
          <w:color w:val="auto"/>
        </w:rPr>
        <w:t>Class Waiver</w:t>
      </w:r>
      <w:r>
        <w:rPr>
          <w:rFonts w:ascii="Times New Roman" w:cs="Times New Roman" w:eastAsia="Times New Roman" w:hAnsi="Times New Roman"/>
          <w:sz w:val="18"/>
          <w:szCs w:val="18"/>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19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parties agree that the arbitration shall be conducted by a single neutral arbitrator through JAMS in accordance with JAMS Employment Arbitration Rules and Procedures (available at </w:t>
      </w:r>
      <w:r>
        <w:rPr>
          <w:rFonts w:ascii="Times New Roman" w:cs="Times New Roman" w:eastAsia="Times New Roman" w:hAnsi="Times New Roman"/>
          <w:sz w:val="18"/>
          <w:szCs w:val="18"/>
          <w:u w:val="single" w:color="auto"/>
          <w:color w:val="auto"/>
        </w:rPr>
        <w:t>www.jamsadr.com/rules-employment-arbitration</w:t>
      </w:r>
      <w:r>
        <w:rPr>
          <w:rFonts w:ascii="Times New Roman" w:cs="Times New Roman" w:eastAsia="Times New Roman" w:hAnsi="Times New Roman"/>
          <w:sz w:val="18"/>
          <w:szCs w:val="18"/>
          <w:color w:val="auto"/>
        </w:rPr>
        <w:t>).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54" w:name="page255"/>
    <w:bookmarkEnd w:id="254"/>
    <w:p>
      <w:pPr>
        <w:ind w:right="3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WAIVING ANY RIGHT TO HAVE A TRIAL BEFORE A COURT OR JURY OF ANY AND ALL CLAIMS SUBJECT TO ARBITRATION UNDER THIS ARBITRATION AGREEMENT.</w:t>
      </w:r>
    </w:p>
    <w:p>
      <w:pPr>
        <w:spacing w:after="0" w:line="69" w:lineRule="exact"/>
        <w:rPr>
          <w:sz w:val="20"/>
          <w:szCs w:val="20"/>
          <w:color w:val="auto"/>
        </w:rPr>
      </w:pPr>
    </w:p>
    <w:p>
      <w:pPr>
        <w:ind w:right="200" w:firstLine="436"/>
        <w:spacing w:after="0" w:line="317" w:lineRule="auto"/>
        <w:tabs>
          <w:tab w:leader="none" w:pos="620"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Confidentiality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Nondisclosure, Confidentiality, and Nonsolicitation Agreement entered into by and between Executive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dated December 9, 2020 (the “</w:t>
      </w:r>
      <w:r>
        <w:rPr>
          <w:rFonts w:ascii="Times New Roman" w:cs="Times New Roman" w:eastAsia="Times New Roman" w:hAnsi="Times New Roman"/>
          <w:sz w:val="17"/>
          <w:szCs w:val="17"/>
          <w:b w:val="1"/>
          <w:bCs w:val="1"/>
          <w:i w:val="1"/>
          <w:iCs w:val="1"/>
          <w:color w:val="auto"/>
        </w:rPr>
        <w:t>Confidentiality Agreement</w:t>
      </w:r>
      <w:r>
        <w:rPr>
          <w:rFonts w:ascii="Times New Roman" w:cs="Times New Roman" w:eastAsia="Times New Roman" w:hAnsi="Times New Roman"/>
          <w:sz w:val="17"/>
          <w:szCs w:val="17"/>
          <w:color w:val="auto"/>
        </w:rPr>
        <w:t xml:space="preserve">”), which is attached hereto as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remains in full force and effect.</w:t>
      </w:r>
    </w:p>
    <w:p>
      <w:pPr>
        <w:spacing w:after="0" w:line="23"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Pre-Employment Conditions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68" w:lineRule="auto"/>
        <w:tabs>
          <w:tab w:leader="none" w:pos="123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to Work</w:t>
      </w:r>
      <w:r>
        <w:rPr>
          <w:rFonts w:ascii="Times New Roman" w:cs="Times New Roman" w:eastAsia="Times New Roman" w:hAnsi="Times New Roman"/>
          <w:sz w:val="18"/>
          <w:szCs w:val="18"/>
          <w:color w:val="auto"/>
        </w:rPr>
        <w:t>. For purposes of federal immigration law, Executive will be required, if Executive has not already, to provide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documentary evidence of Executive’s identity and eligibility for employment in the United States. Such documentation must be provided to the Company within three (3) business days of the Effective Date, or our Employment relationship with Executive may be terminated.</w:t>
      </w:r>
    </w:p>
    <w:p>
      <w:pPr>
        <w:spacing w:after="0" w:line="62" w:lineRule="exact"/>
        <w:rPr>
          <w:rFonts w:ascii="Times New Roman" w:cs="Times New Roman" w:eastAsia="Times New Roman" w:hAnsi="Times New Roman"/>
          <w:sz w:val="18"/>
          <w:szCs w:val="18"/>
          <w:color w:val="auto"/>
        </w:rPr>
      </w:pPr>
    </w:p>
    <w:p>
      <w:pPr>
        <w:jc w:val="both"/>
        <w:ind w:firstLine="987"/>
        <w:spacing w:after="0" w:line="259" w:lineRule="auto"/>
        <w:tabs>
          <w:tab w:leader="none" w:pos="124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Verification of Information</w:t>
      </w:r>
      <w:r>
        <w:rPr>
          <w:rFonts w:ascii="Times New Roman" w:cs="Times New Roman" w:eastAsia="Times New Roman" w:hAnsi="Times New Roman"/>
          <w:sz w:val="18"/>
          <w:szCs w:val="18"/>
          <w:color w:val="auto"/>
        </w:rPr>
        <w:t>. This Agreement is also contingent upon the successful verification of the information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 Executive expressly releases the Company from any claim or cause of action arising out of the Company’s verification of such information.</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2" w:lineRule="auto"/>
        <w:tabs>
          <w:tab w:leader="none" w:pos="123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any successor (whether direct or indirect and whether by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merger, consolidation, liquidation or otherwise) to all or substantially all of the Company’s business and/or assets. For all purposes under this Agreement,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successor to the Company’s business or assets that become bound by this Agreement or any affiliate of any such successor that employs Executive.</w:t>
      </w:r>
    </w:p>
    <w:p>
      <w:pPr>
        <w:spacing w:after="0" w:line="68" w:lineRule="exact"/>
        <w:rPr>
          <w:rFonts w:ascii="Times New Roman" w:cs="Times New Roman" w:eastAsia="Times New Roman" w:hAnsi="Times New Roman"/>
          <w:sz w:val="18"/>
          <w:szCs w:val="18"/>
          <w:color w:val="auto"/>
        </w:rPr>
      </w:pPr>
    </w:p>
    <w:p>
      <w:pPr>
        <w:ind w:right="220" w:firstLine="987"/>
        <w:spacing w:after="0" w:line="286" w:lineRule="auto"/>
        <w:tabs>
          <w:tab w:leader="none" w:pos="124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Executive’s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of Executive’s rights hereunder shall inure to the benefit of, and be enforceable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55" w:name="page256"/>
    <w:bookmarkEnd w:id="255"/>
    <w:p>
      <w:pPr>
        <w:ind w:left="700" w:hanging="264"/>
        <w:spacing w:after="0"/>
        <w:tabs>
          <w:tab w:leader="none" w:pos="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 Provisions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180" w:firstLine="987"/>
        <w:spacing w:after="0" w:line="268" w:lineRule="auto"/>
        <w:tabs>
          <w:tab w:leader="none" w:pos="123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indemnify Executive to the maximum extent permitted by applicable law and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60" w:firstLine="1428"/>
        <w:spacing w:after="0" w:line="259" w:lineRule="auto"/>
        <w:tabs>
          <w:tab w:leader="none" w:pos="1647"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shall be in writing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71" w:lineRule="exact"/>
        <w:rPr>
          <w:rFonts w:ascii="Times New Roman" w:cs="Times New Roman" w:eastAsia="Times New Roman" w:hAnsi="Times New Roman"/>
          <w:sz w:val="18"/>
          <w:szCs w:val="18"/>
          <w:color w:val="auto"/>
        </w:rPr>
      </w:pPr>
    </w:p>
    <w:p>
      <w:pPr>
        <w:ind w:firstLine="1428"/>
        <w:spacing w:after="0" w:line="272" w:lineRule="auto"/>
        <w:tabs>
          <w:tab w:leader="none" w:pos="1697" w:val="left"/>
        </w:tabs>
        <w:numPr>
          <w:ilvl w:val="2"/>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 of Termination</w:t>
      </w:r>
      <w:r>
        <w:rPr>
          <w:rFonts w:ascii="Times New Roman" w:cs="Times New Roman" w:eastAsia="Times New Roman" w:hAnsi="Times New Roman"/>
          <w:sz w:val="17"/>
          <w:szCs w:val="17"/>
          <w:color w:val="auto"/>
        </w:rPr>
        <w:t>. Any termination by the Company for Cause or by Executive for Good Reason will be communicated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notice of termination to the other party hereto given in accordance with Section 11(c)(i)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90 days advance written notice.</w:t>
      </w:r>
    </w:p>
    <w:p>
      <w:pPr>
        <w:spacing w:after="0" w:line="63" w:lineRule="exact"/>
        <w:rPr>
          <w:rFonts w:ascii="Times New Roman" w:cs="Times New Roman" w:eastAsia="Times New Roman" w:hAnsi="Times New Roman"/>
          <w:sz w:val="17"/>
          <w:szCs w:val="17"/>
          <w:color w:val="auto"/>
        </w:rPr>
      </w:pPr>
    </w:p>
    <w:p>
      <w:pPr>
        <w:ind w:right="40" w:firstLine="987"/>
        <w:spacing w:after="0" w:line="262" w:lineRule="auto"/>
        <w:tabs>
          <w:tab w:leader="none" w:pos="124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provision of this Agreement shall be modified, waived or discharged unless the modification,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8" w:lineRule="exact"/>
        <w:rPr>
          <w:rFonts w:ascii="Times New Roman" w:cs="Times New Roman" w:eastAsia="Times New Roman" w:hAnsi="Times New Roman"/>
          <w:sz w:val="18"/>
          <w:szCs w:val="18"/>
          <w:color w:val="auto"/>
        </w:rPr>
      </w:pPr>
    </w:p>
    <w:p>
      <w:pPr>
        <w:ind w:right="100" w:firstLine="987"/>
        <w:spacing w:after="0" w:line="268" w:lineRule="auto"/>
        <w:tabs>
          <w:tab w:leader="none" w:pos="123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Confidentiality Agreement contain the entire understanding of the parties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hereof and supersede all other prior or contemporaneous discussions, understandings and agreements, whether oral or written, between them relating to the subject matter hereof.</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256" w:name="page257"/>
    <w:bookmarkEnd w:id="256"/>
    <w:p>
      <w:pPr>
        <w:ind w:left="-20" w:firstLine="987"/>
        <w:spacing w:after="0" w:line="286" w:lineRule="auto"/>
        <w:tabs>
          <w:tab w:leader="none" w:pos="11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made under this Agreement shall be subject to reduction to reflect taxes or other deductions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withheld by law.</w:t>
      </w:r>
    </w:p>
    <w:p>
      <w:pPr>
        <w:spacing w:after="0" w:line="46"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2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 and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interpreted in accordance with the laws of the State of New Jersey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76" w:lineRule="exact"/>
        <w:rPr>
          <w:rFonts w:ascii="Times New Roman" w:cs="Times New Roman" w:eastAsia="Times New Roman" w:hAnsi="Times New Roman"/>
          <w:sz w:val="18"/>
          <w:szCs w:val="18"/>
          <w:color w:val="auto"/>
        </w:rPr>
      </w:pPr>
    </w:p>
    <w:p>
      <w:pPr>
        <w:ind w:left="-20" w:right="260" w:firstLine="987"/>
        <w:spacing w:after="0" w:line="268" w:lineRule="auto"/>
        <w:tabs>
          <w:tab w:leader="none" w:pos="122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of Executive’s rights and obligations hereunder are personal to Executive and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62" w:lineRule="exact"/>
        <w:rPr>
          <w:rFonts w:ascii="Times New Roman" w:cs="Times New Roman" w:eastAsia="Times New Roman" w:hAnsi="Times New Roman"/>
          <w:sz w:val="18"/>
          <w:szCs w:val="18"/>
          <w:color w:val="auto"/>
        </w:rPr>
      </w:pPr>
    </w:p>
    <w:p>
      <w:pPr>
        <w:ind w:left="-20" w:right="140" w:firstLine="987"/>
        <w:spacing w:after="0" w:line="268" w:lineRule="auto"/>
        <w:tabs>
          <w:tab w:leader="none" w:pos="118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attorney, has had sufficient time to, and has carefully read and fully understood all the provisions of this Agreement, and is knowingly and voluntarily entering into this Agreement.</w:t>
      </w:r>
    </w:p>
    <w:p>
      <w:pPr>
        <w:spacing w:after="0" w:line="62" w:lineRule="exact"/>
        <w:rPr>
          <w:rFonts w:ascii="Times New Roman" w:cs="Times New Roman" w:eastAsia="Times New Roman" w:hAnsi="Times New Roman"/>
          <w:sz w:val="18"/>
          <w:szCs w:val="18"/>
          <w:color w:val="auto"/>
        </w:rPr>
      </w:pPr>
    </w:p>
    <w:p>
      <w:pPr>
        <w:ind w:left="-20" w:right="340" w:firstLine="987"/>
        <w:spacing w:after="0" w:line="268" w:lineRule="auto"/>
        <w:tabs>
          <w:tab w:leader="none" w:pos="118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and the same instrument. Execution of a facsimile copy will have the same force and effect as execution of an original, and a facsimile signature will be deemed an original and valid signature.</w:t>
      </w:r>
    </w:p>
    <w:p>
      <w:pPr>
        <w:spacing w:after="0" w:line="62"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 its sole discretion, decide to deliver any documents or notices related to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66" w:right="459" w:bottom="1440" w:gutter="0" w:footer="0" w:header="0"/>
        </w:sectPr>
      </w:pPr>
    </w:p>
    <w:bookmarkStart w:id="257" w:name="page258"/>
    <w:bookmarkEnd w:id="2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Rachel 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Rachel Fish</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People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GARIPALLI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Release of Claims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Nondisclosure, Confidentiality, and Nonsolicitation Agreement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40"/>
          </w:cols>
          <w:pgMar w:left="440" w:top="270" w:right="719"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Employment Agreement entered into by and between you and Clover Health Investments, Corp. dated December 30, 2020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you hereby enter into this Release of Claims (the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Any term not otherwise defined herein shall have the meaning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ascribed to it in the Employment Agreement.</w:t>
      </w:r>
    </w:p>
    <w:p>
      <w:pPr>
        <w:spacing w:after="0" w:line="99" w:lineRule="exact"/>
        <w:rPr>
          <w:sz w:val="20"/>
          <w:szCs w:val="20"/>
          <w:color w:val="auto"/>
        </w:rPr>
      </w:pPr>
    </w:p>
    <w:p>
      <w:pPr>
        <w:ind w:right="20" w:firstLine="436"/>
        <w:spacing w:after="0" w:line="251" w:lineRule="auto"/>
        <w:tabs>
          <w:tab w:leader="none" w:pos="6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In consideration for the severance described in the Employment Agreement, and for other good and valuable consideration, the sufficiency of which you hereby acknowledge, you hereby waive and release to the maximum extent permitted by applicable law any and all claims or causes of action, whether known or unknown, against the Company and/or its predecessors, successors, past or present subsidiaries, affiliated companies, investors, branches or related entities (collectively, including the Company, the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and/or the Entities’ respective past, present, or future insurers, officers, directors, agents, attorneys, employees, stockholders, assigns and employee benefit plans (collectively with the Entities,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with respect to any matter, including, without limitation, any matter related to your employment with the Company or the termination of that employment relationship. This waiver and release includes, without limitation, claims to wages, including overtime or minimum wages, bonuses, incentive compensation, equity compensation, vacation pay or any other compensation or benefits; any claims for failure to provide accurate itemized wage statements, failure to timely pay final pay or failure to provide meal or rest breaks; claims for any loss, cost, damage, or expense arising out of any dispute over the non-withholding or other tax treatment or employment classification; claims under the Employee Retirement Income Security Act (ERISA); claims for attorneys’ fees or costs; claims for penalties; any and all claims for stock, stock options or other equity securities of the Company;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protected basis, under Title VII of the Civil Rights Act of 1964, the Age Discrimination in Employment Act of 1967, the Older Workers Benefit Protection Act, the Americans with Disabilities Act, the New Jersey Law Against Discrimination, the New Jersey Conscientious Employee Protection Act, the New Jersey Family Leave Act, the New Jersey Temporary Disability Benefits Law, the New Jersey Wage Payment Law, the New Jersey Wage and Hour Law, the New Jersey Equal Pay Act, the New Jersey Worker and Community Right to Know Act, the New Jersey Worker Freedom From Employer Intimidation Act, the New York Civil Rights Law, the New York State Human Rights Law, the New York City Human Rights Law, the New York Labor Law, the New York Executive Law, the New York Civil Practice Law and Rules, the New York Judiciary Law, the New York City Administrative Code, the New York Minimum Wage Act, the New York City Earned Safe and Sick Time Act, and retaliation claims under the New Jersey Workers’ Compensation Law and the New York Workers’ Compensation Law; or any other federal, state, or local law prohibiting discrimination, harassment and/or retaliation; and all other federal, state and local laws, ordinances and regulations.</w:t>
      </w:r>
    </w:p>
    <w:p>
      <w:pPr>
        <w:spacing w:after="0" w:line="20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 Released Parties, except as required by law. Nothing in this Release precludes you from participating in any investigation or proceeding before any government agency or body. However, while you may file a charge and participate in any such proceeding, by signing this Release, you waive any right to bring a lawsuit against the Released Parties and waive any right to any individual</w:t>
      </w:r>
    </w:p>
    <w:p>
      <w:pPr>
        <w:sectPr>
          <w:pgSz w:w="11900" w:h="16838" w:orient="portrait"/>
          <w:cols w:equalWidth="0" w:num="1">
            <w:col w:w="11000"/>
          </w:cols>
          <w:pgMar w:left="440" w:top="266" w:right="459" w:bottom="1440" w:gutter="0" w:footer="0" w:header="0"/>
        </w:sectPr>
      </w:pPr>
    </w:p>
    <w:bookmarkStart w:id="259" w:name="page260"/>
    <w:bookmarkEnd w:id="259"/>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monetary recovery in any such proceeding or lawsuit. Nothing in this Release is intended to impede your ability to report possible securities law violations to the government, or to receive a monetary award from a government administered whistleblower-award program. You do not need the prior authorization of the Company to make any such reports or disclosures or to participate or cooperate in any governmental investigation, action or proceeding, and you are not required to notify the Company that you have made such reports and disclosures or have participated or cooperated in any governmental investigation, action or proceeding. Nothing in this Release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state legislature.</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This waiver and release covers only those claims that arose prior to your execution of this Release. The waiver and release contained in this Release does not apply to (i) your indemnification rights under the Indemnification Agreement entered into by and between you and the Company dated April 24, 2015 or any subsequent indemnification agreement entered into by and between you and the Company (such agreement,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Company’s internal governing documents, or (ii) any claim which, as a matter of law, cannot be released by private agreement. If any provision of the waiver and release contained in this Release is found to be unenforceable, it shall not affect the enforceability of the remaining provisions and a court shall enforce all remaining provisions to the full extent permitted by law.</w:t>
      </w:r>
    </w:p>
    <w:p>
      <w:pPr>
        <w:spacing w:after="0" w:line="79" w:lineRule="exact"/>
        <w:rPr>
          <w:sz w:val="20"/>
          <w:szCs w:val="20"/>
          <w:color w:val="auto"/>
        </w:rPr>
      </w:pPr>
    </w:p>
    <w:p>
      <w:pPr>
        <w:ind w:left="4" w:firstLine="436"/>
        <w:spacing w:after="0" w:line="254" w:lineRule="auto"/>
        <w:tabs>
          <w:tab w:leader="none" w:pos="62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ADEA Waiver</w:t>
      </w:r>
      <w:r>
        <w:rPr>
          <w:rFonts w:ascii="Times New Roman" w:cs="Times New Roman" w:eastAsia="Times New Roman" w:hAnsi="Times New Roman"/>
          <w:sz w:val="18"/>
          <w:szCs w:val="18"/>
          <w:color w:val="auto"/>
        </w:rPr>
        <w:t>. You acknowledge that you are knowingly and voluntarily waiving and releasing any rights you may have under the Federal Age Discrimination in Employment Act (“</w:t>
      </w:r>
      <w:r>
        <w:rPr>
          <w:rFonts w:ascii="Times New Roman" w:cs="Times New Roman" w:eastAsia="Times New Roman" w:hAnsi="Times New Roman"/>
          <w:sz w:val="18"/>
          <w:szCs w:val="18"/>
          <w:u w:val="single" w:color="auto"/>
          <w:color w:val="auto"/>
        </w:rPr>
        <w:t>ADEA Waiver</w:t>
      </w:r>
      <w:r>
        <w:rPr>
          <w:rFonts w:ascii="Times New Roman" w:cs="Times New Roman" w:eastAsia="Times New Roman" w:hAnsi="Times New Roman"/>
          <w:sz w:val="18"/>
          <w:szCs w:val="18"/>
          <w:color w:val="auto"/>
        </w:rPr>
        <w:t>”) and that the consideration given for the ADEA Waiver is in addition to anything of value to which you are already entitled. You further acknowledge that: (a) your ADEA Waiver does not apply to any claims that may arise after you sign this Release; (b) you should consult with an attorney prior to executing this Release; (c) you have 21 calendar days within which to consider this Release (although you may choose to execute Release earlier); (d) you have 7 calendar days following the execution of the Release to revoke this Release; and</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24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will not be effective until the eighth day after you sign this Release provided that you have not revoked it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You agree that any modifications, material or otherwise, made to this Release do not restart or affect in any manner the original 21-day consideration period provided in this section. To revoke the Release, you must email Gia Lee a written notice of revocation at </w:t>
      </w:r>
      <w:r>
        <w:rPr>
          <w:rFonts w:ascii="Times New Roman" w:cs="Times New Roman" w:eastAsia="Times New Roman" w:hAnsi="Times New Roman"/>
          <w:sz w:val="18"/>
          <w:szCs w:val="18"/>
          <w:u w:val="single" w:color="auto"/>
          <w:color w:val="auto"/>
        </w:rPr>
        <w:t>gia.lee@cloverhealth.com</w:t>
      </w:r>
      <w:r>
        <w:rPr>
          <w:rFonts w:ascii="Times New Roman" w:cs="Times New Roman" w:eastAsia="Times New Roman" w:hAnsi="Times New Roman"/>
          <w:sz w:val="18"/>
          <w:szCs w:val="18"/>
          <w:color w:val="auto"/>
        </w:rPr>
        <w:t>, prior to the end of the 7-day period. You acknowledge that your consent to this Release is knowing and voluntary. The offer described in this Release will be automatically withdrawn if you do not sign the Release within the 21-day consideration period.</w:t>
      </w:r>
    </w:p>
    <w:p>
      <w:pPr>
        <w:spacing w:after="0" w:line="78"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1542 Waiver</w:t>
      </w:r>
      <w:r>
        <w:rPr>
          <w:rFonts w:ascii="Times New Roman" w:cs="Times New Roman" w:eastAsia="Times New Roman" w:hAnsi="Times New Roman"/>
          <w:sz w:val="18"/>
          <w:szCs w:val="18"/>
          <w:color w:val="auto"/>
        </w:rPr>
        <w:t xml:space="preserve">. You understand and acknowledge that you are releasing potentially unknown claims, and that you may have limited knowledge with respect to some of the claims being released. You acknowledge that there is a risk that, after signing this Release, you may learn information that might have affected your decision to enter into this Release. You assume this risk and all other risks of any mistake in entering into this Release. You agree that this Release is fairly and knowingly made. In addition, you expressly waive and release any and all rights and benefits under the provisions of any applicable law (including Section 1542 of the </w:t>
      </w:r>
      <w:r>
        <w:rPr>
          <w:rFonts w:ascii="Times New Roman" w:cs="Times New Roman" w:eastAsia="Times New Roman" w:hAnsi="Times New Roman"/>
          <w:sz w:val="18"/>
          <w:szCs w:val="18"/>
          <w:i w:val="1"/>
          <w:iCs w:val="1"/>
          <w:color w:val="auto"/>
        </w:rPr>
        <w:t>Civil Code of the State of California</w:t>
      </w:r>
      <w:r>
        <w:rPr>
          <w:rFonts w:ascii="Times New Roman" w:cs="Times New Roman" w:eastAsia="Times New Roman" w:hAnsi="Times New Roman"/>
          <w:sz w:val="18"/>
          <w:szCs w:val="18"/>
          <w:color w:val="auto"/>
        </w:rPr>
        <w:t xml:space="preserve"> or any analogous law of any other state), which reads substantially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You understand and agree that claims or facts in addition to or different from those which are now known or believed by you to exist may hereafter be discovered, but it is your intention to release all claims that you have or may have against the Released Parties, whether known or unknown, suspected or unsuspected.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60" w:name="page261"/>
    <w:bookmarkEnd w:id="260"/>
    <w:p>
      <w:pPr>
        <w:ind w:right="20" w:firstLine="436"/>
        <w:spacing w:after="0" w:line="282"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Breach</w:t>
      </w:r>
      <w:r>
        <w:rPr>
          <w:rFonts w:ascii="Times New Roman" w:cs="Times New Roman" w:eastAsia="Times New Roman" w:hAnsi="Times New Roman"/>
          <w:sz w:val="18"/>
          <w:szCs w:val="18"/>
          <w:color w:val="auto"/>
        </w:rPr>
        <w:t>. In the event that you breach any of your obligations under this Release or as otherwise imposed by law, the Company will be entitled to recover all severance and other consideration paid or provided under this Release and to obtain all other relief provided by law or equity.</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Amounts/Benefits Owed</w:t>
      </w:r>
      <w:r>
        <w:rPr>
          <w:rFonts w:ascii="Times New Roman" w:cs="Times New Roman" w:eastAsia="Times New Roman" w:hAnsi="Times New Roman"/>
          <w:sz w:val="18"/>
          <w:szCs w:val="18"/>
          <w:color w:val="auto"/>
        </w:rPr>
        <w:t>. You acknowledge and agree that you have been paid for all of your services with the Company and you have not earned any wages, salary, incentive compensation, bonuses, commissions or similar payments or benefits or any other compensation or amounts that have not already been paid to you. You further agree that, prior to the execution of this Release, you were not entitled to receive any further payments or benefits from the Company, and the only payments and benefits that you are entitled to receive from the Company in the future are those specified in this Release.</w:t>
      </w:r>
    </w:p>
    <w:p>
      <w:pPr>
        <w:spacing w:after="0" w:line="75" w:lineRule="exact"/>
        <w:rPr>
          <w:rFonts w:ascii="Times New Roman" w:cs="Times New Roman" w:eastAsia="Times New Roman" w:hAnsi="Times New Roman"/>
          <w:sz w:val="18"/>
          <w:szCs w:val="18"/>
          <w:color w:val="auto"/>
        </w:rPr>
      </w:pPr>
    </w:p>
    <w:p>
      <w:pPr>
        <w:ind w:right="620" w:firstLine="436"/>
        <w:spacing w:after="0" w:line="282"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w:t>
      </w:r>
      <w:r>
        <w:rPr>
          <w:rFonts w:ascii="Times New Roman" w:cs="Times New Roman" w:eastAsia="Times New Roman" w:hAnsi="Times New Roman"/>
          <w:sz w:val="18"/>
          <w:szCs w:val="18"/>
          <w:color w:val="auto"/>
        </w:rPr>
        <w:t>. You agree that you did not suffer an injury covered by workers’ compensation in the course and scope of your employment with Company</w:t>
      </w:r>
      <w:r>
        <w:rPr>
          <w:rFonts w:ascii="Times New Roman" w:cs="Times New Roman" w:eastAsia="Times New Roman" w:hAnsi="Times New Roman"/>
          <w:sz w:val="18"/>
          <w:szCs w:val="18"/>
          <w:u w:val="single" w:color="auto"/>
          <w:color w:val="auto"/>
        </w:rPr>
        <w:t>.</w:t>
      </w:r>
    </w:p>
    <w:p>
      <w:pPr>
        <w:spacing w:after="0" w:line="53"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To ensure rapid and economical resolution of any disputes relating to this Release, you and the Company agree that any and all claims, disputes or controversies of any nature whatsoever arising out of, or relating to, this Release, or its interpretation, enforcement, breach, performance or execution, shall be resolved by final, binding and confidential arbitration before a single arbitrator in New York, New York (or another mutually agreeable location) conducted under the Judicial Arbitration and Mediation Services (JAMS) Streamlined Arbitration Rules &amp; Procedures, which can be reviewed at </w:t>
      </w:r>
      <w:r>
        <w:rPr>
          <w:rFonts w:ascii="Times New Roman" w:cs="Times New Roman" w:eastAsia="Times New Roman" w:hAnsi="Times New Roman"/>
          <w:sz w:val="18"/>
          <w:szCs w:val="18"/>
          <w:u w:val="single" w:color="auto"/>
          <w:color w:val="auto"/>
        </w:rPr>
        <w:t>http://www.jamsadr.com/rules-streamlined-arbitration/</w:t>
      </w:r>
      <w:r>
        <w:rPr>
          <w:rFonts w:ascii="Times New Roman" w:cs="Times New Roman" w:eastAsia="Times New Roman" w:hAnsi="Times New Roman"/>
          <w:sz w:val="18"/>
          <w:szCs w:val="18"/>
          <w:color w:val="auto"/>
        </w:rPr>
        <w:t>.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whether the provisions of this paragraph apply to a dispute, controversy, or claim except as provided herein. The arbitrator may in his or her discretion award attorneys’ fees to the prevailing party. All claims, disputes, or controversies subject to arbitration as set forth in this paragraph must be submitted to arbitration on an individual basis and not as a representative, class and/or collective action proceeding on behalf of other individuals. Any issue concerning the validity of this representative, class and/or collective action waiver must be decided by a Court and if for any reason it is found to be unenforceable, the representative, class and/or collective action claim may only be heard in Court and may not be arbitrated. Claims will be governed by applicable statutes of limitations. This arbitration agreement does not cover any action seeking only emergency, temporary or preliminary injunctive relief (including a temporary restraining order) in a court of competent jurisdiction in accordance with applicable law. This arbitration agreement shall be construed and interpreted in accordance with the Federal Arbitration Act.</w:t>
      </w:r>
    </w:p>
    <w:p>
      <w:pPr>
        <w:spacing w:after="0" w:line="86" w:lineRule="exact"/>
        <w:rPr>
          <w:rFonts w:ascii="Times New Roman" w:cs="Times New Roman" w:eastAsia="Times New Roman" w:hAnsi="Times New Roman"/>
          <w:sz w:val="18"/>
          <w:szCs w:val="18"/>
          <w:color w:val="auto"/>
        </w:rPr>
      </w:pPr>
    </w:p>
    <w:p>
      <w:pPr>
        <w:ind w:right="120" w:firstLine="436"/>
        <w:spacing w:after="0" w:line="256"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You and the Company agree that except for the Confidentiality Agreement, the Indemnification Agreement, applicable equity documents and the Employment Agreement, and except as otherwise expressly provided in this Release, this Release renders null and void any and all prior or contemporaneous agreements between you and the Company or any affiliate of the Company. You and the Company agree that this Release and the Employment Agreement constitute the entire agreement between you and the Company and any affiliate of the Company regarding the subject matter of this Release, and that this Release may be modified only in a written document signed by you and a duly authorized officer of the Company.</w:t>
      </w:r>
    </w:p>
    <w:p>
      <w:pPr>
        <w:spacing w:after="0" w:line="79"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Except as to the Dispute Resolution section above, this Release shall be construed and interpreted in accordance with the laws of the State of New Jersey.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61" w:name="page262"/>
    <w:bookmarkEnd w:id="261"/>
    <w:p>
      <w:pPr>
        <w:ind w:firstLine="436"/>
        <w:spacing w:after="0" w:line="258" w:lineRule="auto"/>
        <w:tabs>
          <w:tab w:leader="none" w:pos="71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83"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70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You agree that this Release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62" w:name="page263"/>
    <w:bookmarkEnd w:id="262"/>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accept this Release, please sign and date this Release and return it to me. You have until 5:00 p.m. EST on the date that is 21 days after your termination of employment (or Change in Control) to review and consider this Release and to provide me with an executed copy thereof (the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Please indicate your agreement with the above terms by signing below.</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 am pleased that we were able to part ways on these amicable terms. The Company and I wish you every success in your future endeavors.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My agreement with the terms of this Release is signified by my signature below and is voluntary, deliberate and informed. I acknowledge that this Agreement provides consideration of value to me and that I was free to consult an attorney before signing this Agreement. Furthermore, I acknowledge that I have read and understand this Release and that I sign this release of all claims voluntarily, with full appreciation that at no time in the future may I pursue any of the rights I have waived in this Release.</w:t>
      </w:r>
    </w:p>
    <w:p>
      <w:pPr>
        <w:spacing w:after="0" w:line="207"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-7620</wp:posOffset>
            </wp:positionV>
            <wp:extent cx="25704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2570480"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-7620</wp:posOffset>
            </wp:positionV>
            <wp:extent cx="11709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Vivek Garipalli</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263" w:name="page264"/>
    <w:bookmarkEnd w:id="26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Nondisclosure, Confidentiality, and Nonsolicitation</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7"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my employment or the continuation of my employment by Clover Health or any of its successors, assigns, affiliates or subsidiary companies (each hereinafter referred to as the “Company”), I agree as follows:</w:t>
      </w:r>
    </w:p>
    <w:p>
      <w:pPr>
        <w:spacing w:after="0" w:line="54" w:lineRule="exact"/>
        <w:rPr>
          <w:sz w:val="20"/>
          <w:szCs w:val="20"/>
          <w:color w:val="auto"/>
        </w:rPr>
      </w:pPr>
    </w:p>
    <w:p>
      <w:pPr>
        <w:ind w:left="184" w:hanging="184"/>
        <w:spacing w:after="0"/>
        <w:tabs>
          <w:tab w:leader="none" w:pos="1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SECRETS AND CONFIDENTIAL INFORMATION.</w:t>
      </w:r>
    </w:p>
    <w:p>
      <w:pPr>
        <w:spacing w:after="0" w:line="117" w:lineRule="exact"/>
        <w:rPr>
          <w:rFonts w:ascii="Times New Roman" w:cs="Times New Roman" w:eastAsia="Times New Roman" w:hAnsi="Times New Roman"/>
          <w:sz w:val="18"/>
          <w:szCs w:val="18"/>
          <w:color w:val="auto"/>
        </w:rPr>
      </w:pPr>
    </w:p>
    <w:p>
      <w:pPr>
        <w:ind w:left="984" w:right="20" w:firstLine="7"/>
        <w:spacing w:after="0" w:line="268" w:lineRule="auto"/>
        <w:tabs>
          <w:tab w:leader="none" w:pos="1154"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and Confidential Information.</w:t>
      </w:r>
      <w:r>
        <w:rPr>
          <w:rFonts w:ascii="Times New Roman" w:cs="Times New Roman" w:eastAsia="Times New Roman" w:hAnsi="Times New Roman"/>
          <w:sz w:val="17"/>
          <w:szCs w:val="17"/>
          <w:color w:val="auto"/>
        </w:rPr>
        <w:t xml:space="preserve"> I acknowledge that during the course of my employment, I will obtain, receive or gain access to certain valuable, proprietary or confidential information of the Company its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 Notwithstanding the foregoing, Company Confidential Information shall not include any such information that (i) was publicly known or made generally available prior to the time of disclosure by the Company to me; (ii) becomes publicly known or made generally available after disclosure by the Company to me through no wrongful action or omission by me; or (iii) is in my rightful possession, without confidentiality obligations, at the time of disclosure by the Company as shown by my then-contemporaneous written records.</w:t>
      </w:r>
    </w:p>
    <w:p>
      <w:pPr>
        <w:spacing w:after="0" w:line="285" w:lineRule="exact"/>
        <w:rPr>
          <w:rFonts w:ascii="Times New Roman" w:cs="Times New Roman" w:eastAsia="Times New Roman" w:hAnsi="Times New Roman"/>
          <w:sz w:val="17"/>
          <w:szCs w:val="17"/>
          <w:color w:val="auto"/>
        </w:rPr>
      </w:pPr>
    </w:p>
    <w:p>
      <w:pPr>
        <w:ind w:left="984" w:firstLine="7"/>
        <w:spacing w:after="0" w:line="255" w:lineRule="auto"/>
        <w:tabs>
          <w:tab w:leader="none" w:pos="116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Protected Health Information</w:t>
      </w:r>
      <w:r>
        <w:rPr>
          <w:rFonts w:ascii="Times New Roman" w:cs="Times New Roman" w:eastAsia="Times New Roman" w:hAnsi="Times New Roman"/>
          <w:sz w:val="18"/>
          <w:szCs w:val="18"/>
          <w:color w:val="auto"/>
        </w:rPr>
        <w:t>. 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sectPr>
          <w:pgSz w:w="11900" w:h="16838" w:orient="portrait"/>
          <w:cols w:equalWidth="0" w:num="1">
            <w:col w:w="10984"/>
          </w:cols>
          <w:pgMar w:left="436" w:top="266" w:right="479" w:bottom="1440" w:gutter="0" w:footer="0" w:header="0"/>
        </w:sectPr>
      </w:pPr>
    </w:p>
    <w:bookmarkStart w:id="264" w:name="page265"/>
    <w:bookmarkEnd w:id="264"/>
    <w:p>
      <w:pPr>
        <w:ind w:left="964" w:right="60" w:hanging="532"/>
        <w:spacing w:after="0" w:line="255"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Trade Secret Employee Notice Provision</w:t>
      </w:r>
      <w:r>
        <w:rPr>
          <w:rFonts w:ascii="Times New Roman" w:cs="Times New Roman" w:eastAsia="Times New Roman" w:hAnsi="Times New Roman"/>
          <w:sz w:val="18"/>
          <w:szCs w:val="18"/>
          <w:color w:val="auto"/>
        </w:rPr>
        <w:t>. An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94"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Prevention of Unauthorized Release of Company Confidential Information.</w:t>
      </w:r>
      <w:r>
        <w:rPr>
          <w:rFonts w:ascii="Times New Roman" w:cs="Times New Roman" w:eastAsia="Times New Roman" w:hAnsi="Times New Roman"/>
          <w:sz w:val="18"/>
          <w:szCs w:val="18"/>
          <w:color w:val="auto"/>
        </w:rPr>
        <w:t xml:space="preserve"> I agree to take reasonable measures to prevent unauthorized persons or entities from having access to, obtaining or being furnished with any Company Confidential Information in my possession.</w:t>
      </w:r>
    </w:p>
    <w:p>
      <w:pPr>
        <w:spacing w:after="0" w:line="67"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of Third Parties.</w:t>
      </w:r>
      <w:r>
        <w:rPr>
          <w:rFonts w:ascii="Times New Roman" w:cs="Times New Roman" w:eastAsia="Times New Roman" w:hAnsi="Times New Roman"/>
          <w:sz w:val="18"/>
          <w:szCs w:val="18"/>
          <w:color w:val="auto"/>
        </w:rPr>
        <w:t xml:space="preserve"> I agree to preserve as confidential any information that I learn or obtain in connection with my employment from a third party or relating to a third party, such as a client or customer, which the Company is required to maintain and treat as confidential or proprietary information.</w:t>
      </w:r>
    </w:p>
    <w:p>
      <w:pPr>
        <w:spacing w:after="0" w:line="81"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of Former Employers.</w:t>
      </w:r>
      <w:r>
        <w:rPr>
          <w:rFonts w:ascii="Times New Roman" w:cs="Times New Roman" w:eastAsia="Times New Roman" w:hAnsi="Times New Roman"/>
          <w:sz w:val="18"/>
          <w:szCs w:val="18"/>
          <w:color w:val="auto"/>
        </w:rPr>
        <w:t xml:space="preserve"> I agree not to disclose to the Company and not to use in any way in connection with my employment therewith any proprietary confidential information or trade secrets of any kind, or any embodiments thereof, of any previous employer or other third party.</w:t>
      </w:r>
    </w:p>
    <w:p>
      <w:pPr>
        <w:spacing w:after="0" w:line="81"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xml:space="preserve"> 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spacing w:after="0" w:line="88"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Interview.</w:t>
      </w:r>
      <w:r>
        <w:rPr>
          <w:rFonts w:ascii="Times New Roman" w:cs="Times New Roman" w:eastAsia="Times New Roman" w:hAnsi="Times New Roman"/>
          <w:sz w:val="18"/>
          <w:szCs w:val="18"/>
          <w:color w:val="auto"/>
        </w:rPr>
        <w:t xml:space="preserve">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 NON-SOLICITATION, and NONDISPARAGEMENT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w:t>
      </w:r>
      <w:r>
        <w:rPr>
          <w:rFonts w:ascii="Times New Roman" w:cs="Times New Roman" w:eastAsia="Times New Roman" w:hAnsi="Times New Roman"/>
          <w:sz w:val="18"/>
          <w:szCs w:val="18"/>
          <w:color w:val="auto"/>
        </w:rPr>
        <w:t xml:space="preserve"> I agree that I am subject to the duty of loyalty under Delaware law in connection with my service to the Company.</w:t>
      </w:r>
    </w:p>
    <w:p>
      <w:pPr>
        <w:spacing w:after="0" w:line="130" w:lineRule="exact"/>
        <w:rPr>
          <w:rFonts w:ascii="Times New Roman" w:cs="Times New Roman" w:eastAsia="Times New Roman" w:hAnsi="Times New Roman"/>
          <w:sz w:val="18"/>
          <w:szCs w:val="18"/>
          <w:color w:val="auto"/>
        </w:rPr>
      </w:pPr>
    </w:p>
    <w:p>
      <w:pPr>
        <w:ind w:left="964" w:right="200" w:hanging="532"/>
        <w:spacing w:after="0" w:line="261" w:lineRule="auto"/>
        <w:tabs>
          <w:tab w:leader="none" w:pos="96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to Prior Employers or Others.</w:t>
      </w:r>
      <w:r>
        <w:rPr>
          <w:rFonts w:ascii="Times New Roman" w:cs="Times New Roman" w:eastAsia="Times New Roman" w:hAnsi="Times New Roman"/>
          <w:sz w:val="18"/>
          <w:szCs w:val="18"/>
          <w:color w:val="auto"/>
        </w:rPr>
        <w:t xml:space="preserve">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sectPr>
          <w:pgSz w:w="11900" w:h="16838" w:orient="portrait"/>
          <w:cols w:equalWidth="0" w:num="1">
            <w:col w:w="11004"/>
          </w:cols>
          <w:pgMar w:left="436" w:top="270" w:right="459" w:bottom="1440" w:gutter="0" w:footer="0" w:header="0"/>
        </w:sectPr>
      </w:pPr>
    </w:p>
    <w:bookmarkStart w:id="265" w:name="page266"/>
    <w:bookmarkEnd w:id="26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17145</wp:posOffset>
            </wp:positionV>
            <wp:extent cx="54521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394335</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582930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780415</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977265</wp:posOffset>
            </wp:positionV>
            <wp:extent cx="6995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1165860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1363345</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64" w:right="140" w:hanging="532"/>
        <w:spacing w:after="0" w:line="258" w:lineRule="auto"/>
        <w:tabs>
          <w:tab w:leader="none" w:pos="96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xml:space="preserve">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spacing w:after="0" w:line="88"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Customers.</w:t>
      </w:r>
      <w:r>
        <w:rPr>
          <w:rFonts w:ascii="Times New Roman" w:cs="Times New Roman" w:eastAsia="Times New Roman" w:hAnsi="Times New Roman"/>
          <w:sz w:val="18"/>
          <w:szCs w:val="18"/>
          <w:color w:val="auto"/>
        </w:rPr>
        <w:t xml:space="preserve"> During my employment with the Company, and after my employment ends (voluntary or otherwise), I covenant and agree that I shall not in any manner, directly or indirectly, on my own behalf or for the benefit of any other person or entity, use any trade secrets or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spacing w:after="0" w:line="92" w:lineRule="exact"/>
        <w:rPr>
          <w:rFonts w:ascii="Times New Roman" w:cs="Times New Roman" w:eastAsia="Times New Roman" w:hAnsi="Times New Roman"/>
          <w:sz w:val="18"/>
          <w:szCs w:val="18"/>
          <w:color w:val="auto"/>
        </w:rPr>
      </w:pPr>
    </w:p>
    <w:p>
      <w:pPr>
        <w:ind w:left="964" w:right="200" w:hanging="532"/>
        <w:spacing w:after="0" w:line="281" w:lineRule="auto"/>
        <w:tabs>
          <w:tab w:leader="none" w:pos="96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Nondisparagement.</w:t>
      </w:r>
      <w:r>
        <w:rPr>
          <w:rFonts w:ascii="Times New Roman" w:cs="Times New Roman" w:eastAsia="Times New Roman" w:hAnsi="Times New Roman"/>
          <w:sz w:val="17"/>
          <w:szCs w:val="17"/>
          <w:color w:val="auto"/>
        </w:rPr>
        <w:t xml:space="preserve"> Except for any protected activity (as described in Section 4.1. below, I agree that I will not make any disparaging and/or defamatory statements to any third-party about the Company’s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w:t>
      </w:r>
    </w:p>
    <w:p>
      <w:pPr>
        <w:spacing w:after="0" w:line="56"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INVENTIONS.</w:t>
      </w:r>
    </w:p>
    <w:p>
      <w:pPr>
        <w:spacing w:after="0" w:line="130" w:lineRule="exact"/>
        <w:rPr>
          <w:rFonts w:ascii="Times New Roman" w:cs="Times New Roman" w:eastAsia="Times New Roman" w:hAnsi="Times New Roman"/>
          <w:sz w:val="18"/>
          <w:szCs w:val="18"/>
          <w:color w:val="auto"/>
        </w:rPr>
      </w:pPr>
    </w:p>
    <w:p>
      <w:pPr>
        <w:ind w:left="964" w:right="100" w:hanging="532"/>
        <w:spacing w:after="0" w:line="256" w:lineRule="auto"/>
        <w:tabs>
          <w:tab w:leader="none" w:pos="96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 and Assignment.</w:t>
      </w:r>
      <w:r>
        <w:rPr>
          <w:rFonts w:ascii="Times New Roman" w:cs="Times New Roman" w:eastAsia="Times New Roman" w:hAnsi="Times New Roman"/>
          <w:sz w:val="18"/>
          <w:szCs w:val="18"/>
          <w:color w:val="auto"/>
        </w:rPr>
        <w:t xml:space="preserve"> In connection with my employment with the Company, I understand and agree that all Inventions, defined as and including discoveries, developments, designs, improvements, inventions, formulas, programs, computer software or code, processes, techniques, or know-how (whether or not patentable or registrable under patent, copyright or similar statutes) that (i) relate directly to the Company’s business, (ii) that result from tasks assigned to me by the Company, and (iii) that are conceived or made with the use of the Company’s facilities, materials or, resources, shall be the sole property of Company and its assigns, and Company shall be the sole owner of all Rights to said Inventions, said Rights</w:t>
      </w:r>
    </w:p>
    <w:p>
      <w:pPr>
        <w:sectPr>
          <w:pgSz w:w="11900" w:h="16838" w:orient="portrait"/>
          <w:cols w:equalWidth="0" w:num="1">
            <w:col w:w="10964"/>
          </w:cols>
          <w:pgMar w:left="436" w:top="270" w:right="499" w:bottom="1440" w:gutter="0" w:footer="0" w:header="0"/>
        </w:sectPr>
      </w:pPr>
    </w:p>
    <w:bookmarkStart w:id="266" w:name="page267"/>
    <w:bookmarkEnd w:id="266"/>
    <w:p>
      <w:pPr>
        <w:ind w:left="984"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being defined as and including patents, trademarks, service marks and copyrights, and other intellectual property rights pertaining to said Inventions or Confidential Information.</w:t>
      </w:r>
      <w:r>
        <w:rPr>
          <w:rFonts w:ascii="Times New Roman" w:cs="Times New Roman" w:eastAsia="Times New Roman" w:hAnsi="Times New Roman"/>
          <w:sz w:val="15"/>
          <w:szCs w:val="15"/>
          <w:color w:val="auto"/>
        </w:rPr>
        <w:t>1</w:t>
      </w:r>
    </w:p>
    <w:p>
      <w:pPr>
        <w:spacing w:after="0" w:line="67" w:lineRule="exact"/>
        <w:rPr>
          <w:sz w:val="20"/>
          <w:szCs w:val="20"/>
          <w:color w:val="auto"/>
        </w:rPr>
      </w:pPr>
    </w:p>
    <w:p>
      <w:pPr>
        <w:ind w:left="964" w:right="100" w:hanging="532"/>
        <w:spacing w:after="0" w:line="282" w:lineRule="auto"/>
        <w:tabs>
          <w:tab w:leader="none" w:pos="96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Assistance.</w:t>
      </w:r>
      <w:r>
        <w:rPr>
          <w:rFonts w:ascii="Times New Roman" w:cs="Times New Roman" w:eastAsia="Times New Roman" w:hAnsi="Times New Roman"/>
          <w:sz w:val="18"/>
          <w:szCs w:val="18"/>
          <w:color w:val="auto"/>
        </w:rPr>
        <w:t xml:space="preserve"> Upon the Company’s advance, written, and reasonable request, I agree to use my reasonable best efforts to assist Company (at the Company’s expense) to obtain and from time to time enforce the Rights identified above.</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spacing w:after="0" w:line="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LIST ANY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17145</wp:posOffset>
            </wp:positionV>
            <wp:extent cx="54521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394335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582930</wp:posOffset>
            </wp:positionV>
            <wp:extent cx="6995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780415</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4" w:hanging="184"/>
        <w:spacing w:after="0"/>
        <w:tabs>
          <w:tab w:leader="none" w:pos="18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binding upon my heirs, assigns, executors, administrators or other legal representatives and will be for the benefit of the Company and its successors and assigns.</w:t>
      </w:r>
    </w:p>
    <w:p>
      <w:pPr>
        <w:spacing w:after="0" w:line="67"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may be provided herein, disputes under this Agreement shall be resolved pursuant to the Employee Grievance Process or Mutual Dispute Arbitration Policy/Mutual Agreement to Arbitrate, provided, however, that my liability for any breach of this Agreement shall not exceed (in the aggregate) the monetary value of the restricted stock units awarded to me in connection with my December 2020 employment agreement vested as of the date of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right="60" w:hanging="424"/>
        <w:spacing w:after="0" w:line="258" w:lineRule="auto"/>
        <w:tabs>
          <w:tab w:leader="none" w:pos="424"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employees in Delaware, Illinois, Kansas, Minnesota, North Carolina, Utah, Washington, and any other state where the Company employs 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spacing w:after="0" w:line="183" w:lineRule="exact"/>
        <w:rPr>
          <w:rFonts w:ascii="Times New Roman" w:cs="Times New Roman" w:eastAsia="Times New Roman" w:hAnsi="Times New Roman"/>
          <w:sz w:val="15"/>
          <w:szCs w:val="15"/>
          <w:color w:val="auto"/>
        </w:rPr>
      </w:pPr>
    </w:p>
    <w:p>
      <w:pPr>
        <w:ind w:left="444" w:right="160"/>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 relate to any work performed by you relating to a contract under which the Company has an obligation to assign title to the United States with respect to inventions resulting from work performed thereunder.</w:t>
      </w:r>
    </w:p>
    <w:p>
      <w:pPr>
        <w:sectPr>
          <w:pgSz w:w="11900" w:h="16838" w:orient="portrait"/>
          <w:cols w:equalWidth="0" w:num="1">
            <w:col w:w="11004"/>
          </w:cols>
          <w:pgMar w:left="436" w:top="270" w:right="459" w:bottom="1440" w:gutter="0" w:footer="0" w:header="0"/>
        </w:sectPr>
      </w:pPr>
    </w:p>
    <w:bookmarkStart w:id="267" w:name="page268"/>
    <w:bookmarkEnd w:id="267"/>
    <w:p>
      <w:pPr>
        <w:ind w:left="532" w:right="360" w:hanging="532"/>
        <w:spacing w:after="0" w:line="266"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spacing w:after="0" w:line="81" w:lineRule="exact"/>
        <w:rPr>
          <w:rFonts w:ascii="Times New Roman" w:cs="Times New Roman" w:eastAsia="Times New Roman" w:hAnsi="Times New Roman"/>
          <w:sz w:val="18"/>
          <w:szCs w:val="18"/>
          <w:color w:val="auto"/>
        </w:rPr>
      </w:pPr>
    </w:p>
    <w:p>
      <w:pPr>
        <w:ind w:left="532" w:hanging="532"/>
        <w:spacing w:after="0" w:line="261"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spacing w:after="0" w:line="85" w:lineRule="exact"/>
        <w:rPr>
          <w:rFonts w:ascii="Times New Roman" w:cs="Times New Roman" w:eastAsia="Times New Roman" w:hAnsi="Times New Roman"/>
          <w:sz w:val="18"/>
          <w:szCs w:val="18"/>
          <w:color w:val="auto"/>
        </w:rPr>
      </w:pPr>
    </w:p>
    <w:p>
      <w:pPr>
        <w:jc w:val="both"/>
        <w:ind w:left="532" w:right="260" w:hanging="532"/>
        <w:spacing w:after="0" w:line="266"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spacing w:after="0" w:line="81" w:lineRule="exact"/>
        <w:rPr>
          <w:rFonts w:ascii="Times New Roman" w:cs="Times New Roman" w:eastAsia="Times New Roman" w:hAnsi="Times New Roman"/>
          <w:sz w:val="18"/>
          <w:szCs w:val="18"/>
          <w:color w:val="auto"/>
        </w:rPr>
      </w:pPr>
    </w:p>
    <w:p>
      <w:pPr>
        <w:ind w:left="532" w:hanging="532"/>
        <w:spacing w:after="0" w:line="261"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I work at the commencement of my employment with the Company.</w:t>
      </w:r>
    </w:p>
    <w:p>
      <w:pPr>
        <w:spacing w:after="0" w:line="85" w:lineRule="exact"/>
        <w:rPr>
          <w:rFonts w:ascii="Times New Roman" w:cs="Times New Roman" w:eastAsia="Times New Roman" w:hAnsi="Times New Roman"/>
          <w:sz w:val="18"/>
          <w:szCs w:val="18"/>
          <w:color w:val="auto"/>
        </w:rPr>
      </w:pPr>
    </w:p>
    <w:p>
      <w:pPr>
        <w:ind w:left="532" w:right="40" w:hanging="532"/>
        <w:spacing w:after="0" w:line="282"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to carry out the intent of the parties, the provisions of this Agreement shall survive the termination of my employment with the Company and shall continue in full force and effect.</w:t>
      </w:r>
    </w:p>
    <w:p>
      <w:pPr>
        <w:spacing w:after="0" w:line="67" w:lineRule="exact"/>
        <w:rPr>
          <w:rFonts w:ascii="Times New Roman" w:cs="Times New Roman" w:eastAsia="Times New Roman" w:hAnsi="Times New Roman"/>
          <w:sz w:val="18"/>
          <w:szCs w:val="18"/>
          <w:color w:val="auto"/>
        </w:rPr>
      </w:pPr>
    </w:p>
    <w:p>
      <w:pPr>
        <w:ind w:left="532" w:right="120" w:hanging="532"/>
        <w:spacing w:after="0" w:line="258"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 illegal or unenforceable provision had never been contained herein and it shall not affect the other provisions of this Agreement, which shall remain in full force and effect.</w:t>
      </w:r>
    </w:p>
    <w:p>
      <w:pPr>
        <w:spacing w:after="0" w:line="88" w:lineRule="exact"/>
        <w:rPr>
          <w:rFonts w:ascii="Times New Roman" w:cs="Times New Roman" w:eastAsia="Times New Roman" w:hAnsi="Times New Roman"/>
          <w:sz w:val="18"/>
          <w:szCs w:val="18"/>
          <w:color w:val="auto"/>
        </w:rPr>
      </w:pPr>
    </w:p>
    <w:p>
      <w:pPr>
        <w:ind w:left="532" w:right="80" w:hanging="532"/>
        <w:spacing w:after="0" w:line="258"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spacing w:after="0" w:line="88" w:lineRule="exact"/>
        <w:rPr>
          <w:rFonts w:ascii="Times New Roman" w:cs="Times New Roman" w:eastAsia="Times New Roman" w:hAnsi="Times New Roman"/>
          <w:sz w:val="18"/>
          <w:szCs w:val="18"/>
          <w:color w:val="auto"/>
        </w:rPr>
      </w:pPr>
    </w:p>
    <w:p>
      <w:pPr>
        <w:ind w:left="532" w:right="80" w:hanging="532"/>
        <w:spacing w:after="0" w:line="261" w:lineRule="auto"/>
        <w:tabs>
          <w:tab w:leader="none" w:pos="53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attached Exhibits as referenced above, contains the entire understanding between myself and the Company with respect to the subject matter hereof, 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sectPr>
          <w:pgSz w:w="11900" w:h="16838" w:orient="portrait"/>
          <w:cols w:equalWidth="0" w:num="1">
            <w:col w:w="10572"/>
          </w:cols>
          <w:pgMar w:left="868" w:top="270" w:right="459" w:bottom="1440" w:gutter="0" w:footer="0" w:header="0"/>
        </w:sectPr>
      </w:pPr>
    </w:p>
    <w:bookmarkStart w:id="268" w:name="page269"/>
    <w:bookmarkEnd w:id="268"/>
    <w:p>
      <w:pPr>
        <w:ind w:left="960" w:hanging="532"/>
        <w:spacing w:after="0" w:line="254" w:lineRule="auto"/>
        <w:tabs>
          <w:tab w:leader="none" w:pos="9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understand that nothing in this Agreement limits or prohibits me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I am not permitted to disclosure the Company’s attorney-client privileged communications or attorney work product.</w:t>
      </w:r>
    </w:p>
    <w:p>
      <w:pPr>
        <w:spacing w:after="0" w:line="175" w:lineRule="exact"/>
        <w:rPr>
          <w:sz w:val="20"/>
          <w:szCs w:val="20"/>
          <w:color w:val="auto"/>
        </w:rPr>
      </w:pPr>
    </w:p>
    <w:tbl>
      <w:tblPr>
        <w:tblLayout w:type="fixed"/>
        <w:tblInd w:w="3860" w:type="dxa"/>
        <w:tblCellMar>
          <w:top w:w="0" w:type="dxa"/>
          <w:left w:w="0" w:type="dxa"/>
          <w:bottom w:w="0" w:type="dxa"/>
          <w:right w:w="0" w:type="dxa"/>
        </w:tblCellMar>
      </w:tblPr>
      <w:tr>
        <w:trPr>
          <w:trHeight w:val="207"/>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as of this 9 day of  December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0"/>
        </w:trPr>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24561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245618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744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5744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3515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Megan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515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ectPr>
          <w:pgSz w:w="11900" w:h="16838" w:orient="portrait"/>
          <w:cols w:equalWidth="0" w:num="2">
            <w:col w:w="5020" w:space="720"/>
            <w:col w:w="5240"/>
          </w:cols>
          <w:pgMar w:left="440" w:top="270" w:right="479" w:bottom="1440" w:gutter="0" w:footer="0" w:header="0"/>
          <w:type w:val="continuous"/>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TERMINATION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to confirm that I have reviewed the Employee Nondisclosure, Confidentiality, and Nonsolicitation Agreement (“Agreement”) signed by 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20__ and that I understand the terms of that Agreement and the continuing obligations I have under that Agreement. During the course of</w:t>
      </w:r>
    </w:p>
    <w:p>
      <w:pPr>
        <w:spacing w:after="0" w:line="9"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my employment with the Company, I have had access to information regarded by the Company as Confidential information as defined by the Agreement.</w:t>
      </w:r>
    </w:p>
    <w:p>
      <w:pPr>
        <w:spacing w:after="0" w:line="1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further certify that I have complied with and will continue to comply with all of the terms of the Agreement signed by me with the Company.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termination of my employment with the Company, I will be employed by (name of new employer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___________________________________________________________in the (division/department) ______________________________ and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in connection with the projects (generally describe the projects):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This Agreement is executed by me at</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in the State of</w:t>
            </w:r>
          </w:p>
        </w:tc>
      </w:tr>
      <w:tr>
        <w:trPr>
          <w:trHeight w:val="41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w w:val="99"/>
              </w:rPr>
              <w:t>________________, as of this</w:t>
            </w:r>
          </w:p>
        </w:tc>
        <w:tc>
          <w:tcPr>
            <w:tcW w:w="720" w:type="dxa"/>
            <w:vAlign w:val="bottom"/>
            <w:tcBorders>
              <w:bottom w:val="single" w:sz="8" w:color="auto"/>
            </w:tcBorders>
            <w:gridSpan w:val="2"/>
          </w:tcPr>
          <w:p>
            <w:pPr>
              <w:spacing w:after="0"/>
              <w:rPr>
                <w:sz w:val="24"/>
                <w:szCs w:val="2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day of</w:t>
            </w:r>
          </w:p>
        </w:tc>
        <w:tc>
          <w:tcPr>
            <w:tcW w:w="1620" w:type="dxa"/>
            <w:vAlign w:val="bottom"/>
            <w:tcBorders>
              <w:bottom w:val="single" w:sz="8" w:color="auto"/>
            </w:tcBorders>
          </w:tcPr>
          <w:p>
            <w:pPr>
              <w:spacing w:after="0"/>
              <w:rPr>
                <w:sz w:val="24"/>
                <w:szCs w:val="24"/>
                <w:color w:val="auto"/>
              </w:rPr>
            </w:pPr>
          </w:p>
        </w:tc>
        <w:tc>
          <w:tcPr>
            <w:tcW w:w="18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 20____.</w:t>
            </w:r>
          </w:p>
        </w:tc>
        <w:tc>
          <w:tcPr>
            <w:tcW w:w="114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ectPr>
          <w:pgSz w:w="11900" w:h="16838" w:orient="portrait"/>
          <w:cols w:equalWidth="0" w:num="1">
            <w:col w:w="10019"/>
          </w:cols>
          <w:pgMar w:left="440" w:top="266" w:right="144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10.10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725 Cool Springs Blvd, Suite 300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Franklin, Tennessee 37067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Toy</w:t>
      </w:r>
    </w:p>
    <w:p>
      <w:pPr>
        <w:spacing w:after="0" w:line="221"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Andrew:</w:t>
      </w:r>
    </w:p>
    <w:p>
      <w:pPr>
        <w:spacing w:after="0" w:line="221"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you (referred to hereinafter as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Clover Health Investments,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sets forth the terms and conditions that shall govern Executive’s continued employment with the Company (referred to hereinafter as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Employment Period</w:t>
      </w:r>
      <w:r>
        <w:rPr>
          <w:rFonts w:ascii="Times New Roman" w:cs="Times New Roman" w:eastAsia="Times New Roman" w:hAnsi="Times New Roman"/>
          <w:sz w:val="18"/>
          <w:szCs w:val="18"/>
          <w:color w:val="auto"/>
        </w:rPr>
        <w:t>”), effective as of immediately after the Closing of the Mergers (as those terms are defined in the Merger Agreement)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20" w:hanging="184"/>
        <w:spacing w:after="0"/>
        <w:tabs>
          <w:tab w:leader="none" w:pos="6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 and Scope of Employment</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120" w:firstLine="987"/>
        <w:spacing w:after="0" w:line="259" w:lineRule="auto"/>
        <w:tabs>
          <w:tab w:leader="none" w:pos="123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color w:val="auto"/>
        </w:rPr>
        <w:t>. Executive’s Employment with the Company is for no specified period and constitutes “at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71" w:lineRule="exact"/>
        <w:rPr>
          <w:rFonts w:ascii="Times New Roman" w:cs="Times New Roman" w:eastAsia="Times New Roman" w:hAnsi="Times New Roman"/>
          <w:sz w:val="18"/>
          <w:szCs w:val="18"/>
          <w:color w:val="auto"/>
        </w:rPr>
      </w:pPr>
    </w:p>
    <w:p>
      <w:pPr>
        <w:ind w:right="100" w:firstLine="987"/>
        <w:spacing w:after="0" w:line="257" w:lineRule="auto"/>
        <w:tabs>
          <w:tab w:leader="none" w:pos="124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 and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the Company agrees to employ Executive in the position of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Technology Officer. Executive will report to the Company’s Chief Executive Officer or to such other Person as the Company subsequently may determine (Executive’s “</w:t>
      </w:r>
      <w:r>
        <w:rPr>
          <w:rFonts w:ascii="Times New Roman" w:cs="Times New Roman" w:eastAsia="Times New Roman" w:hAnsi="Times New Roman"/>
          <w:sz w:val="18"/>
          <w:szCs w:val="18"/>
          <w:b w:val="1"/>
          <w:bCs w:val="1"/>
          <w:i w:val="1"/>
          <w:iCs w:val="1"/>
          <w:color w:val="auto"/>
        </w:rPr>
        <w:t>Supervisor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Executive will be working remotely and based out of the San Francisco Bay Area. Executive will perform the duties and have the responsibilities and authority customarily performed and held by an employee in Executive’s position or as otherwise may be assigned or delegated to Executive by Executive’s Supervisor. Executive shall comply with the Company’s policies and rules, as they may be in effect from time to time during Executive’s Employment.</w:t>
      </w:r>
    </w:p>
    <w:p>
      <w:pPr>
        <w:spacing w:after="0" w:line="74" w:lineRule="exact"/>
        <w:rPr>
          <w:rFonts w:ascii="Times New Roman" w:cs="Times New Roman" w:eastAsia="Times New Roman" w:hAnsi="Times New Roman"/>
          <w:sz w:val="18"/>
          <w:szCs w:val="18"/>
          <w:color w:val="auto"/>
        </w:rPr>
      </w:pPr>
    </w:p>
    <w:p>
      <w:pPr>
        <w:ind w:right="160" w:firstLine="987"/>
        <w:spacing w:after="0" w:line="257" w:lineRule="auto"/>
        <w:tabs>
          <w:tab w:leader="none" w:pos="123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Conflicting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represents and warrants to the Company that Executive is under no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whether contractual or otherwise, that are inconsistent with Executive’s obligations under this Agreement or that would otherwise prohibit Executive from performing Executive’s duties with the Company. In connection with Executive’s Employment, Executive shall not use or disclose any trade secrets or other proprietary information or intellectual property in which Executive or any other Person has any right, title or interest and Executive’s Employment will not infringe or violate the rights of any other Person. Executive represents and warrants to the Company that Executive has returned all property and confidential information belonging to any prior employer.</w:t>
      </w:r>
    </w:p>
    <w:p>
      <w:pPr>
        <w:sectPr>
          <w:pgSz w:w="11900" w:h="16838" w:orient="portrait"/>
          <w:cols w:equalWidth="0" w:num="1">
            <w:col w:w="11020"/>
          </w:cols>
          <w:pgMar w:left="440" w:top="266" w:right="439" w:bottom="1440" w:gutter="0" w:footer="0" w:header="0"/>
        </w:sectPr>
      </w:pPr>
    </w:p>
    <w:bookmarkStart w:id="272" w:name="page273"/>
    <w:bookmarkEnd w:id="272"/>
    <w:p>
      <w:pPr>
        <w:ind w:right="60" w:firstLine="987"/>
        <w:spacing w:after="0" w:line="271" w:lineRule="auto"/>
        <w:tabs>
          <w:tab w:leader="none" w:pos="1246"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Employment Period, Executive shall perform Executive’s duties faithfully and to the best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that Executive has returned all property and confidential information belonging to any prior employer.</w:t>
      </w:r>
    </w:p>
    <w:p>
      <w:pPr>
        <w:spacing w:after="0" w:line="65"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and Incentive Compensation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pay Executive, as compensation for Executive’s services, a base salary at a gross annual rate of</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$450,000,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75" w:lineRule="exact"/>
        <w:rPr>
          <w:sz w:val="20"/>
          <w:szCs w:val="20"/>
          <w:color w:val="auto"/>
        </w:rPr>
      </w:pPr>
    </w:p>
    <w:p>
      <w:pPr>
        <w:ind w:right="60" w:firstLine="987"/>
        <w:spacing w:after="0" w:line="254" w:lineRule="auto"/>
        <w:tabs>
          <w:tab w:leader="none" w:pos="12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Incentive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be eligible to be considered for an annual cash incentive bonus (the “</w:t>
      </w:r>
      <w:r>
        <w:rPr>
          <w:rFonts w:ascii="Times New Roman" w:cs="Times New Roman" w:eastAsia="Times New Roman" w:hAnsi="Times New Roman"/>
          <w:sz w:val="18"/>
          <w:szCs w:val="18"/>
          <w:b w:val="1"/>
          <w:bCs w:val="1"/>
          <w:i w:val="1"/>
          <w:iCs w:val="1"/>
          <w:color w:val="auto"/>
        </w:rPr>
        <w:t>Cash Bonus</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year during the Employment Period based upon the achievement of certain objective or subjective criteria (collectively, the “</w:t>
      </w:r>
      <w:r>
        <w:rPr>
          <w:rFonts w:ascii="Times New Roman" w:cs="Times New Roman" w:eastAsia="Times New Roman" w:hAnsi="Times New Roman"/>
          <w:sz w:val="18"/>
          <w:szCs w:val="18"/>
          <w:b w:val="1"/>
          <w:bCs w:val="1"/>
          <w:i w:val="1"/>
          <w:iCs w:val="1"/>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Goals</w:t>
      </w:r>
      <w:r>
        <w:rPr>
          <w:rFonts w:ascii="Times New Roman" w:cs="Times New Roman" w:eastAsia="Times New Roman" w:hAnsi="Times New Roman"/>
          <w:sz w:val="18"/>
          <w:szCs w:val="18"/>
          <w:color w:val="auto"/>
        </w:rPr>
        <w:t>”). In compliance with all relevant legal requirements and based on Executive’s level within the Company, the Performance Goals for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Bonus for a particular year will be established by, and in the sole discretion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any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or a delegate of either the Board or the Committee (the “</w:t>
      </w:r>
      <w:r>
        <w:rPr>
          <w:rFonts w:ascii="Times New Roman" w:cs="Times New Roman" w:eastAsia="Times New Roman" w:hAnsi="Times New Roman"/>
          <w:sz w:val="18"/>
          <w:szCs w:val="18"/>
          <w:b w:val="1"/>
          <w:bCs w:val="1"/>
          <w:i w:val="1"/>
          <w:iCs w:val="1"/>
          <w:color w:val="auto"/>
        </w:rPr>
        <w:t>Delegate</w:t>
      </w:r>
      <w:r>
        <w:rPr>
          <w:rFonts w:ascii="Times New Roman" w:cs="Times New Roman" w:eastAsia="Times New Roman" w:hAnsi="Times New Roman"/>
          <w:sz w:val="18"/>
          <w:szCs w:val="18"/>
          <w:color w:val="auto"/>
        </w:rPr>
        <w:t>”), as applicable. The initial target amount for any such Cash Bonus will be up to 100% of Executive’s Base Salary (the “</w:t>
      </w:r>
      <w:r>
        <w:rPr>
          <w:rFonts w:ascii="Times New Roman" w:cs="Times New Roman" w:eastAsia="Times New Roman" w:hAnsi="Times New Roman"/>
          <w:sz w:val="18"/>
          <w:szCs w:val="18"/>
          <w:b w:val="1"/>
          <w:bCs w:val="1"/>
          <w:i w:val="1"/>
          <w:iCs w:val="1"/>
          <w:color w:val="auto"/>
        </w:rPr>
        <w:t>Target Bonus Percentage</w:t>
      </w:r>
      <w:r>
        <w:rPr>
          <w:rFonts w:ascii="Times New Roman" w:cs="Times New Roman" w:eastAsia="Times New Roman" w:hAnsi="Times New Roman"/>
          <w:sz w:val="18"/>
          <w:szCs w:val="18"/>
          <w:color w:val="auto"/>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sole discretion of the Board, the Committee or the Delegate, as applicable. Executive shall not earn a Cash Bonus unless Executive is employed by the Company on the date when such Cash Bonus is actually paid by the Company.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73" w:name="page274"/>
    <w:bookmarkEnd w:id="273"/>
    <w:p>
      <w:pPr>
        <w:ind w:left="1240" w:hanging="253"/>
        <w:spacing w:after="0"/>
        <w:tabs>
          <w:tab w:leader="none" w:pos="12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Equity Compensation</w:t>
      </w:r>
      <w:r>
        <w:rPr>
          <w:rFonts w:ascii="Times New Roman" w:cs="Times New Roman" w:eastAsia="Times New Roman" w:hAnsi="Times New Roman"/>
          <w:sz w:val="18"/>
          <w:szCs w:val="18"/>
          <w:color w:val="auto"/>
        </w:rPr>
        <w:t>. Executive shall be entitled to the following equity compensation for Executive’s services:</w:t>
      </w:r>
    </w:p>
    <w:p>
      <w:pPr>
        <w:spacing w:after="0" w:line="117" w:lineRule="exact"/>
        <w:rPr>
          <w:rFonts w:ascii="Times New Roman" w:cs="Times New Roman" w:eastAsia="Times New Roman" w:hAnsi="Times New Roman"/>
          <w:sz w:val="18"/>
          <w:szCs w:val="18"/>
          <w:color w:val="auto"/>
        </w:rPr>
      </w:pPr>
    </w:p>
    <w:p>
      <w:pPr>
        <w:ind w:right="100" w:firstLine="1428"/>
        <w:spacing w:after="0" w:line="259" w:lineRule="auto"/>
        <w:tabs>
          <w:tab w:leader="none" w:pos="164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2014 Plan RSUs</w:t>
      </w:r>
      <w:r>
        <w:rPr>
          <w:rFonts w:ascii="Times New Roman" w:cs="Times New Roman" w:eastAsia="Times New Roman" w:hAnsi="Times New Roman"/>
          <w:sz w:val="18"/>
          <w:szCs w:val="18"/>
          <w:color w:val="auto"/>
        </w:rPr>
        <w:t>. Prior to the Closing of the Mergers, the predecessor corporation to the Company, Clover Health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b w:val="1"/>
          <w:bCs w:val="1"/>
          <w:i w:val="1"/>
          <w:iCs w:val="1"/>
          <w:color w:val="auto"/>
        </w:rPr>
        <w:t>Clover Health</w:t>
      </w:r>
      <w:r>
        <w:rPr>
          <w:rFonts w:ascii="Times New Roman" w:cs="Times New Roman" w:eastAsia="Times New Roman" w:hAnsi="Times New Roman"/>
          <w:sz w:val="18"/>
          <w:szCs w:val="18"/>
          <w:color w:val="auto"/>
        </w:rPr>
        <w:t>”), granted Executive a restricted stock unit award under Clover Health’s Amended and Restated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covering that number of shares of Clover Health’s common stock which represented one percent (1%) of the fully-diluted ownership of Clover Health as of immediately prior to the Closing of the Mergers (the “</w:t>
      </w:r>
      <w:r>
        <w:rPr>
          <w:rFonts w:ascii="Times New Roman" w:cs="Times New Roman" w:eastAsia="Times New Roman" w:hAnsi="Times New Roman"/>
          <w:sz w:val="18"/>
          <w:szCs w:val="18"/>
          <w:b w:val="1"/>
          <w:bCs w:val="1"/>
          <w:i w:val="1"/>
          <w:iCs w:val="1"/>
          <w:color w:val="auto"/>
        </w:rPr>
        <w:t>2014 Plan RSUs</w:t>
      </w:r>
      <w:r>
        <w:rPr>
          <w:rFonts w:ascii="Times New Roman" w:cs="Times New Roman" w:eastAsia="Times New Roman" w:hAnsi="Times New Roman"/>
          <w:sz w:val="18"/>
          <w:szCs w:val="18"/>
          <w:color w:val="auto"/>
        </w:rPr>
        <w:t xml:space="preserve">”). The 2014 Plan RSUs will vest by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following two requirements:</w:t>
      </w:r>
    </w:p>
    <w:p>
      <w:pPr>
        <w:spacing w:after="0" w:line="71" w:lineRule="exact"/>
        <w:rPr>
          <w:rFonts w:ascii="Times New Roman" w:cs="Times New Roman" w:eastAsia="Times New Roman" w:hAnsi="Times New Roman"/>
          <w:sz w:val="18"/>
          <w:szCs w:val="18"/>
          <w:color w:val="auto"/>
        </w:rPr>
      </w:pPr>
    </w:p>
    <w:p>
      <w:pPr>
        <w:jc w:val="both"/>
        <w:ind w:right="100" w:firstLine="1979"/>
        <w:spacing w:after="0" w:line="268" w:lineRule="auto"/>
        <w:tabs>
          <w:tab w:leader="none" w:pos="2277"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Requirement</w:t>
      </w:r>
      <w:r>
        <w:rPr>
          <w:rFonts w:ascii="Times New Roman" w:cs="Times New Roman" w:eastAsia="Times New Roman" w:hAnsi="Times New Roman"/>
          <w:sz w:val="18"/>
          <w:szCs w:val="18"/>
          <w:color w:val="auto"/>
        </w:rPr>
        <w:t>. Twenty percent (20%) of the 2014 Plan RSUs will vest on each of the first five (5) anniversaries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Closing Date (as defined in the Merger Agreement), subject to Executive’s providing continuous service to the Company or any affiliate through each service-based vesting date.</w:t>
      </w:r>
    </w:p>
    <w:p>
      <w:pPr>
        <w:spacing w:after="0" w:line="62" w:lineRule="exact"/>
        <w:rPr>
          <w:rFonts w:ascii="Times New Roman" w:cs="Times New Roman" w:eastAsia="Times New Roman" w:hAnsi="Times New Roman"/>
          <w:sz w:val="18"/>
          <w:szCs w:val="18"/>
          <w:color w:val="auto"/>
        </w:rPr>
      </w:pPr>
    </w:p>
    <w:p>
      <w:pPr>
        <w:ind w:right="280" w:firstLine="1979"/>
        <w:spacing w:after="0" w:line="268" w:lineRule="auto"/>
        <w:tabs>
          <w:tab w:leader="none" w:pos="2268"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Requirement</w:t>
      </w:r>
      <w:r>
        <w:rPr>
          <w:rFonts w:ascii="Times New Roman" w:cs="Times New Roman" w:eastAsia="Times New Roman" w:hAnsi="Times New Roman"/>
          <w:sz w:val="18"/>
          <w:szCs w:val="18"/>
          <w:color w:val="auto"/>
        </w:rPr>
        <w:t>. Measured beginning after the first anniversary of the Closing Date, the 2014 Plan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vest in full upon the Company’s volume-weighted average stock closing price for the Company’s Class A common stock reaching $20 for 90 consecutive calendar days; provided that such vesting occurs on or within 5 years of the Closing Date.</w:t>
      </w:r>
    </w:p>
    <w:p>
      <w:pPr>
        <w:spacing w:after="0" w:line="67"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The 2014 Plan RSUs shall settle as set forth in the applicable RSU award agreement. In addition, upon a Change in Control (as defined in the 2014 Plan), the 2014 Plan RSUs will vest in full as to its service requirement, and if the per share value in the Change in Control equals or exceeds $20, the award will also vest in full as to the performance requirement. Unless otherwise provided in Section 6 below, any portion of the 2014 Plan RSUs that is unvested at the consummation of the Change in Control will be forfeited.</w:t>
      </w:r>
    </w:p>
    <w:p>
      <w:pPr>
        <w:spacing w:after="0" w:line="72" w:lineRule="exact"/>
        <w:rPr>
          <w:sz w:val="20"/>
          <w:szCs w:val="20"/>
          <w:color w:val="auto"/>
        </w:rPr>
      </w:pPr>
    </w:p>
    <w:p>
      <w:pPr>
        <w:ind w:right="140" w:firstLine="1432"/>
        <w:spacing w:after="0" w:line="255" w:lineRule="auto"/>
        <w:rPr>
          <w:sz w:val="20"/>
          <w:szCs w:val="20"/>
          <w:color w:val="auto"/>
        </w:rPr>
      </w:pPr>
      <w:r>
        <w:rPr>
          <w:rFonts w:ascii="Times New Roman" w:cs="Times New Roman" w:eastAsia="Times New Roman" w:hAnsi="Times New Roman"/>
          <w:sz w:val="18"/>
          <w:szCs w:val="18"/>
          <w:color w:val="auto"/>
        </w:rPr>
        <w:t>The Company assumed the 2014 Plan RSUs in the Merger, and although the 2014 Plan will terminate as of the Closing of the Mergers, the terms and conditions of the applicable Notice of Restricted Stock Unit Grant and Restricted Stock Unit Agreement and the 2014 Plan will continue to govern the 2014 Plan RSUs. As of the Closing of the Mergers, the 2014 Plan RSUs will be converted to be denominated in shares of the Company’s Class B common stock in accordance with the Merger Agreement. The 2014 Plan RSUs are also subject to the terms of this Agreement, including the acceleration of their vesting in connection with Executive’s Involuntary Termination during a Change in Control Protection Period and in connection with Executive’s resignation for a certain Good Reason outside of the Change in Control Protection Period as defined and provided in Section 6 below.</w:t>
      </w:r>
    </w:p>
    <w:p>
      <w:pPr>
        <w:spacing w:after="0" w:line="77" w:lineRule="exact"/>
        <w:rPr>
          <w:sz w:val="20"/>
          <w:szCs w:val="20"/>
          <w:color w:val="auto"/>
        </w:rPr>
      </w:pPr>
    </w:p>
    <w:p>
      <w:pPr>
        <w:ind w:firstLine="1428"/>
        <w:spacing w:after="0" w:line="259" w:lineRule="auto"/>
        <w:tabs>
          <w:tab w:leader="none" w:pos="169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Management Incentive Plan RSUs</w:t>
      </w:r>
      <w:r>
        <w:rPr>
          <w:rFonts w:ascii="Times New Roman" w:cs="Times New Roman" w:eastAsia="Times New Roman" w:hAnsi="Times New Roman"/>
          <w:sz w:val="18"/>
          <w:szCs w:val="18"/>
          <w:color w:val="auto"/>
        </w:rPr>
        <w:t>. Executive will also receive a restricted stock unit award under the Company’s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Plan (the </w:t>
      </w:r>
      <w:r>
        <w:rPr>
          <w:rFonts w:ascii="Times New Roman" w:cs="Times New Roman" w:eastAsia="Times New Roman" w:hAnsi="Times New Roman"/>
          <w:sz w:val="18"/>
          <w:szCs w:val="18"/>
          <w:b w:val="1"/>
          <w:bCs w:val="1"/>
          <w:i w:val="1"/>
          <w:iCs w:val="1"/>
          <w:color w:val="auto"/>
        </w:rPr>
        <w:t>“Management Plan</w:t>
      </w:r>
      <w:r>
        <w:rPr>
          <w:rFonts w:ascii="Times New Roman" w:cs="Times New Roman" w:eastAsia="Times New Roman" w:hAnsi="Times New Roman"/>
          <w:sz w:val="18"/>
          <w:szCs w:val="18"/>
          <w:color w:val="auto"/>
        </w:rPr>
        <w:t>”) representing two percent (2%) of the number shares of all classes of common stock of the Company as of the Closing of the Mergers (the “</w:t>
      </w:r>
      <w:r>
        <w:rPr>
          <w:rFonts w:ascii="Times New Roman" w:cs="Times New Roman" w:eastAsia="Times New Roman" w:hAnsi="Times New Roman"/>
          <w:sz w:val="18"/>
          <w:szCs w:val="18"/>
          <w:b w:val="1"/>
          <w:bCs w:val="1"/>
          <w:i w:val="1"/>
          <w:iCs w:val="1"/>
          <w:color w:val="auto"/>
        </w:rPr>
        <w:t>Management Plan RSUs</w:t>
      </w:r>
      <w:r>
        <w:rPr>
          <w:rFonts w:ascii="Times New Roman" w:cs="Times New Roman" w:eastAsia="Times New Roman" w:hAnsi="Times New Roman"/>
          <w:sz w:val="18"/>
          <w:szCs w:val="18"/>
          <w:color w:val="auto"/>
        </w:rPr>
        <w:t xml:space="preserve">”). The Management Plan RSUs will be denominated in shares of the Company’s Class B common stock and will be granted effective as of the Closing of the Mergers. The Management Plan RSUs will vest by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following two requirements: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74" w:name="page275"/>
    <w:bookmarkEnd w:id="274"/>
    <w:p>
      <w:pPr>
        <w:ind w:left="2284" w:hanging="301"/>
        <w:spacing w:after="0"/>
        <w:tabs>
          <w:tab w:leader="none" w:pos="22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Requirement</w:t>
      </w:r>
      <w:r>
        <w:rPr>
          <w:rFonts w:ascii="Times New Roman" w:cs="Times New Roman" w:eastAsia="Times New Roman" w:hAnsi="Times New Roman"/>
          <w:sz w:val="18"/>
          <w:szCs w:val="18"/>
          <w:color w:val="auto"/>
        </w:rPr>
        <w:t>. Twenty percent (20%) of the Management Plan RSUs will vest on each of the first five</w:t>
      </w:r>
    </w:p>
    <w:p>
      <w:pPr>
        <w:spacing w:after="0" w:line="31" w:lineRule="exact"/>
        <w:rPr>
          <w:rFonts w:ascii="Times New Roman" w:cs="Times New Roman" w:eastAsia="Times New Roman" w:hAnsi="Times New Roman"/>
          <w:sz w:val="18"/>
          <w:szCs w:val="18"/>
          <w:color w:val="auto"/>
        </w:rPr>
      </w:pPr>
    </w:p>
    <w:p>
      <w:pPr>
        <w:ind w:left="4" w:right="240" w:hanging="4"/>
        <w:spacing w:after="0" w:line="260" w:lineRule="auto"/>
        <w:tabs>
          <w:tab w:leader="none" w:pos="2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anniversaries of the Closing Date, subject to Executive’s providing continuous service to the Company or any affiliate through each service-based vesting date.</w:t>
      </w:r>
    </w:p>
    <w:p>
      <w:pPr>
        <w:spacing w:after="0" w:line="69" w:lineRule="exact"/>
        <w:rPr>
          <w:rFonts w:ascii="Times New Roman" w:cs="Times New Roman" w:eastAsia="Times New Roman" w:hAnsi="Times New Roman"/>
          <w:sz w:val="18"/>
          <w:szCs w:val="18"/>
          <w:color w:val="auto"/>
        </w:rPr>
      </w:pPr>
    </w:p>
    <w:p>
      <w:pPr>
        <w:ind w:left="4" w:right="20" w:firstLine="1979"/>
        <w:spacing w:after="0" w:line="259" w:lineRule="auto"/>
        <w:tabs>
          <w:tab w:leader="none" w:pos="2272"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Requirement</w:t>
      </w:r>
      <w:r>
        <w:rPr>
          <w:rFonts w:ascii="Times New Roman" w:cs="Times New Roman" w:eastAsia="Times New Roman" w:hAnsi="Times New Roman"/>
          <w:sz w:val="18"/>
          <w:szCs w:val="18"/>
          <w:color w:val="auto"/>
        </w:rPr>
        <w:t>. Measured beginning after the first anniversary of the Closing Date,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Plan RSUs will vest upon the Company’s volume-weighted average stock closing price for the Company’s Class A common stock exceeding $25 for 90 consecutive calendar days, and the remaining 50% of the Management Plan RSUs will vest upon the Company’s volume-weighted average stock closing price for the Company’s Class A common stock exceeding $30 for 90 consecutive calendar days; provided all such vesting occurs on or within 5 years of the Closing Date.</w:t>
      </w:r>
    </w:p>
    <w:p>
      <w:pPr>
        <w:spacing w:after="0" w:line="75" w:lineRule="exact"/>
        <w:rPr>
          <w:sz w:val="20"/>
          <w:szCs w:val="20"/>
          <w:color w:val="auto"/>
        </w:rPr>
      </w:pPr>
    </w:p>
    <w:p>
      <w:pPr>
        <w:ind w:left="4" w:firstLine="1432"/>
        <w:spacing w:after="0" w:line="254" w:lineRule="auto"/>
        <w:rPr>
          <w:sz w:val="20"/>
          <w:szCs w:val="20"/>
          <w:color w:val="auto"/>
        </w:rPr>
      </w:pPr>
      <w:r>
        <w:rPr>
          <w:rFonts w:ascii="Times New Roman" w:cs="Times New Roman" w:eastAsia="Times New Roman" w:hAnsi="Times New Roman"/>
          <w:sz w:val="18"/>
          <w:szCs w:val="18"/>
          <w:color w:val="auto"/>
        </w:rPr>
        <w:t>The Management Plan RSUs shall settle as set forth in the applicable RSU award agreement. In addition, upon a Change in Control (as defined in the Management Plan), which does not include the Mergers), the Management Plan RSUs will vest in full as to its service requirement, and if the per share value in the Change in Control exceeds a required stock closing price under its performance requirement, the award will also vest as to the applicable portion of the performance requirement. Unless otherwise provided in Section 6 below, any portion of the Management Plan RSUs that is unvested at the consummation of the Change in Control will be forfeited. The Management Plan RSUs are also subject to the terms of this Agreement, including the acceleration of their vesting in connection with the Involuntary Termination of Executive during a Change in Control Protection Period and in connection with Executive’s resignation for a certain Good Reason outside of the Change in Control Protection Period, as defined and provided in Section 6 below.</w:t>
      </w:r>
    </w:p>
    <w:p>
      <w:pPr>
        <w:spacing w:after="0" w:line="80" w:lineRule="exact"/>
        <w:rPr>
          <w:sz w:val="20"/>
          <w:szCs w:val="20"/>
          <w:color w:val="auto"/>
        </w:rPr>
      </w:pPr>
    </w:p>
    <w:p>
      <w:pPr>
        <w:ind w:left="4" w:right="260" w:firstLine="1428"/>
        <w:spacing w:after="0" w:line="286" w:lineRule="auto"/>
        <w:tabs>
          <w:tab w:leader="none" w:pos="175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2020 Plan</w:t>
      </w:r>
      <w:r>
        <w:rPr>
          <w:rFonts w:ascii="Times New Roman" w:cs="Times New Roman" w:eastAsia="Times New Roman" w:hAnsi="Times New Roman"/>
          <w:sz w:val="18"/>
          <w:szCs w:val="18"/>
          <w:color w:val="auto"/>
        </w:rPr>
        <w:t>. Executive will be eligible for future equity awards under the Company’s 2020 Equity Incentive Plan (the “</w:t>
      </w:r>
      <w:r>
        <w:rPr>
          <w:rFonts w:ascii="Times New Roman" w:cs="Times New Roman" w:eastAsia="Times New Roman" w:hAnsi="Times New Roman"/>
          <w:sz w:val="18"/>
          <w:szCs w:val="18"/>
          <w:b w:val="1"/>
          <w:bCs w:val="1"/>
          <w:i w:val="1"/>
          <w:iCs w:val="1"/>
          <w:color w:val="auto"/>
        </w:rPr>
        <w:t>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determined in the sole discretion of the Board, the Committee or the Delegate, as applicable.</w:t>
      </w:r>
    </w:p>
    <w:p>
      <w:pPr>
        <w:spacing w:after="0" w:line="46" w:lineRule="exact"/>
        <w:rPr>
          <w:rFonts w:ascii="Times New Roman" w:cs="Times New Roman" w:eastAsia="Times New Roman" w:hAnsi="Times New Roman"/>
          <w:sz w:val="18"/>
          <w:szCs w:val="18"/>
          <w:color w:val="auto"/>
        </w:rPr>
      </w:pPr>
    </w:p>
    <w:p>
      <w:pPr>
        <w:ind w:left="4" w:right="300" w:firstLine="1428"/>
        <w:spacing w:after="0" w:line="286" w:lineRule="auto"/>
        <w:tabs>
          <w:tab w:leader="none" w:pos="174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2020 Option Acceleration</w:t>
      </w:r>
      <w:r>
        <w:rPr>
          <w:rFonts w:ascii="Times New Roman" w:cs="Times New Roman" w:eastAsia="Times New Roman" w:hAnsi="Times New Roman"/>
          <w:sz w:val="18"/>
          <w:szCs w:val="18"/>
          <w:color w:val="auto"/>
        </w:rPr>
        <w:t>. Effective as of the Closing of the Mergers, the 1,774,408 options subject to option grant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ES-1015 with a grant date of February 4, 2020 will vest in full.</w:t>
      </w:r>
    </w:p>
    <w:p>
      <w:pPr>
        <w:spacing w:after="0" w:line="46" w:lineRule="exact"/>
        <w:rPr>
          <w:rFonts w:ascii="Times New Roman" w:cs="Times New Roman" w:eastAsia="Times New Roman" w:hAnsi="Times New Roman"/>
          <w:sz w:val="18"/>
          <w:szCs w:val="18"/>
          <w:color w:val="auto"/>
        </w:rPr>
      </w:pPr>
    </w:p>
    <w:p>
      <w:pPr>
        <w:ind w:left="4" w:right="140" w:firstLine="1428"/>
        <w:spacing w:after="0" w:line="268" w:lineRule="auto"/>
        <w:tabs>
          <w:tab w:leader="none" w:pos="169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Restrictions</w:t>
      </w:r>
      <w:r>
        <w:rPr>
          <w:rFonts w:ascii="Times New Roman" w:cs="Times New Roman" w:eastAsia="Times New Roman" w:hAnsi="Times New Roman"/>
          <w:sz w:val="18"/>
          <w:szCs w:val="18"/>
          <w:color w:val="auto"/>
        </w:rPr>
        <w:t>. Any Family Transfer (as defined below) of shares issued or issuable upon exercise of options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RSUs held by Executive shall be exempt from any transfer restrictions thereon, including but not limited to lockups, rights of first refusal or rights of co-sale, provided, however, that any such Family Transfer shall be made in accordance with the Company’s Insider Trading Policy</w:t>
      </w:r>
    </w:p>
    <w:p>
      <w:pPr>
        <w:spacing w:after="0" w:line="62" w:lineRule="exact"/>
        <w:rPr>
          <w:rFonts w:ascii="Times New Roman" w:cs="Times New Roman" w:eastAsia="Times New Roman" w:hAnsi="Times New Roman"/>
          <w:sz w:val="18"/>
          <w:szCs w:val="18"/>
          <w:color w:val="auto"/>
        </w:rPr>
      </w:pPr>
    </w:p>
    <w:p>
      <w:pPr>
        <w:ind w:left="4" w:right="60" w:firstLine="436"/>
        <w:spacing w:after="0" w:line="259" w:lineRule="auto"/>
        <w:tabs>
          <w:tab w:leader="none" w:pos="62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Executive shall be eligible to (a) receive paid time off (“</w:t>
      </w:r>
      <w:r>
        <w:rPr>
          <w:rFonts w:ascii="Times New Roman" w:cs="Times New Roman" w:eastAsia="Times New Roman" w:hAnsi="Times New Roman"/>
          <w:sz w:val="18"/>
          <w:szCs w:val="18"/>
          <w:b w:val="1"/>
          <w:bCs w:val="1"/>
          <w:i w:val="1"/>
          <w:iCs w:val="1"/>
          <w:color w:val="auto"/>
        </w:rPr>
        <w:t>PTO</w:t>
      </w:r>
      <w:r>
        <w:rPr>
          <w:rFonts w:ascii="Times New Roman" w:cs="Times New Roman" w:eastAsia="Times New Roman" w:hAnsi="Times New Roman"/>
          <w:sz w:val="18"/>
          <w:szCs w:val="18"/>
          <w:color w:val="auto"/>
        </w:rPr>
        <w:t>”)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75" w:name="page276"/>
    <w:bookmarkEnd w:id="275"/>
    <w:p>
      <w:pPr>
        <w:ind w:left="4" w:firstLine="436"/>
        <w:spacing w:after="0" w:line="268" w:lineRule="auto"/>
        <w:tabs>
          <w:tab w:leader="none" w:pos="62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reimburse Executive for necessary and reasonable business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duties hereunder upon presentation of an itemized account and appropriate supporting documentation, all in accordance with the Company’s generally applicable expense reimbursement policies as in effect from to time.</w:t>
      </w:r>
    </w:p>
    <w:p>
      <w:pPr>
        <w:spacing w:after="0" w:line="62"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Upon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provided in Section 6, upon the termination of Executive’s Employment, for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spacing w:after="0" w:line="76"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Benefits.</w:t>
      </w:r>
    </w:p>
    <w:p>
      <w:pPr>
        <w:spacing w:after="0" w:line="117" w:lineRule="exact"/>
        <w:rPr>
          <w:rFonts w:ascii="Times New Roman" w:cs="Times New Roman" w:eastAsia="Times New Roman" w:hAnsi="Times New Roman"/>
          <w:sz w:val="18"/>
          <w:szCs w:val="18"/>
          <w:color w:val="auto"/>
        </w:rPr>
      </w:pPr>
    </w:p>
    <w:p>
      <w:pPr>
        <w:ind w:left="4" w:right="440" w:firstLine="987"/>
        <w:spacing w:after="0" w:line="278" w:lineRule="auto"/>
        <w:tabs>
          <w:tab w:leader="none" w:pos="1240" w:val="left"/>
        </w:tabs>
        <w:numPr>
          <w:ilvl w:val="2"/>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Involuntary Termination Outside of Change in Control Protection Period</w:t>
      </w:r>
      <w:r>
        <w:rPr>
          <w:rFonts w:ascii="Times New Roman" w:cs="Times New Roman" w:eastAsia="Times New Roman" w:hAnsi="Times New Roman"/>
          <w:sz w:val="17"/>
          <w:szCs w:val="17"/>
          <w:color w:val="auto"/>
        </w:rPr>
        <w:t>. If (i) the Company (or any parent, subsidiary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 of the Company) terminates Executive’s service to the Company for a reason other than (A) Cause, (B) Executive becoming Disabled or</w:t>
      </w:r>
    </w:p>
    <w:p>
      <w:pPr>
        <w:spacing w:after="0" w:line="1" w:lineRule="exact"/>
        <w:rPr>
          <w:rFonts w:ascii="Times New Roman" w:cs="Times New Roman" w:eastAsia="Times New Roman" w:hAnsi="Times New Roman"/>
          <w:sz w:val="17"/>
          <w:szCs w:val="17"/>
          <w:color w:val="auto"/>
        </w:rPr>
      </w:pPr>
    </w:p>
    <w:p>
      <w:pPr>
        <w:ind w:left="4" w:hanging="4"/>
        <w:spacing w:after="0" w:line="255" w:lineRule="auto"/>
        <w:tabs>
          <w:tab w:leader="none" w:pos="28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death; or (ii) if Executive resigns from service to the Company for Good Reason (each, an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in each case occurring outside of the Change in Control Protection Period, then, subject to Section 7 (other than with respect to the Accrued Benefits), Executive will be entitled to the following:</w:t>
      </w:r>
    </w:p>
    <w:p>
      <w:pPr>
        <w:spacing w:after="0" w:line="73"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Accrued Compensation</w:t>
      </w:r>
      <w:r>
        <w:rPr>
          <w:rFonts w:ascii="Times New Roman" w:cs="Times New Roman" w:eastAsia="Times New Roman" w:hAnsi="Times New Roman"/>
          <w:sz w:val="18"/>
          <w:szCs w:val="18"/>
          <w:color w:val="auto"/>
        </w:rPr>
        <w:t>. The Company will pay Executive all Accrued Benefits.</w:t>
      </w:r>
    </w:p>
    <w:p>
      <w:pPr>
        <w:spacing w:after="0" w:line="117" w:lineRule="exact"/>
        <w:rPr>
          <w:rFonts w:ascii="Times New Roman" w:cs="Times New Roman" w:eastAsia="Times New Roman" w:hAnsi="Times New Roman"/>
          <w:sz w:val="18"/>
          <w:szCs w:val="18"/>
          <w:color w:val="auto"/>
        </w:rPr>
      </w:pPr>
    </w:p>
    <w:p>
      <w:pPr>
        <w:ind w:left="4" w:firstLine="1428"/>
        <w:spacing w:after="0" w:line="257" w:lineRule="auto"/>
        <w:tabs>
          <w:tab w:leader="none" w:pos="1701"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Payment</w:t>
      </w:r>
      <w:r>
        <w:rPr>
          <w:rFonts w:ascii="Times New Roman" w:cs="Times New Roman" w:eastAsia="Times New Roman" w:hAnsi="Times New Roman"/>
          <w:sz w:val="18"/>
          <w:szCs w:val="18"/>
          <w:color w:val="auto"/>
        </w:rPr>
        <w:t>. In exchange for Executive timely signing and not revoking the Release in accordance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 and in this Agreement, Executive will receive semi-monthly continuing payments of severance pay at a rate equal to Executive’s Base Salary, as then in effect, for twelve (12) months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spacing w:after="0" w:line="74" w:lineRule="exact"/>
        <w:rPr>
          <w:rFonts w:ascii="Times New Roman" w:cs="Times New Roman" w:eastAsia="Times New Roman" w:hAnsi="Times New Roman"/>
          <w:sz w:val="18"/>
          <w:szCs w:val="18"/>
          <w:color w:val="auto"/>
        </w:rPr>
      </w:pPr>
    </w:p>
    <w:p>
      <w:pPr>
        <w:ind w:left="4" w:right="180" w:firstLine="1428"/>
        <w:spacing w:after="0" w:line="268" w:lineRule="auto"/>
        <w:tabs>
          <w:tab w:leader="none" w:pos="1751" w:val="left"/>
        </w:tabs>
        <w:numPr>
          <w:ilvl w:val="3"/>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Continued Employee Benefits</w:t>
      </w:r>
      <w:r>
        <w:rPr>
          <w:rFonts w:ascii="Times New Roman" w:cs="Times New Roman" w:eastAsia="Times New Roman" w:hAnsi="Times New Roman"/>
          <w:sz w:val="18"/>
          <w:szCs w:val="18"/>
          <w:color w:val="auto"/>
        </w:rPr>
        <w:t>. If Executive elects continuation coverage pursuant to the Consolidated Omnibus Budget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for Executive and Executive’s eligible dependents, within the time period prescribed pursuant to COBRA, the Company will reimburse Executive for the COBRA premiums for such</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276" w:name="page277"/>
    <w:bookmarkEnd w:id="27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71" w:lineRule="exact"/>
        <w:rPr>
          <w:sz w:val="20"/>
          <w:szCs w:val="20"/>
          <w:color w:val="auto"/>
        </w:rPr>
      </w:pPr>
    </w:p>
    <w:p>
      <w:pPr>
        <w:ind w:right="240" w:firstLine="1428"/>
        <w:spacing w:after="0" w:line="286" w:lineRule="auto"/>
        <w:tabs>
          <w:tab w:leader="none" w:pos="173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w:t>
      </w:r>
      <w:r>
        <w:rPr>
          <w:rFonts w:ascii="Times New Roman" w:cs="Times New Roman" w:eastAsia="Times New Roman" w:hAnsi="Times New Roman"/>
          <w:sz w:val="18"/>
          <w:szCs w:val="18"/>
          <w:color w:val="auto"/>
        </w:rPr>
        <w:t>. If Executive resigns from service to the Company for the Good Reason set forth in Section 8(g)(i), all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and outstanding equity awards of the Company shall vest in full.</w:t>
      </w:r>
    </w:p>
    <w:p>
      <w:pPr>
        <w:spacing w:after="0" w:line="46" w:lineRule="exact"/>
        <w:rPr>
          <w:rFonts w:ascii="Times New Roman" w:cs="Times New Roman" w:eastAsia="Times New Roman" w:hAnsi="Times New Roman"/>
          <w:sz w:val="18"/>
          <w:szCs w:val="18"/>
          <w:color w:val="auto"/>
        </w:rPr>
      </w:pPr>
    </w:p>
    <w:p>
      <w:pPr>
        <w:ind w:right="120" w:firstLine="987"/>
        <w:spacing w:after="0" w:line="268" w:lineRule="auto"/>
        <w:tabs>
          <w:tab w:leader="none" w:pos="124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Involuntary Termination Within the Change in Control Protection Period</w:t>
      </w:r>
      <w:r>
        <w:rPr>
          <w:rFonts w:ascii="Times New Roman" w:cs="Times New Roman" w:eastAsia="Times New Roman" w:hAnsi="Times New Roman"/>
          <w:sz w:val="18"/>
          <w:szCs w:val="18"/>
          <w:color w:val="auto"/>
        </w:rPr>
        <w:t>. If, during the Change in Control Protection Period,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 occurs, then, subject to Section 7 (other than with respect to the Accrued Benefits), Executive will receive the following severance benefits from the Company in lieu of the benefits described in Section 6(a) above:</w:t>
      </w:r>
    </w:p>
    <w:p>
      <w:pPr>
        <w:spacing w:after="0" w:line="62"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Accrued Compensation</w:t>
      </w:r>
      <w:r>
        <w:rPr>
          <w:rFonts w:ascii="Times New Roman" w:cs="Times New Roman" w:eastAsia="Times New Roman" w:hAnsi="Times New Roman"/>
          <w:sz w:val="18"/>
          <w:szCs w:val="18"/>
          <w:color w:val="auto"/>
        </w:rPr>
        <w:t>. The Company will pay Executive all Accrued Benefits.</w:t>
      </w:r>
    </w:p>
    <w:p>
      <w:pPr>
        <w:spacing w:after="0" w:line="117" w:lineRule="exact"/>
        <w:rPr>
          <w:rFonts w:ascii="Times New Roman" w:cs="Times New Roman" w:eastAsia="Times New Roman" w:hAnsi="Times New Roman"/>
          <w:sz w:val="18"/>
          <w:szCs w:val="18"/>
          <w:color w:val="auto"/>
        </w:rPr>
      </w:pPr>
    </w:p>
    <w:p>
      <w:pPr>
        <w:ind w:right="80" w:firstLine="1428"/>
        <w:spacing w:after="0" w:line="259" w:lineRule="auto"/>
        <w:tabs>
          <w:tab w:leader="none" w:pos="169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 Payment</w:t>
      </w:r>
      <w:r>
        <w:rPr>
          <w:rFonts w:ascii="Times New Roman" w:cs="Times New Roman" w:eastAsia="Times New Roman" w:hAnsi="Times New Roman"/>
          <w:sz w:val="18"/>
          <w:szCs w:val="18"/>
          <w:color w:val="auto"/>
        </w:rPr>
        <w:t>. In exchange for Executive timely signing and not revoking the Release in accordance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 and in this Agreement, Executive will receive a lump sum severance payment equal to 18 months (the “</w:t>
      </w:r>
      <w:r>
        <w:rPr>
          <w:rFonts w:ascii="Times New Roman" w:cs="Times New Roman" w:eastAsia="Times New Roman" w:hAnsi="Times New Roman"/>
          <w:sz w:val="18"/>
          <w:szCs w:val="18"/>
          <w:b w:val="1"/>
          <w:bCs w:val="1"/>
          <w:i w:val="1"/>
          <w:iCs w:val="1"/>
          <w:color w:val="auto"/>
        </w:rPr>
        <w:t>CIC Severance Period</w:t>
      </w:r>
      <w:r>
        <w:rPr>
          <w:rFonts w:ascii="Times New Roman" w:cs="Times New Roman" w:eastAsia="Times New Roman" w:hAnsi="Times New Roman"/>
          <w:sz w:val="18"/>
          <w:szCs w:val="18"/>
          <w:color w:val="auto"/>
        </w:rPr>
        <w:t>”) of Executive’s Base Salary as in effect immediately prior to the date of Executive’s termination of employment, less all required tax withholdings and other applicable deductions, which will be paid in accordance with the Company’s regular payroll procedures, but no later than thirty (30) days following the Release Deadline.</w:t>
      </w:r>
    </w:p>
    <w:p>
      <w:pPr>
        <w:spacing w:after="0" w:line="71" w:lineRule="exact"/>
        <w:rPr>
          <w:rFonts w:ascii="Times New Roman" w:cs="Times New Roman" w:eastAsia="Times New Roman" w:hAnsi="Times New Roman"/>
          <w:sz w:val="18"/>
          <w:szCs w:val="18"/>
          <w:color w:val="auto"/>
        </w:rPr>
      </w:pPr>
    </w:p>
    <w:p>
      <w:pPr>
        <w:ind w:right="20" w:firstLine="1428"/>
        <w:spacing w:after="0" w:line="256" w:lineRule="auto"/>
        <w:tabs>
          <w:tab w:leader="none" w:pos="174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Continued Employee Benefits</w:t>
      </w:r>
      <w:r>
        <w:rPr>
          <w:rFonts w:ascii="Times New Roman" w:cs="Times New Roman" w:eastAsia="Times New Roman" w:hAnsi="Times New Roman"/>
          <w:sz w:val="18"/>
          <w:szCs w:val="18"/>
          <w:color w:val="auto"/>
        </w:rPr>
        <w:t>. If Executive elects continuation coverage pursuant to COBRA for Executive and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74" w:lineRule="exact"/>
        <w:rPr>
          <w:rFonts w:ascii="Times New Roman" w:cs="Times New Roman" w:eastAsia="Times New Roman" w:hAnsi="Times New Roman"/>
          <w:sz w:val="18"/>
          <w:szCs w:val="18"/>
          <w:color w:val="auto"/>
        </w:rPr>
      </w:pPr>
    </w:p>
    <w:p>
      <w:pPr>
        <w:ind w:firstLine="1428"/>
        <w:spacing w:after="0" w:line="268" w:lineRule="auto"/>
        <w:tabs>
          <w:tab w:leader="none" w:pos="173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w:t>
      </w:r>
      <w:r>
        <w:rPr>
          <w:rFonts w:ascii="Times New Roman" w:cs="Times New Roman" w:eastAsia="Times New Roman" w:hAnsi="Times New Roman"/>
          <w:sz w:val="18"/>
          <w:szCs w:val="18"/>
          <w:color w:val="auto"/>
        </w:rPr>
        <w:t>. All of Executive’s unvested and outstanding equity awards of the Company shall vest in full, contingent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Change in Control (as defined in this Agreement), but effective as of the earlier to occur of Executive’s Involuntary Termination or the Change in Control.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77" w:name="page278"/>
    <w:bookmarkEnd w:id="277"/>
    <w:p>
      <w:pPr>
        <w:ind w:right="20" w:firstLine="987"/>
        <w:spacing w:after="0" w:line="282" w:lineRule="auto"/>
        <w:tabs>
          <w:tab w:leader="none" w:pos="1236" w:val="left"/>
        </w:tabs>
        <w:numPr>
          <w:ilvl w:val="1"/>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Disability; Death; Voluntary Resignation; Termination for Cause</w:t>
      </w:r>
      <w:r>
        <w:rPr>
          <w:rFonts w:ascii="Times New Roman" w:cs="Times New Roman" w:eastAsia="Times New Roman" w:hAnsi="Times New Roman"/>
          <w:sz w:val="17"/>
          <w:szCs w:val="17"/>
          <w:color w:val="auto"/>
        </w:rPr>
        <w:t>. If Executive’s employment with the Company is terminated due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 Executive becoming Disabled or Executive’s death, (ii) Executive’s voluntary resignation (other than for Good Reason),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53" w:lineRule="exact"/>
        <w:rPr>
          <w:rFonts w:ascii="Times New Roman" w:cs="Times New Roman" w:eastAsia="Times New Roman" w:hAnsi="Times New Roman"/>
          <w:sz w:val="17"/>
          <w:szCs w:val="17"/>
          <w:color w:val="auto"/>
        </w:rPr>
      </w:pPr>
    </w:p>
    <w:p>
      <w:pPr>
        <w:jc w:val="both"/>
        <w:ind w:right="600" w:firstLine="987"/>
        <w:spacing w:after="0" w:line="268" w:lineRule="auto"/>
        <w:tabs>
          <w:tab w:leader="none" w:pos="124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Payments</w:t>
      </w:r>
      <w:r>
        <w:rPr>
          <w:rFonts w:ascii="Times New Roman" w:cs="Times New Roman" w:eastAsia="Times New Roman" w:hAnsi="Times New Roman"/>
          <w:sz w:val="18"/>
          <w:szCs w:val="18"/>
          <w:color w:val="auto"/>
        </w:rPr>
        <w:t>. Subject to any specific timing provisions in Section 6(a), 6(b), or 6(c), as applicable, or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 payment of the severance and benefits hereunder shall be made or commence to be made as soon as practicable following Executive’s termination of employment.</w:t>
      </w:r>
    </w:p>
    <w:p>
      <w:pPr>
        <w:spacing w:after="0" w:line="62"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Exclusive Remedy</w:t>
      </w:r>
      <w:r>
        <w:rPr>
          <w:rFonts w:ascii="Times New Roman" w:cs="Times New Roman" w:eastAsia="Times New Roman" w:hAnsi="Times New Roman"/>
          <w:sz w:val="18"/>
          <w:szCs w:val="18"/>
          <w:color w:val="auto"/>
        </w:rPr>
        <w:t>. In the event of a termination of Executive’s employment with the Company (or any parent, subsidiary or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spacing w:after="0" w:line="74" w:lineRule="exact"/>
        <w:rPr>
          <w:rFonts w:ascii="Times New Roman" w:cs="Times New Roman" w:eastAsia="Times New Roman" w:hAnsi="Times New Roman"/>
          <w:sz w:val="18"/>
          <w:szCs w:val="18"/>
          <w:color w:val="auto"/>
        </w:rPr>
      </w:pPr>
    </w:p>
    <w:p>
      <w:pPr>
        <w:ind w:right="100" w:firstLine="987"/>
        <w:spacing w:after="0" w:line="286" w:lineRule="auto"/>
        <w:tabs>
          <w:tab w:leader="none" w:pos="121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earnings that Executive may receive from any other source reduce any such payment.</w:t>
      </w:r>
    </w:p>
    <w:p>
      <w:pPr>
        <w:spacing w:after="0" w:line="4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Receipt of Severance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Claims Agreement</w:t>
      </w:r>
      <w:r>
        <w:rPr>
          <w:rFonts w:ascii="Times New Roman" w:cs="Times New Roman" w:eastAsia="Times New Roman" w:hAnsi="Times New Roman"/>
          <w:sz w:val="18"/>
          <w:szCs w:val="18"/>
          <w:color w:val="auto"/>
        </w:rPr>
        <w:t>. The receipt of any severance payments or benefits pursuant to Section 6 of this Agreement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signing and not revoking a separation agreement and release of claims in a form attached hereto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78" w:name="page279"/>
    <w:bookmarkEnd w:id="278"/>
    <w:p>
      <w:pPr>
        <w:ind w:left="4" w:right="180" w:firstLine="987"/>
        <w:spacing w:after="0" w:line="286" w:lineRule="auto"/>
        <w:tabs>
          <w:tab w:leader="none" w:pos="125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Agreement</w:t>
      </w:r>
      <w:r>
        <w:rPr>
          <w:rFonts w:ascii="Times New Roman" w:cs="Times New Roman" w:eastAsia="Times New Roman" w:hAnsi="Times New Roman"/>
          <w:sz w:val="18"/>
          <w:szCs w:val="18"/>
          <w:color w:val="auto"/>
        </w:rPr>
        <w:t>. Executive’s receipt of any payments or benefits under Section 6 will be subject to Executive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with the terms of the Confidentiality Agreement (as defined in Section 11 below).</w:t>
      </w:r>
    </w:p>
    <w:p>
      <w:pPr>
        <w:spacing w:after="0" w:line="4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right="80" w:firstLine="1428"/>
        <w:spacing w:after="0" w:line="253" w:lineRule="auto"/>
        <w:tabs>
          <w:tab w:leader="none" w:pos="1651"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1.409A-1(b)(9) will be payable until Executive has a “separation from service” within the meaning of Section 409A.</w:t>
      </w:r>
    </w:p>
    <w:p>
      <w:pPr>
        <w:spacing w:after="0" w:line="94" w:lineRule="exact"/>
        <w:rPr>
          <w:rFonts w:ascii="Times New Roman" w:cs="Times New Roman" w:eastAsia="Times New Roman" w:hAnsi="Times New Roman"/>
          <w:sz w:val="18"/>
          <w:szCs w:val="18"/>
          <w:color w:val="auto"/>
        </w:rPr>
      </w:pPr>
    </w:p>
    <w:p>
      <w:pPr>
        <w:ind w:left="4" w:firstLine="1428"/>
        <w:spacing w:after="0" w:line="274" w:lineRule="auto"/>
        <w:tabs>
          <w:tab w:leader="none" w:pos="1701" w:val="left"/>
        </w:tabs>
        <w:numPr>
          <w:ilvl w:val="2"/>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w:t>
      </w:r>
      <w:r>
        <w:rPr>
          <w:rFonts w:ascii="Times New Roman" w:cs="Times New Roman" w:eastAsia="Times New Roman" w:hAnsi="Times New Roman"/>
          <w:sz w:val="17"/>
          <w:szCs w:val="17"/>
          <w:b w:val="1"/>
          <w:bCs w:val="1"/>
          <w:i w:val="1"/>
          <w:iCs w:val="1"/>
          <w:color w:val="auto"/>
        </w:rPr>
        <w:t>specified employee</w:t>
      </w:r>
      <w:r>
        <w:rPr>
          <w:rFonts w:ascii="Times New Roman" w:cs="Times New Roman" w:eastAsia="Times New Roman" w:hAnsi="Times New Roman"/>
          <w:sz w:val="17"/>
          <w:szCs w:val="17"/>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w:t>
      </w:r>
    </w:p>
    <w:p>
      <w:pPr>
        <w:ind w:left="4" w:right="180" w:hanging="4"/>
        <w:spacing w:after="0" w:line="270" w:lineRule="auto"/>
        <w:tabs>
          <w:tab w:leader="none" w:pos="259"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66" w:lineRule="exact"/>
        <w:rPr>
          <w:rFonts w:ascii="Times New Roman" w:cs="Times New Roman" w:eastAsia="Times New Roman" w:hAnsi="Times New Roman"/>
          <w:sz w:val="17"/>
          <w:szCs w:val="17"/>
          <w:color w:val="auto"/>
        </w:rPr>
      </w:pPr>
    </w:p>
    <w:p>
      <w:pPr>
        <w:ind w:left="4" w:right="280" w:firstLine="1428"/>
        <w:spacing w:after="0" w:line="282" w:lineRule="auto"/>
        <w:tabs>
          <w:tab w:leader="none" w:pos="1751"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53"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741"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279" w:name="page280"/>
    <w:bookmarkEnd w:id="279"/>
    <w:p>
      <w:pPr>
        <w:ind w:right="20" w:firstLine="1428"/>
        <w:spacing w:after="0" w:line="258" w:lineRule="auto"/>
        <w:tabs>
          <w:tab w:leader="none" w:pos="1687"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75" w:lineRule="exact"/>
        <w:rPr>
          <w:rFonts w:ascii="Times New Roman" w:cs="Times New Roman" w:eastAsia="Times New Roman" w:hAnsi="Times New Roman"/>
          <w:sz w:val="18"/>
          <w:szCs w:val="18"/>
          <w:color w:val="auto"/>
        </w:rPr>
      </w:pPr>
    </w:p>
    <w:p>
      <w:pPr>
        <w:ind w:right="480" w:firstLine="1428"/>
        <w:spacing w:after="0" w:line="277" w:lineRule="auto"/>
        <w:tabs>
          <w:tab w:leader="none" w:pos="1737" w:val="left"/>
        </w:tabs>
        <w:numPr>
          <w:ilvl w:val="2"/>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55"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“Cause” means:</w:t>
      </w:r>
    </w:p>
    <w:p>
      <w:pPr>
        <w:spacing w:after="0" w:line="121" w:lineRule="exact"/>
        <w:rPr>
          <w:rFonts w:ascii="Times New Roman" w:cs="Times New Roman" w:eastAsia="Times New Roman" w:hAnsi="Times New Roman"/>
          <w:sz w:val="18"/>
          <w:szCs w:val="18"/>
          <w:color w:val="auto"/>
        </w:rPr>
      </w:pPr>
    </w:p>
    <w:p>
      <w:pPr>
        <w:ind w:right="20" w:firstLine="1428"/>
        <w:spacing w:after="0" w:line="282" w:lineRule="auto"/>
        <w:tabs>
          <w:tab w:leader="none" w:pos="1647"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gross negligence or willful misconduct in the performance of his or her duties and responsibilities to the Company or Executive’s violation of any written Company policy;</w:t>
      </w:r>
    </w:p>
    <w:p>
      <w:pPr>
        <w:spacing w:after="0" w:line="53" w:lineRule="exact"/>
        <w:rPr>
          <w:rFonts w:ascii="Times New Roman" w:cs="Times New Roman" w:eastAsia="Times New Roman" w:hAnsi="Times New Roman"/>
          <w:sz w:val="18"/>
          <w:szCs w:val="18"/>
          <w:color w:val="auto"/>
        </w:rPr>
      </w:pPr>
    </w:p>
    <w:p>
      <w:pPr>
        <w:ind w:right="160" w:firstLine="1428"/>
        <w:spacing w:after="0" w:line="282" w:lineRule="auto"/>
        <w:tabs>
          <w:tab w:leader="none" w:pos="1697"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5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conviction of, or pleading guilty or </w:t>
      </w:r>
      <w:r>
        <w:rPr>
          <w:rFonts w:ascii="Times New Roman" w:cs="Times New Roman" w:eastAsia="Times New Roman" w:hAnsi="Times New Roman"/>
          <w:sz w:val="18"/>
          <w:szCs w:val="18"/>
          <w:i w:val="1"/>
          <w:iCs w:val="1"/>
          <w:color w:val="auto"/>
        </w:rPr>
        <w:t>nolo contendre</w:t>
      </w:r>
      <w:r>
        <w:rPr>
          <w:rFonts w:ascii="Times New Roman" w:cs="Times New Roman" w:eastAsia="Times New Roman" w:hAnsi="Times New Roman"/>
          <w:sz w:val="18"/>
          <w:szCs w:val="18"/>
          <w:color w:val="auto"/>
        </w:rPr>
        <w:t xml:space="preserve"> to, any felony or a lesser crime involving dishonesty or moral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turpitude;</w:t>
      </w:r>
    </w:p>
    <w:p>
      <w:pPr>
        <w:spacing w:after="0" w:line="98" w:lineRule="exact"/>
        <w:rPr>
          <w:rFonts w:ascii="Times New Roman" w:cs="Times New Roman" w:eastAsia="Times New Roman" w:hAnsi="Times New Roman"/>
          <w:sz w:val="18"/>
          <w:szCs w:val="18"/>
          <w:color w:val="auto"/>
        </w:rPr>
      </w:pPr>
    </w:p>
    <w:p>
      <w:pPr>
        <w:ind w:firstLine="1428"/>
        <w:spacing w:after="0" w:line="282" w:lineRule="auto"/>
        <w:tabs>
          <w:tab w:leader="none" w:pos="1737"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unlawful use (including being under the influence) or possession of illegal drugs on the premises of the Company or while performing Executive’s duties and responsibilities for the Company</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687"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of his or her obligations under any written agreement or covenant with the Company.</w:t>
      </w:r>
    </w:p>
    <w:p>
      <w:pPr>
        <w:spacing w:after="0" w:line="11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“Change in Control” shall have the meaning ascribed to such term in the Equity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80" w:name="page281"/>
    <w:bookmarkEnd w:id="280"/>
    <w:p>
      <w:pPr>
        <w:ind w:left="-100" w:right="240" w:firstLine="987"/>
        <w:spacing w:after="0" w:line="286" w:lineRule="auto"/>
        <w:tabs>
          <w:tab w:leader="none" w:pos="113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in Control Protection Period</w:t>
      </w:r>
      <w:r>
        <w:rPr>
          <w:rFonts w:ascii="Times New Roman" w:cs="Times New Roman" w:eastAsia="Times New Roman" w:hAnsi="Times New Roman"/>
          <w:sz w:val="18"/>
          <w:szCs w:val="18"/>
          <w:color w:val="auto"/>
        </w:rPr>
        <w:t>. “Change in Control Protection Period” means the period beginning one month prior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twelve (12) months immediately following the consummation of a Change in Control.</w:t>
      </w:r>
    </w:p>
    <w:p>
      <w:pPr>
        <w:spacing w:after="0" w:line="46" w:lineRule="exact"/>
        <w:rPr>
          <w:rFonts w:ascii="Times New Roman" w:cs="Times New Roman" w:eastAsia="Times New Roman" w:hAnsi="Times New Roman"/>
          <w:sz w:val="18"/>
          <w:szCs w:val="18"/>
          <w:color w:val="auto"/>
        </w:rPr>
      </w:pPr>
    </w:p>
    <w:p>
      <w:pPr>
        <w:ind w:left="1140" w:hanging="253"/>
        <w:spacing w:after="0"/>
        <w:tabs>
          <w:tab w:leader="none" w:pos="11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“Code” means the Internal Revenue Code of 1986, as amended.</w:t>
      </w:r>
    </w:p>
    <w:p>
      <w:pPr>
        <w:spacing w:after="0" w:line="117" w:lineRule="exact"/>
        <w:rPr>
          <w:rFonts w:ascii="Times New Roman" w:cs="Times New Roman" w:eastAsia="Times New Roman" w:hAnsi="Times New Roman"/>
          <w:sz w:val="18"/>
          <w:szCs w:val="18"/>
          <w:color w:val="auto"/>
        </w:rPr>
      </w:pPr>
    </w:p>
    <w:p>
      <w:pPr>
        <w:jc w:val="both"/>
        <w:ind w:left="-100" w:right="240" w:firstLine="987"/>
        <w:spacing w:after="0" w:line="268" w:lineRule="auto"/>
        <w:tabs>
          <w:tab w:leader="none" w:pos="113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color w:val="auto"/>
        </w:rPr>
        <w:t>. “Disability” or “Disabled” means that Executive is unable to engage in any substantial gainful activity by reason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medically determinable physical or mental impairment which can be expected to result in death or which has lasted, or can be expected to last, for a continuous period of not less than one (1) year.</w:t>
      </w:r>
    </w:p>
    <w:p>
      <w:pPr>
        <w:spacing w:after="0" w:line="62" w:lineRule="exact"/>
        <w:rPr>
          <w:rFonts w:ascii="Times New Roman" w:cs="Times New Roman" w:eastAsia="Times New Roman" w:hAnsi="Times New Roman"/>
          <w:sz w:val="18"/>
          <w:szCs w:val="18"/>
          <w:color w:val="auto"/>
        </w:rPr>
      </w:pPr>
    </w:p>
    <w:p>
      <w:pPr>
        <w:ind w:left="-100" w:firstLine="987"/>
        <w:spacing w:after="0" w:line="259" w:lineRule="auto"/>
        <w:tabs>
          <w:tab w:leader="none" w:pos="111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Family Transfer</w:t>
      </w:r>
      <w:r>
        <w:rPr>
          <w:rFonts w:ascii="Times New Roman" w:cs="Times New Roman" w:eastAsia="Times New Roman" w:hAnsi="Times New Roman"/>
          <w:sz w:val="18"/>
          <w:szCs w:val="18"/>
          <w:color w:val="auto"/>
        </w:rPr>
        <w:t>. “Family Transfer” means a transfer either during Executive’s lifetime or on death by will or intestacy to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spouse (including, without limitation, any domestic partner or partner by virtue of same-sex marriage and/or civil union), child (natural or adopted), or any other direct lineal descendant of such Stockholder (or his or her spouse), parent or any other relative (all of the foregoing collectively referred to as “family members”), or any custodian or trustee of any trust, partnership, limited liability company or other entity for the benefit of, or the ownership interests of which are directly or indirectly owned wholly by or for the benefit of Executive and/or any such family members.</w:t>
      </w:r>
    </w:p>
    <w:p>
      <w:pPr>
        <w:spacing w:after="0" w:line="71" w:lineRule="exact"/>
        <w:rPr>
          <w:rFonts w:ascii="Times New Roman" w:cs="Times New Roman" w:eastAsia="Times New Roman" w:hAnsi="Times New Roman"/>
          <w:sz w:val="18"/>
          <w:szCs w:val="18"/>
          <w:color w:val="auto"/>
        </w:rPr>
      </w:pPr>
    </w:p>
    <w:p>
      <w:pPr>
        <w:ind w:left="-100" w:right="300" w:firstLine="987"/>
        <w:spacing w:after="0" w:line="286" w:lineRule="auto"/>
        <w:tabs>
          <w:tab w:leader="none" w:pos="114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“Good Reason” means Executive’s resignation or termination of employment within thirty (30) days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any cure period (discussed below) following the occurrence of one or more of the following without Executive’s consent:</w:t>
      </w:r>
    </w:p>
    <w:p>
      <w:pPr>
        <w:spacing w:after="0" w:line="50" w:lineRule="exact"/>
        <w:rPr>
          <w:rFonts w:ascii="Times New Roman" w:cs="Times New Roman" w:eastAsia="Times New Roman" w:hAnsi="Times New Roman"/>
          <w:sz w:val="18"/>
          <w:szCs w:val="18"/>
          <w:color w:val="auto"/>
        </w:rPr>
      </w:pPr>
    </w:p>
    <w:p>
      <w:pPr>
        <w:ind w:left="-100" w:right="260" w:firstLine="1428"/>
        <w:spacing w:after="0" w:line="282" w:lineRule="auto"/>
        <w:tabs>
          <w:tab w:leader="none" w:pos="154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promote or appoint Executive, in good faith, to Chief Executive Officer of the Company, immediately after the resignation or termination of Vivek Garipalli as Chief Executive Officer of the Company;</w:t>
      </w:r>
    </w:p>
    <w:p>
      <w:pPr>
        <w:spacing w:after="0" w:line="53" w:lineRule="exact"/>
        <w:rPr>
          <w:rFonts w:ascii="Times New Roman" w:cs="Times New Roman" w:eastAsia="Times New Roman" w:hAnsi="Times New Roman"/>
          <w:sz w:val="18"/>
          <w:szCs w:val="18"/>
          <w:color w:val="auto"/>
        </w:rPr>
      </w:pPr>
    </w:p>
    <w:p>
      <w:pPr>
        <w:ind w:left="-100" w:right="980" w:firstLine="1428"/>
        <w:spacing w:after="0" w:line="282" w:lineRule="auto"/>
        <w:tabs>
          <w:tab w:leader="none" w:pos="159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Executive’s duties, authority or responsibilities, relative to Executive’s duties, authority or responsibilities in effect immediately prior to such reduction;</w:t>
      </w:r>
    </w:p>
    <w:p>
      <w:pPr>
        <w:spacing w:after="0" w:line="53" w:lineRule="exact"/>
        <w:rPr>
          <w:rFonts w:ascii="Times New Roman" w:cs="Times New Roman" w:eastAsia="Times New Roman" w:hAnsi="Times New Roman"/>
          <w:sz w:val="18"/>
          <w:szCs w:val="18"/>
          <w:color w:val="auto"/>
        </w:rPr>
      </w:pPr>
    </w:p>
    <w:p>
      <w:pPr>
        <w:ind w:left="-100" w:right="300" w:firstLine="1428"/>
        <w:spacing w:after="0" w:line="282" w:lineRule="auto"/>
        <w:tabs>
          <w:tab w:leader="none" w:pos="164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title (unless to Chief Executive Officer following the resignation of Mr. Garipalli), which will include a title change related to an acquisition by a larger entity (for example, holding the same title but at a subsidiary of a larger company);</w:t>
      </w:r>
    </w:p>
    <w:p>
      <w:pPr>
        <w:spacing w:after="0" w:line="53" w:lineRule="exact"/>
        <w:rPr>
          <w:rFonts w:ascii="Times New Roman" w:cs="Times New Roman" w:eastAsia="Times New Roman" w:hAnsi="Times New Roman"/>
          <w:sz w:val="18"/>
          <w:szCs w:val="18"/>
          <w:color w:val="auto"/>
        </w:rPr>
      </w:pPr>
    </w:p>
    <w:p>
      <w:pPr>
        <w:ind w:left="-100" w:right="20" w:firstLine="1428"/>
        <w:spacing w:after="0" w:line="282" w:lineRule="auto"/>
        <w:tabs>
          <w:tab w:leader="none" w:pos="163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53" w:lineRule="exact"/>
        <w:rPr>
          <w:rFonts w:ascii="Times New Roman" w:cs="Times New Roman" w:eastAsia="Times New Roman" w:hAnsi="Times New Roman"/>
          <w:sz w:val="18"/>
          <w:szCs w:val="18"/>
          <w:color w:val="auto"/>
        </w:rPr>
      </w:pPr>
    </w:p>
    <w:p>
      <w:pPr>
        <w:ind w:left="-100" w:right="160" w:firstLine="1428"/>
        <w:spacing w:after="0" w:line="282" w:lineRule="auto"/>
        <w:tabs>
          <w:tab w:leader="none" w:pos="158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Executive to report to a work facility or location other than Executive’s home office or required business travel, with the location of Executive’s home office to be of Executive’s choosing; or</w:t>
      </w:r>
    </w:p>
    <w:p>
      <w:pPr>
        <w:spacing w:after="0" w:line="53" w:lineRule="exact"/>
        <w:rPr>
          <w:rFonts w:ascii="Times New Roman" w:cs="Times New Roman" w:eastAsia="Times New Roman" w:hAnsi="Times New Roman"/>
          <w:sz w:val="18"/>
          <w:szCs w:val="18"/>
          <w:color w:val="auto"/>
        </w:rPr>
      </w:pPr>
    </w:p>
    <w:p>
      <w:pPr>
        <w:ind w:left="1640" w:hanging="312"/>
        <w:spacing w:after="0"/>
        <w:tabs>
          <w:tab w:leader="none" w:pos="164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of a material provision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540" w:top="266" w:right="559" w:bottom="1440" w:gutter="0" w:footer="0" w:header="0"/>
        </w:sectPr>
      </w:pPr>
    </w:p>
    <w:bookmarkStart w:id="281" w:name="page282"/>
    <w:bookmarkEnd w:id="281"/>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spacing w:after="0" w:line="64" w:lineRule="exact"/>
        <w:rPr>
          <w:sz w:val="20"/>
          <w:szCs w:val="20"/>
          <w:color w:val="auto"/>
        </w:rPr>
      </w:pPr>
    </w:p>
    <w:p>
      <w:pPr>
        <w:ind w:left="4" w:right="40" w:firstLine="987"/>
        <w:spacing w:after="0" w:line="286" w:lineRule="auto"/>
        <w:tabs>
          <w:tab w:leader="none" w:pos="125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“Governmental Authority” means any federal, state, municipal, foreign or other government,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commission, board, bureau, agency or instrumentality, or any private or public court or tribunal.</w:t>
      </w:r>
    </w:p>
    <w:p>
      <w:pPr>
        <w:spacing w:after="0" w:line="46"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1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“Merger Agreement” means that certain Agreement and Plan of Merger by and among Social Capital Hedosophia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Corp. III, Asclepius Merger Sub Inc. and Clover Health Investments, Corp. dated October 5, 2020, of which Executive has a received copy and has reviewed.</w:t>
      </w:r>
    </w:p>
    <w:p>
      <w:pPr>
        <w:spacing w:after="0" w:line="62"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1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“Person” shall be construed in the broadest sense and means and includes any natural person, a partnership, a corporation,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a joint stock company, a limited liability company, a trust, a joint venture, an unincorporated organization and other entity or Governmental Authority.</w:t>
      </w:r>
    </w:p>
    <w:p>
      <w:pPr>
        <w:spacing w:after="0" w:line="62" w:lineRule="exact"/>
        <w:rPr>
          <w:rFonts w:ascii="Times New Roman" w:cs="Times New Roman" w:eastAsia="Times New Roman" w:hAnsi="Times New Roman"/>
          <w:sz w:val="18"/>
          <w:szCs w:val="18"/>
          <w:color w:val="auto"/>
        </w:rPr>
      </w:pPr>
    </w:p>
    <w:p>
      <w:pPr>
        <w:ind w:left="4" w:firstLine="987"/>
        <w:spacing w:after="0" w:line="286" w:lineRule="auto"/>
        <w:tabs>
          <w:tab w:leader="none" w:pos="125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“Section 409A” means Section 409A of the Code, and the final regulations and any guidance promulgated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state law equivalent.</w:t>
      </w:r>
    </w:p>
    <w:p>
      <w:pPr>
        <w:spacing w:after="0" w:line="46" w:lineRule="exact"/>
        <w:rPr>
          <w:rFonts w:ascii="Times New Roman" w:cs="Times New Roman" w:eastAsia="Times New Roman" w:hAnsi="Times New Roman"/>
          <w:sz w:val="18"/>
          <w:szCs w:val="18"/>
          <w:color w:val="auto"/>
        </w:rPr>
      </w:pPr>
    </w:p>
    <w:p>
      <w:pPr>
        <w:ind w:left="4" w:right="20" w:firstLine="987"/>
        <w:spacing w:after="0" w:line="259" w:lineRule="auto"/>
        <w:tabs>
          <w:tab w:leader="none" w:pos="121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Limit</w:t>
      </w:r>
      <w:r>
        <w:rPr>
          <w:rFonts w:ascii="Times New Roman" w:cs="Times New Roman" w:eastAsia="Times New Roman" w:hAnsi="Times New Roman"/>
          <w:sz w:val="18"/>
          <w:szCs w:val="18"/>
          <w:color w:val="auto"/>
        </w:rPr>
        <w:t>. “Section 409A Limit” shall mean two (2) times the lesser of: (i) Executive’s annualized compensation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rate of pay paid to Executive during Executive’s taxable year preceding Executive’s taxable year of his or her separation from service as determined under Treasury Regulation Section 1.409A-1(b)(9)(iii)(A)(1) and any Internal Revenue Service guidance issued with respect thereto; or</w:t>
      </w:r>
    </w:p>
    <w:p>
      <w:pPr>
        <w:ind w:left="4" w:right="620" w:hanging="4"/>
        <w:spacing w:after="0" w:line="260" w:lineRule="auto"/>
        <w:tabs>
          <w:tab w:leader="none" w:pos="26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that may be taken into account under a qualified plan pursuant to Section 401(a)(17) of the Code for the year in which Executive’s separation from service occurred.</w:t>
      </w:r>
    </w:p>
    <w:p>
      <w:pPr>
        <w:spacing w:after="0" w:line="6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Golden Parachute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any payment or benefit Executive would receive from the Company or otherwise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the optioned stock (“</w:t>
      </w:r>
      <w:r>
        <w:rPr>
          <w:rFonts w:ascii="Times New Roman" w:cs="Times New Roman" w:eastAsia="Times New Roman" w:hAnsi="Times New Roman"/>
          <w:sz w:val="18"/>
          <w:szCs w:val="18"/>
          <w:b w:val="1"/>
          <w:bCs w:val="1"/>
          <w:i w:val="1"/>
          <w:iCs w:val="1"/>
          <w:color w:val="auto"/>
        </w:rPr>
        <w:t>Underwater Options</w:t>
      </w:r>
      <w:r>
        <w:rPr>
          <w:rFonts w:ascii="Times New Roman" w:cs="Times New Roman" w:eastAsia="Times New Roman" w:hAnsi="Times New Roman"/>
          <w:sz w:val="18"/>
          <w:szCs w:val="18"/>
          <w:color w:val="auto"/>
        </w:rPr>
        <w:t>”) (ii) Full Credit Payments (as defined below) that are payable in cash, (iii) non-cash Full Credit Payments that are taxable, (iv) non-cash Full Credit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82" w:name="page283"/>
    <w:bookmarkEnd w:id="28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Times New Roman" w:cs="Times New Roman" w:eastAsia="Times New Roman" w:hAnsi="Times New Roman"/>
          <w:sz w:val="18"/>
          <w:szCs w:val="18"/>
          <w:b w:val="1"/>
          <w:bCs w:val="1"/>
          <w:i w:val="1"/>
          <w:iCs w:val="1"/>
          <w:color w:val="auto"/>
        </w:rPr>
        <w:t>Full Credit Payment</w:t>
      </w:r>
      <w:r>
        <w:rPr>
          <w:rFonts w:ascii="Times New Roman" w:cs="Times New Roman" w:eastAsia="Times New Roman" w:hAnsi="Times New Roman"/>
          <w:sz w:val="18"/>
          <w:szCs w:val="18"/>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Times New Roman" w:cs="Times New Roman" w:eastAsia="Times New Roman" w:hAnsi="Times New Roman"/>
          <w:sz w:val="18"/>
          <w:szCs w:val="18"/>
          <w:b w:val="1"/>
          <w:bCs w:val="1"/>
          <w:i w:val="1"/>
          <w:iCs w:val="1"/>
          <w:color w:val="auto"/>
        </w:rPr>
        <w:t>Partial Credit Payment</w:t>
      </w:r>
      <w:r>
        <w:rPr>
          <w:rFonts w:ascii="Times New Roman" w:cs="Times New Roman" w:eastAsia="Times New Roman" w:hAnsi="Times New Roman"/>
          <w:sz w:val="18"/>
          <w:szCs w:val="18"/>
          <w:color w:val="auto"/>
        </w:rPr>
        <w:t>” means any payment, distribution or benefit that is not a Full Credit Payment.</w:t>
      </w:r>
    </w:p>
    <w:p>
      <w:pPr>
        <w:spacing w:after="0" w:line="77" w:lineRule="exact"/>
        <w:rPr>
          <w:sz w:val="20"/>
          <w:szCs w:val="20"/>
          <w:color w:val="auto"/>
        </w:rPr>
      </w:pPr>
    </w:p>
    <w:p>
      <w:pPr>
        <w:ind w:right="20" w:firstLine="987"/>
        <w:spacing w:after="0" w:line="262" w:lineRule="auto"/>
        <w:tabs>
          <w:tab w:leader="none" w:pos="124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nationally recognized certified public accounting firm selected by the Company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72"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63"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To the fullest extent permitted by applicable law, Executive and the Company agree that any and all disputes, demands,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controversies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San Francisco, California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w:t>
      </w:r>
      <w:r>
        <w:rPr>
          <w:rFonts w:ascii="Times New Roman" w:cs="Times New Roman" w:eastAsia="Times New Roman" w:hAnsi="Times New Roman"/>
          <w:sz w:val="18"/>
          <w:szCs w:val="18"/>
          <w:b w:val="1"/>
          <w:bCs w:val="1"/>
          <w:i w:val="1"/>
          <w:iCs w:val="1"/>
          <w:color w:val="auto"/>
        </w:rPr>
        <w:t>Class Waiver</w:t>
      </w:r>
      <w:r>
        <w:rPr>
          <w:rFonts w:ascii="Times New Roman" w:cs="Times New Roman" w:eastAsia="Times New Roman" w:hAnsi="Times New Roman"/>
          <w:sz w:val="18"/>
          <w:szCs w:val="18"/>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83" w:name="page284"/>
    <w:bookmarkEnd w:id="283"/>
    <w:p>
      <w:pPr>
        <w:ind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parties agree that the arbitration shall be conducted by a single neutral arbitrator through JAMS in accordance with JAMS Employment Arbitration Rules and Procedures (available at </w:t>
      </w:r>
      <w:r>
        <w:rPr>
          <w:rFonts w:ascii="Times New Roman" w:cs="Times New Roman" w:eastAsia="Times New Roman" w:hAnsi="Times New Roman"/>
          <w:sz w:val="17"/>
          <w:szCs w:val="17"/>
          <w:u w:val="single" w:color="auto"/>
          <w:color w:val="auto"/>
        </w:rPr>
        <w:t>www.jamsadr.com/rules-employment-arbitration</w:t>
      </w:r>
      <w:r>
        <w:rPr>
          <w:rFonts w:ascii="Times New Roman" w:cs="Times New Roman" w:eastAsia="Times New Roman" w:hAnsi="Times New Roman"/>
          <w:sz w:val="17"/>
          <w:szCs w:val="17"/>
          <w:color w:val="auto"/>
        </w:rPr>
        <w:t>).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WAIVING ANY RIGHT TO HAVE A TRIAL BEFORE A COURT OR JURY OF ANY AND ALL CLAIMS SUBJECT TO ARBITRATION UNDER THIS ARBITRATION AGREEMENT.</w:t>
      </w:r>
    </w:p>
    <w:p>
      <w:pPr>
        <w:spacing w:after="0" w:line="69" w:lineRule="exact"/>
        <w:rPr>
          <w:sz w:val="20"/>
          <w:szCs w:val="20"/>
          <w:color w:val="auto"/>
        </w:rPr>
      </w:pPr>
    </w:p>
    <w:p>
      <w:pPr>
        <w:ind w:right="860" w:firstLine="436"/>
        <w:spacing w:after="0" w:line="286" w:lineRule="auto"/>
        <w:tabs>
          <w:tab w:leader="none" w:pos="70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Employee Covenants Agreement entered into by and between Executive and the Company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14, 2017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remains in full force and effect.</w:t>
      </w:r>
    </w:p>
    <w:p>
      <w:pPr>
        <w:spacing w:after="0" w:line="4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Pre-Employment Conditions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68" w:lineRule="auto"/>
        <w:tabs>
          <w:tab w:leader="none" w:pos="123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to Work</w:t>
      </w:r>
      <w:r>
        <w:rPr>
          <w:rFonts w:ascii="Times New Roman" w:cs="Times New Roman" w:eastAsia="Times New Roman" w:hAnsi="Times New Roman"/>
          <w:sz w:val="18"/>
          <w:szCs w:val="18"/>
          <w:color w:val="auto"/>
        </w:rPr>
        <w:t>. For purposes of federal immigration law, Executive will be required, if Executive has not already, to provide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documentary evidence of Executive’s identity and eligibility for employment in the United States. Such documentation must be provided to the Company within three (3) business days of the Effective Date, or our Employment relationship with Executive may be terminated.</w:t>
      </w:r>
    </w:p>
    <w:p>
      <w:pPr>
        <w:spacing w:after="0" w:line="62" w:lineRule="exact"/>
        <w:rPr>
          <w:rFonts w:ascii="Times New Roman" w:cs="Times New Roman" w:eastAsia="Times New Roman" w:hAnsi="Times New Roman"/>
          <w:sz w:val="18"/>
          <w:szCs w:val="18"/>
          <w:color w:val="auto"/>
        </w:rPr>
      </w:pPr>
    </w:p>
    <w:p>
      <w:pPr>
        <w:jc w:val="both"/>
        <w:ind w:firstLine="987"/>
        <w:spacing w:after="0" w:line="259" w:lineRule="auto"/>
        <w:tabs>
          <w:tab w:leader="none" w:pos="124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Verification of Information</w:t>
      </w:r>
      <w:r>
        <w:rPr>
          <w:rFonts w:ascii="Times New Roman" w:cs="Times New Roman" w:eastAsia="Times New Roman" w:hAnsi="Times New Roman"/>
          <w:sz w:val="18"/>
          <w:szCs w:val="18"/>
          <w:color w:val="auto"/>
        </w:rPr>
        <w:t>. This Agreement is also contingent upon the successful verification of the information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 Executive expressly releases the Company from any claim or cause of action arising out of the Company’s verification of such information.</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2" w:lineRule="auto"/>
        <w:tabs>
          <w:tab w:leader="none" w:pos="123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any successor (whether direct or indirect and whether by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merger, consolidation, liquidation or otherwise) to all or substantially all of the Company’s business and/or assets. For all purposes under this Agreement,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successor to the Company’s business or assets that become bound by this Agreement or any affiliate of any such successor that employs Executive.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84" w:name="page285"/>
    <w:bookmarkEnd w:id="284"/>
    <w:p>
      <w:pPr>
        <w:ind w:right="200" w:firstLine="987"/>
        <w:spacing w:after="0" w:line="286" w:lineRule="auto"/>
        <w:tabs>
          <w:tab w:leader="none" w:pos="12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of Executive’s rights hereunder shall inure to the benefit of, and be enforceable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pacing w:after="0" w:line="4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180" w:firstLine="987"/>
        <w:spacing w:after="0" w:line="268" w:lineRule="auto"/>
        <w:tabs>
          <w:tab w:leader="none" w:pos="123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indemnify Executive to the maximum extent permitted by applicable law and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right="60" w:firstLine="1428"/>
        <w:spacing w:after="0" w:line="259" w:lineRule="auto"/>
        <w:tabs>
          <w:tab w:leader="none" w:pos="1647"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shall be in writing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71" w:lineRule="exact"/>
        <w:rPr>
          <w:rFonts w:ascii="Times New Roman" w:cs="Times New Roman" w:eastAsia="Times New Roman" w:hAnsi="Times New Roman"/>
          <w:sz w:val="18"/>
          <w:szCs w:val="18"/>
          <w:color w:val="auto"/>
        </w:rPr>
      </w:pPr>
    </w:p>
    <w:p>
      <w:pPr>
        <w:ind w:firstLine="1428"/>
        <w:spacing w:after="0" w:line="272" w:lineRule="auto"/>
        <w:tabs>
          <w:tab w:leader="none" w:pos="1697" w:val="left"/>
        </w:tabs>
        <w:numPr>
          <w:ilvl w:val="2"/>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 of Termination</w:t>
      </w:r>
      <w:r>
        <w:rPr>
          <w:rFonts w:ascii="Times New Roman" w:cs="Times New Roman" w:eastAsia="Times New Roman" w:hAnsi="Times New Roman"/>
          <w:sz w:val="17"/>
          <w:szCs w:val="17"/>
          <w:color w:val="auto"/>
        </w:rPr>
        <w:t>. Any termination by the Company for Cause or by Executive for Good Reason will be communicated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notice of termination to the other party hereto given in accordance with Section 14(c)(i)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90 days advance written notice.</w:t>
      </w:r>
    </w:p>
    <w:p>
      <w:pPr>
        <w:spacing w:after="0" w:line="63" w:lineRule="exact"/>
        <w:rPr>
          <w:rFonts w:ascii="Times New Roman" w:cs="Times New Roman" w:eastAsia="Times New Roman" w:hAnsi="Times New Roman"/>
          <w:sz w:val="17"/>
          <w:szCs w:val="17"/>
          <w:color w:val="auto"/>
        </w:rPr>
      </w:pPr>
    </w:p>
    <w:p>
      <w:pPr>
        <w:ind w:right="40" w:firstLine="987"/>
        <w:spacing w:after="0" w:line="262" w:lineRule="auto"/>
        <w:tabs>
          <w:tab w:leader="none" w:pos="124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provision of this Agreement shall be modified, waived or discharged unless the modification,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285" w:name="page286"/>
    <w:bookmarkEnd w:id="285"/>
    <w:p>
      <w:pPr>
        <w:ind w:left="-20" w:right="40" w:firstLine="987"/>
        <w:spacing w:after="0" w:line="262" w:lineRule="auto"/>
        <w:tabs>
          <w:tab w:leader="none" w:pos="121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Confidentiality Agreement contain the entire understanding of the parties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hereof and supersede all other prior or contemporaneous discussions, understandings and agreements, whether oral or written, between them relating to the subject matter hereof, and as of the Effective Date, will supersede and replace in its entirety, the offer letter by and between Executive and Clover Health dated December 14, 2017.</w:t>
      </w:r>
    </w:p>
    <w:p>
      <w:pPr>
        <w:spacing w:after="0" w:line="68" w:lineRule="exact"/>
        <w:rPr>
          <w:rFonts w:ascii="Times New Roman" w:cs="Times New Roman" w:eastAsia="Times New Roman" w:hAnsi="Times New Roman"/>
          <w:sz w:val="18"/>
          <w:szCs w:val="18"/>
          <w:color w:val="auto"/>
        </w:rPr>
      </w:pPr>
    </w:p>
    <w:p>
      <w:pPr>
        <w:ind w:left="-20" w:firstLine="987"/>
        <w:spacing w:after="0" w:line="286" w:lineRule="auto"/>
        <w:tabs>
          <w:tab w:leader="none" w:pos="119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made under this Agreement shall be subject to reduction to reflect taxes or other deductions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withheld by law.</w:t>
      </w:r>
    </w:p>
    <w:p>
      <w:pPr>
        <w:spacing w:after="0" w:line="46"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2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 and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interpreted in accordance with the laws of the State of California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76" w:lineRule="exact"/>
        <w:rPr>
          <w:rFonts w:ascii="Times New Roman" w:cs="Times New Roman" w:eastAsia="Times New Roman" w:hAnsi="Times New Roman"/>
          <w:sz w:val="18"/>
          <w:szCs w:val="18"/>
          <w:color w:val="auto"/>
        </w:rPr>
      </w:pPr>
    </w:p>
    <w:p>
      <w:pPr>
        <w:ind w:left="-20" w:right="260" w:firstLine="987"/>
        <w:spacing w:after="0" w:line="268" w:lineRule="auto"/>
        <w:tabs>
          <w:tab w:leader="none" w:pos="122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of Executive’s rights and obligations hereunder are personal to Executive and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62" w:lineRule="exact"/>
        <w:rPr>
          <w:rFonts w:ascii="Times New Roman" w:cs="Times New Roman" w:eastAsia="Times New Roman" w:hAnsi="Times New Roman"/>
          <w:sz w:val="18"/>
          <w:szCs w:val="18"/>
          <w:color w:val="auto"/>
        </w:rPr>
      </w:pPr>
    </w:p>
    <w:p>
      <w:pPr>
        <w:ind w:left="-20" w:right="140" w:firstLine="987"/>
        <w:spacing w:after="0" w:line="268" w:lineRule="auto"/>
        <w:tabs>
          <w:tab w:leader="none" w:pos="118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attorney, has had sufficient time to, and has carefully read and fully understood all the provisions of this Agreement, and is knowingly and voluntarily entering into this Agreement.</w:t>
      </w:r>
    </w:p>
    <w:p>
      <w:pPr>
        <w:spacing w:after="0" w:line="62" w:lineRule="exact"/>
        <w:rPr>
          <w:rFonts w:ascii="Times New Roman" w:cs="Times New Roman" w:eastAsia="Times New Roman" w:hAnsi="Times New Roman"/>
          <w:sz w:val="18"/>
          <w:szCs w:val="18"/>
          <w:color w:val="auto"/>
        </w:rPr>
      </w:pPr>
    </w:p>
    <w:p>
      <w:pPr>
        <w:ind w:left="-20" w:right="340" w:firstLine="987"/>
        <w:spacing w:after="0" w:line="268" w:lineRule="auto"/>
        <w:tabs>
          <w:tab w:leader="none" w:pos="118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and the same instrument. Execution of a facsimile copy will have the same force and effect as execution of an original, and a facsimile signature will be deemed an original and valid signature.</w:t>
      </w:r>
    </w:p>
    <w:p>
      <w:pPr>
        <w:spacing w:after="0" w:line="62"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 its sole discretion, decide to deliver any documents or notices related to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6" w:right="459" w:bottom="1440" w:gutter="0" w:footer="0" w:header="0"/>
        </w:sectPr>
      </w:pPr>
    </w:p>
    <w:bookmarkStart w:id="286" w:name="page287"/>
    <w:bookmarkEnd w:id="28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Rachel 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Rachel 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TOY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Release of Claims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Employee Covenants Agreement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40"/>
          </w:cols>
          <w:pgMar w:left="440" w:top="270" w:right="719" w:bottom="1440" w:gutter="0" w:footer="0" w:header="0"/>
        </w:sectPr>
      </w:pPr>
    </w:p>
    <w:bookmarkStart w:id="287" w:name="page288"/>
    <w:bookmarkEnd w:id="2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Employment Agreement entered into by and between you and Clover Health Investments, Corp. dated December 31, 2020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you hereby enter into this Release of Claims (the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Any term not otherwise defined herein shall have the meaning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ascribed to it in the Employment Agreement.</w:t>
      </w:r>
    </w:p>
    <w:p>
      <w:pPr>
        <w:spacing w:after="0" w:line="99" w:lineRule="exact"/>
        <w:rPr>
          <w:sz w:val="20"/>
          <w:szCs w:val="20"/>
          <w:color w:val="auto"/>
        </w:rPr>
      </w:pPr>
    </w:p>
    <w:p>
      <w:pPr>
        <w:ind w:right="20" w:firstLine="436"/>
        <w:spacing w:after="0" w:line="252" w:lineRule="auto"/>
        <w:tabs>
          <w:tab w:leader="none" w:pos="6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In consideration for the severance described in the Employment Agreement, and for other good and valuable consideration, the sufficiency of which you hereby acknowledge, you hereby waive and release to the maximum extent permitted by applicable law any and all claims or causes of action, whether known or unknown, against the Company and/or its predecessors, successors, past or present subsidiaries, affiliated companies, investors, branches or related entities (collectively, including the Company, the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and/or the Entities’ respective past, present, or future insurers, officers, directors, agents, attorneys, employees, stockholders, assigns and employee benefit plans (collectively with the Entities,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with respect to any matter, including, without limitation, any matter related to your employment with the Company or the termination of that employment relationship. This waiver and release includes, without limitation, claims to wages, including overtime or minimum wages, bonuses, incentive compensation, equity compensation, vacation pay or any other compensation or benefits; any claims for failure to provide accurate itemized wage statements, failure to timely pay final pay or failure to provide meal or rest breaks; claims for any loss, cost, damage, or expense arising out of any dispute over the non-withholding or other tax treatment or employment classification, claims under the Employee Retirement Income Security Act (ERISA); claims for attorneys’ fees or costs; claims for penalties; any and all claims for stock, stock options or other equity securities of the Company;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protected basis, under Title VII of the Civil Rights Act of 1964, the Age Discrimination in Employment Act of 1967, the Older Workers Benefit Protection Act, the Americans with Disabilities Act, the California Fair Employment and Housing Act, California Family Rights Act, The New Parent Leave Act, or any other federal, state, or local law prohibiting discrimination, harassment and/or retaliation; and claims under the California Labor Code, the California Business and Professions Code, and all other federal, state and local laws, ordinances and regulations.</w:t>
      </w:r>
    </w:p>
    <w:p>
      <w:pPr>
        <w:spacing w:after="0" w:line="193"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 Released Parties, except as required by law. Nothing in this Release precludes you from participating in any investigation or proceeding before any government agency or body. However, while you may file a charge and participate in any such proceeding, by signing this Release, you waive any right to bring a lawsuit against the Released Parties and waive any right to any individual monetary recovery in any such proceeding or lawsuit. Nothing in this Release is intended to impede your ability to report possible securities law violations to the government, or to receive a monetary award from a government administered whistleblower-award program. You do not need the prior authorization of the Company to make any such reports or disclosures or to participate or cooperate in any governmental investigation, action or proceeding, and you are not required to notify the Company that you have made such reports and disclosures or have participated or cooperated in any governmental investigation, action or proceeding. Nothing in this Release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state legislature.</w:t>
      </w:r>
    </w:p>
    <w:p>
      <w:pPr>
        <w:sectPr>
          <w:pgSz w:w="11900" w:h="16838" w:orient="portrait"/>
          <w:cols w:equalWidth="0" w:num="1">
            <w:col w:w="11000"/>
          </w:cols>
          <w:pgMar w:left="440" w:top="266" w:right="459" w:bottom="1440" w:gutter="0" w:footer="0" w:header="0"/>
        </w:sectPr>
      </w:pPr>
    </w:p>
    <w:bookmarkStart w:id="288" w:name="page289"/>
    <w:bookmarkEnd w:id="28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waiver and release covers only those claims that arose prior to your execution of this Release. The waiver and release contained in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Release does not apply to (i) your indemnification rights under the Indemnification Agreement entered into by and between you and the Company dated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1, 2018 or any subsequent indemnification agreement entered into by and between you and the Company (such agreement,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and the Company’s internal governing documents, or (ii) any claim which, as a matter of law, cannot be released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private agreement. If any provision of the waiver and release contained in this Release is found to be unenforceable, it shall not affect the enforceability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remaining provisions and a court shall enforce all remaining provisions to the full extent permitted by law.</w:t>
      </w:r>
    </w:p>
    <w:p>
      <w:pPr>
        <w:spacing w:after="0" w:line="99" w:lineRule="exact"/>
        <w:rPr>
          <w:sz w:val="20"/>
          <w:szCs w:val="20"/>
          <w:color w:val="auto"/>
        </w:rPr>
      </w:pPr>
    </w:p>
    <w:p>
      <w:pPr>
        <w:ind w:left="4" w:firstLine="436"/>
        <w:spacing w:after="0" w:line="254" w:lineRule="auto"/>
        <w:tabs>
          <w:tab w:leader="none" w:pos="624"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ADEA Waiver</w:t>
      </w:r>
      <w:r>
        <w:rPr>
          <w:rFonts w:ascii="Times New Roman" w:cs="Times New Roman" w:eastAsia="Times New Roman" w:hAnsi="Times New Roman"/>
          <w:sz w:val="18"/>
          <w:szCs w:val="18"/>
          <w:color w:val="auto"/>
        </w:rPr>
        <w:t>. You acknowledge that you are knowingly and voluntarily waiving and releasing any rights you may have under the Federal Age Discrimination in Employment Act (“</w:t>
      </w:r>
      <w:r>
        <w:rPr>
          <w:rFonts w:ascii="Times New Roman" w:cs="Times New Roman" w:eastAsia="Times New Roman" w:hAnsi="Times New Roman"/>
          <w:sz w:val="18"/>
          <w:szCs w:val="18"/>
          <w:u w:val="single" w:color="auto"/>
          <w:color w:val="auto"/>
        </w:rPr>
        <w:t>ADEA Waiver</w:t>
      </w:r>
      <w:r>
        <w:rPr>
          <w:rFonts w:ascii="Times New Roman" w:cs="Times New Roman" w:eastAsia="Times New Roman" w:hAnsi="Times New Roman"/>
          <w:sz w:val="18"/>
          <w:szCs w:val="18"/>
          <w:color w:val="auto"/>
        </w:rPr>
        <w:t>”) and that the consideration given for the ADEA Waiver is in addition to anything of value to which you are already entitled. You further acknowledge that: (a) your ADEA Waiver does not apply to any claims that may arise after you sign this Release; (b) you should consult with an attorney prior to executing this Release; (c) you have 21 calendar days within which to consider this Release (although you may choose to execute Release earlier); (d) you have 7 calendar days following the execution of the Release to revoke this Release; and</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24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will not be effective until the eighth day after you sign this Release provided that you have not revoked it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You agree that any modifications, material or otherwise, made to this Release do not restart or affect in any manner the original 21-day consideration period provided in this section. To revoke the Release, you must email Gia Lee a written notice of revocation at gia.lee@cloverhealth.com, prior to the end of the 7-day period. You acknowledge that your consent to this Release is knowing and voluntary. The offer described in this Release will be automatically withdrawn if you do not sign the Release within the 21-day consideration period.</w:t>
      </w:r>
    </w:p>
    <w:p>
      <w:pPr>
        <w:spacing w:after="0" w:line="78"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24"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1542 Waiver</w:t>
      </w:r>
      <w:r>
        <w:rPr>
          <w:rFonts w:ascii="Times New Roman" w:cs="Times New Roman" w:eastAsia="Times New Roman" w:hAnsi="Times New Roman"/>
          <w:sz w:val="18"/>
          <w:szCs w:val="18"/>
          <w:color w:val="auto"/>
        </w:rPr>
        <w:t xml:space="preserve">. You understand and acknowledge that you are releasing potentially unknown claims, and that you may have limited knowledge with respect to some of the claims being released. You acknowledge that there is a risk that, after signing this Release, you may learn information that might have affected your decision to enter into this Release. You assume this risk and all other risks of any mistake in entering into this Release. You agree that this Release is fairly and knowingly made. In addition, you expressly waive and release any and all rights and benefits under Section 1542 of the </w:t>
      </w:r>
      <w:r>
        <w:rPr>
          <w:rFonts w:ascii="Times New Roman" w:cs="Times New Roman" w:eastAsia="Times New Roman" w:hAnsi="Times New Roman"/>
          <w:sz w:val="18"/>
          <w:szCs w:val="18"/>
          <w:i w:val="1"/>
          <w:iCs w:val="1"/>
          <w:color w:val="auto"/>
        </w:rPr>
        <w:t>Civil Code of the State of California</w:t>
      </w:r>
      <w:r>
        <w:rPr>
          <w:rFonts w:ascii="Times New Roman" w:cs="Times New Roman" w:eastAsia="Times New Roman" w:hAnsi="Times New Roman"/>
          <w:sz w:val="18"/>
          <w:szCs w:val="18"/>
          <w:color w:val="auto"/>
        </w:rPr>
        <w:t xml:space="preserve"> (or any analogous law of any other state), which reads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4776470</wp:posOffset>
            </wp:positionH>
            <wp:positionV relativeFrom="paragraph">
              <wp:posOffset>-1469390</wp:posOffset>
            </wp:positionV>
            <wp:extent cx="12249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7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You understand and agree that claims or facts in addition to or different from those which are now known or believed by you to exist may hereafter be discovered, but it is your intention to release all claims that you have or may have against the Released Parties, whether known or unknown, suspected or unsuspected.</w:t>
      </w:r>
    </w:p>
    <w:p>
      <w:pPr>
        <w:spacing w:after="0" w:line="68" w:lineRule="exact"/>
        <w:rPr>
          <w:sz w:val="20"/>
          <w:szCs w:val="20"/>
          <w:color w:val="auto"/>
        </w:rPr>
      </w:pPr>
    </w:p>
    <w:p>
      <w:pPr>
        <w:ind w:left="4" w:firstLine="436"/>
        <w:spacing w:after="0" w:line="282" w:lineRule="auto"/>
        <w:tabs>
          <w:tab w:leader="none" w:pos="6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In the event that you breach any of your obligations under this Release or as otherwise imposed by law, the Company will be entitled to recover all severance and other consideration paid or provided under this Release and to obtain all other relief provided by law or equity.</w:t>
      </w:r>
    </w:p>
    <w:p>
      <w:pPr>
        <w:sectPr>
          <w:pgSz w:w="11900" w:h="16838" w:orient="portrait"/>
          <w:cols w:equalWidth="0" w:num="1">
            <w:col w:w="10984"/>
          </w:cols>
          <w:pgMar w:left="436" w:top="270" w:right="479" w:bottom="1440" w:gutter="0" w:footer="0" w:header="0"/>
        </w:sectPr>
      </w:pPr>
    </w:p>
    <w:bookmarkStart w:id="289" w:name="page290"/>
    <w:bookmarkEnd w:id="289"/>
    <w:p>
      <w:pPr>
        <w:ind w:left="-436" w:firstLine="436"/>
        <w:spacing w:after="0" w:line="258"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Other Amounts/Benefits Owed</w:t>
      </w:r>
      <w:r>
        <w:rPr>
          <w:rFonts w:ascii="Times New Roman" w:cs="Times New Roman" w:eastAsia="Times New Roman" w:hAnsi="Times New Roman"/>
          <w:sz w:val="18"/>
          <w:szCs w:val="18"/>
          <w:color w:val="auto"/>
        </w:rPr>
        <w:t>. You acknowledge and agree that you have been paid for all of your services with the Company and you have not earned any wages, salary, incentive compensation, bonuses, commissions or similar payments or benefits or any other compensation or amounts that have not already been paid to you. You further agree that, prior to the execution of this Release, you were not entitled to receive any further payments or benefits from the Company, and the only payments and benefits that you are entitled to receive from the Company in the future are those specified in this Release.</w:t>
      </w:r>
    </w:p>
    <w:p>
      <w:pPr>
        <w:spacing w:after="0" w:line="75" w:lineRule="exact"/>
        <w:rPr>
          <w:rFonts w:ascii="Times New Roman" w:cs="Times New Roman" w:eastAsia="Times New Roman" w:hAnsi="Times New Roman"/>
          <w:sz w:val="18"/>
          <w:szCs w:val="18"/>
          <w:color w:val="auto"/>
        </w:rPr>
      </w:pPr>
    </w:p>
    <w:p>
      <w:pPr>
        <w:ind w:left="-436" w:right="620" w:firstLine="436"/>
        <w:spacing w:after="0" w:line="282"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w:t>
      </w:r>
      <w:r>
        <w:rPr>
          <w:rFonts w:ascii="Times New Roman" w:cs="Times New Roman" w:eastAsia="Times New Roman" w:hAnsi="Times New Roman"/>
          <w:sz w:val="18"/>
          <w:szCs w:val="18"/>
          <w:color w:val="auto"/>
        </w:rPr>
        <w:t>. You agree that you did not suffer an injury covered by workers’ compensation in the course and scope of your employment with Company</w:t>
      </w:r>
      <w:r>
        <w:rPr>
          <w:rFonts w:ascii="Times New Roman" w:cs="Times New Roman" w:eastAsia="Times New Roman" w:hAnsi="Times New Roman"/>
          <w:sz w:val="18"/>
          <w:szCs w:val="18"/>
          <w:u w:val="single" w:color="auto"/>
          <w:color w:val="auto"/>
        </w:rPr>
        <w:t>.</w:t>
      </w:r>
    </w:p>
    <w:p>
      <w:pPr>
        <w:spacing w:after="0" w:line="53" w:lineRule="exact"/>
        <w:rPr>
          <w:rFonts w:ascii="Times New Roman" w:cs="Times New Roman" w:eastAsia="Times New Roman" w:hAnsi="Times New Roman"/>
          <w:sz w:val="18"/>
          <w:szCs w:val="18"/>
          <w:color w:val="auto"/>
        </w:rPr>
      </w:pPr>
    </w:p>
    <w:p>
      <w:pPr>
        <w:ind w:left="-436" w:firstLine="436"/>
        <w:spacing w:after="0" w:line="252"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To ensure rapid and economical resolution of any disputes relating to this Release, you and the Company agree that any and all claims, disputes or controversies of any nature whatsoever arising out of, or relating to, this Release, or its interpretation, enforcement, breach, performance or execution, shall be resolved by final, binding and confidential arbitration before a single arbitrator in San Francisco, CA (or another mutually agreeable location) conducted under the Judicial Arbitration and Mediation Services (JAMS) Streamlined Arbitration Rules &amp; Procedures, which can be reviewed at </w:t>
      </w:r>
      <w:r>
        <w:rPr>
          <w:rFonts w:ascii="Times New Roman" w:cs="Times New Roman" w:eastAsia="Times New Roman" w:hAnsi="Times New Roman"/>
          <w:sz w:val="18"/>
          <w:szCs w:val="18"/>
          <w:u w:val="single" w:color="auto"/>
          <w:color w:val="auto"/>
        </w:rPr>
        <w:t>http://www.jamsadr.com/rules-streamlined-arbitration/</w:t>
      </w:r>
      <w:r>
        <w:rPr>
          <w:rFonts w:ascii="Times New Roman" w:cs="Times New Roman" w:eastAsia="Times New Roman" w:hAnsi="Times New Roman"/>
          <w:sz w:val="18"/>
          <w:szCs w:val="18"/>
          <w:color w:val="auto"/>
        </w:rPr>
        <w:t>.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whether the provisions of this paragraph apply to a dispute, controversy, or claim except as provided herein. The arbitrator may in his or her discretion award attorneys’ fees to the prevailing party. All claims, disputes, or controversies subject to arbitration as set forth in this paragraph must be submitted to arbitration on an individual basis and not as a representative, class and/or collective action proceeding on behalf of other individuals. Any issue concerning the validity of this representative, class and/or collective action waiver must be decided by a Court and if for any reason it is found to be unenforceable, the representative, class and/or collective action claim may only be heard in Court and may not be arbitrated. Claims will be governed by applicable statutes of limitations. This arbitration agreement does not cover any action seeking only emergency, temporary or preliminary injunctive relief (including a temporary restraining order) in a court of competent jurisdiction in accordance with applicable law. This arbitration agreement shall be construed and interpreted in accordance with the Federal Arbitration Act.</w:t>
      </w:r>
    </w:p>
    <w:p>
      <w:pPr>
        <w:spacing w:after="0" w:line="86"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You and the Company agree that except for the Confidentiality Agreement, the Indemnification Agreement, applicable equity documents and the Employment Agreement, and except as otherwise expressly provided in this Release, this Release renders null and void any and all prior or contemporaneous agreements between you and the Company or any affiliate of the Company. You and the Company agree that this Release and the Employment Agreement constitute the entire agreement between you and the Company and any affiliate of the Company regarding the subject matter of this Release, and that this Release may be modified only in a written document signed by you and a duly authorized officer of the Company.</w:t>
      </w:r>
    </w:p>
    <w:p>
      <w:pPr>
        <w:spacing w:after="0" w:line="79" w:lineRule="exact"/>
        <w:rPr>
          <w:rFonts w:ascii="Times New Roman" w:cs="Times New Roman" w:eastAsia="Times New Roman" w:hAnsi="Times New Roman"/>
          <w:sz w:val="18"/>
          <w:szCs w:val="18"/>
          <w:color w:val="auto"/>
        </w:rPr>
      </w:pPr>
    </w:p>
    <w:p>
      <w:pPr>
        <w:ind w:left="-436" w:right="80" w:firstLine="436"/>
        <w:spacing w:after="0" w:line="282" w:lineRule="auto"/>
        <w:tabs>
          <w:tab w:leader="none" w:pos="18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Except as to the Dispute Resolution section above, this Release shall be construed and interpreted in accordance with the laws of the State of California.</w:t>
      </w:r>
    </w:p>
    <w:p>
      <w:pPr>
        <w:spacing w:after="0" w:line="53" w:lineRule="exact"/>
        <w:rPr>
          <w:rFonts w:ascii="Times New Roman" w:cs="Times New Roman" w:eastAsia="Times New Roman" w:hAnsi="Times New Roman"/>
          <w:sz w:val="18"/>
          <w:szCs w:val="18"/>
          <w:color w:val="auto"/>
        </w:rPr>
      </w:pPr>
    </w:p>
    <w:p>
      <w:pPr>
        <w:ind w:left="-436" w:firstLine="436"/>
        <w:spacing w:after="0" w:line="258" w:lineRule="auto"/>
        <w:tabs>
          <w:tab w:leader="none" w:pos="27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ectPr>
          <w:pgSz w:w="11900" w:h="16838" w:orient="portrait"/>
          <w:cols w:equalWidth="0" w:num="1">
            <w:col w:w="10564"/>
          </w:cols>
          <w:pgMar w:left="876" w:top="270" w:right="459" w:bottom="1440" w:gutter="0" w:footer="0" w:header="0"/>
        </w:sectPr>
      </w:pPr>
    </w:p>
    <w:bookmarkStart w:id="290" w:name="page291"/>
    <w:bookmarkEnd w:id="290"/>
    <w:p>
      <w:pPr>
        <w:jc w:val="both"/>
        <w:ind w:left="-160" w:firstLine="436"/>
        <w:spacing w:after="0" w:line="266" w:lineRule="auto"/>
        <w:tabs>
          <w:tab w:leader="none" w:pos="54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You agree that this Release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680"/>
          </w:cols>
          <w:pgMar w:left="600" w:top="270" w:right="619" w:bottom="1440" w:gutter="0" w:footer="0" w:header="0"/>
        </w:sectPr>
      </w:pPr>
    </w:p>
    <w:bookmarkStart w:id="291" w:name="page292"/>
    <w:bookmarkEnd w:id="291"/>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accept this Release, please sign and date this Release and return it to me. You have until 5:00 p.m. PT on the date that is 21 days after your termination of employment (or Change in Control) to review and consider this Release and to provide me with an executed copy thereof (the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Please indicate your agreement with the above terms by signing below.</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 am pleased that we were able to part ways on these amicable terms. The Company and I wish you every success in your future endeavors.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My agreement with the terms of this Release is signified by my signature below and is voluntary, deliberate and informed. I acknowledge that this Agreement provides consideration of value to me and that I was free to consult an attorney before signing this Agreement. Furthermore, I acknowledge that I have read and understand this Release and that I sign this release of all claims voluntarily, with full appreciation that at no time in the future may I pursue any of the rights I have waived in this Release.</w:t>
      </w:r>
    </w:p>
    <w:p>
      <w:pPr>
        <w:spacing w:after="0" w:line="207"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-7620</wp:posOffset>
            </wp:positionV>
            <wp:extent cx="24561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2456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10280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Andrew Toy</w:t>
      </w:r>
    </w:p>
    <w:p>
      <w:pPr>
        <w:sectPr>
          <w:pgSz w:w="11900" w:h="16838" w:orient="portrait"/>
          <w:cols w:equalWidth="0" w:num="1">
            <w:col w:w="10940"/>
          </w:cols>
          <w:pgMar w:left="440" w:top="270" w:right="51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171450</wp:posOffset>
            </wp:positionV>
            <wp:extent cx="1611630" cy="4114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COVENANTS AGREEMENT</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 am about to become a paid employee of Clover Health Investments Corp. or its parent, subsidiary or affiliate (all, collectively, </w:t>
      </w:r>
      <w:r>
        <w:rPr>
          <w:rFonts w:ascii="Times New Roman" w:cs="Times New Roman" w:eastAsia="Times New Roman" w:hAnsi="Times New Roman"/>
          <w:sz w:val="18"/>
          <w:szCs w:val="18"/>
          <w:i w:val="1"/>
          <w:iCs w:val="1"/>
          <w:color w:val="auto"/>
        </w:rPr>
        <w:t>“Clover Health”),</w:t>
      </w:r>
      <w:r>
        <w:rPr>
          <w:rFonts w:ascii="Times New Roman" w:cs="Times New Roman" w:eastAsia="Times New Roman" w:hAnsi="Times New Roman"/>
          <w:sz w:val="18"/>
          <w:szCs w:val="18"/>
          <w:color w:val="auto"/>
        </w:rPr>
        <w:t xml:space="preserve"> having a place of business at 22 4th Street, 6th Floor, San Francisco, CA 94103 which, together with their respective officers, directors, employees, shareholders, members, partners, plan administrators, attorneys and agents, as well as any predecessors, future successors or assigns or estates of any of the foregoing, may be collectively referred to in this Covenants Agreement as,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I am making this Agreement in consideration of my employment by the Company and the other compensation and benefits afforded to me in connection with that employment.</w:t>
      </w:r>
    </w:p>
    <w:p>
      <w:pPr>
        <w:spacing w:after="0" w:line="77" w:lineRule="exact"/>
        <w:rPr>
          <w:sz w:val="20"/>
          <w:szCs w:val="20"/>
          <w:color w:val="auto"/>
        </w:rPr>
      </w:pPr>
    </w:p>
    <w:p>
      <w:pPr>
        <w:ind w:right="60" w:firstLine="436"/>
        <w:spacing w:after="0" w:line="252" w:lineRule="auto"/>
        <w:tabs>
          <w:tab w:leader="none" w:pos="6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While working for the Company, I may develop or acquire, or already have developed or acquired, knowledge in my work or from my colleagues or others of Confidential Information relating to the Company, its business, potential business or that of its customers or its or their respective affiliates.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xml:space="preserve"> includes all trade secrets, know-how, show-how, technical, operating, financial, and other business information and materials, whether or not reduced to writing or other medium and whether or not marked or labeled confidential, proprietary or the like, specifically including, but not limited to, information regarding source codes, software programs and applications in various stages of development, computer and information systems, data structures, data reporting methodologies, research and development, new materials research, logos, designs, graphics, writings or other materials, algorithms, formulae, works of authorship, techniques, discoveries, documentation, models and systems, sales and pricing plans, proposals, projections and techniques, profit margins, business and operational plans and strategies, procedures, inventions, products, improvements, modifications, methodology, processes, concepts, records, files, memoranda, reports, plans, proposals, price lists, pricing policies, pricing algorithms, vendor, customer and supplier lists, privacy and security practices, sales account plans, sales force activity information, acquisition, expansion, marketing financial and other business information and existing and future products and business plans of the Company, and actual and prospective customer and supplier information. Confidential Information also includes Protected Health Information as that term is defined under HIPAA and its related regulations. Confidential Information does not include general skills, experience or information that is generally available to the public, other than information, which has become generally available as a result of my direct or indirect act or omission.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Confidential Information of the Company, its customers and its or their respective affiliates, I agree that:</w:t>
      </w:r>
    </w:p>
    <w:p>
      <w:pPr>
        <w:spacing w:after="0" w:line="117" w:lineRule="exact"/>
        <w:rPr>
          <w:sz w:val="20"/>
          <w:szCs w:val="20"/>
          <w:color w:val="auto"/>
        </w:rPr>
      </w:pPr>
    </w:p>
    <w:p>
      <w:pPr>
        <w:ind w:right="580" w:firstLine="436"/>
        <w:spacing w:after="0" w:line="282" w:lineRule="auto"/>
        <w:tabs>
          <w:tab w:leader="none" w:pos="6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use it only in the performance of my duties for the Company. I will not use it at any time (during or after my employment) for my personal benefit, for the benefit of any other person or firm, or in any manner adverse to the interests of the Company or its affiliates;</w:t>
      </w:r>
    </w:p>
    <w:p>
      <w:pPr>
        <w:sectPr>
          <w:pgSz w:w="11900" w:h="16838" w:orient="portrait"/>
          <w:cols w:equalWidth="0" w:num="1">
            <w:col w:w="11020"/>
          </w:cols>
          <w:pgMar w:left="440" w:top="270" w:right="439" w:bottom="1440" w:gutter="0" w:footer="0" w:header="0"/>
        </w:sectPr>
      </w:pPr>
    </w:p>
    <w:bookmarkStart w:id="293" w:name="page294"/>
    <w:bookmarkEnd w:id="293"/>
    <w:p>
      <w:pPr>
        <w:ind w:right="340" w:firstLine="436"/>
        <w:spacing w:after="0" w:line="289" w:lineRule="auto"/>
        <w:tabs>
          <w:tab w:leader="none" w:pos="695"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will not disclose it at any time (during or after my employment) except to authorized Company personnel, unless the Company expressly consents in advance in writing or unless the information becomes clearly of public knowledge or enters the public domain (other than through an unauthorized disclosure by me or through a disclosure not by me which I knew or reasonably should have known was an unauthorized disclosure);</w:t>
      </w:r>
    </w:p>
    <w:p>
      <w:pPr>
        <w:spacing w:after="0" w:line="49" w:lineRule="exact"/>
        <w:rPr>
          <w:rFonts w:ascii="Times New Roman" w:cs="Times New Roman" w:eastAsia="Times New Roman" w:hAnsi="Times New Roman"/>
          <w:sz w:val="17"/>
          <w:szCs w:val="17"/>
          <w:color w:val="auto"/>
        </w:rPr>
      </w:pPr>
    </w:p>
    <w:p>
      <w:pPr>
        <w:ind w:firstLine="436"/>
        <w:spacing w:after="0" w:line="266"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safeguard it by all reasonable steps and abide by all policies and procedures of the Company and its customers in effect from time to time regarding storage, copying, destroying, publication or posting, or handling of such Confidential Information, in whatever medium or format that Confidential Information takes;</w:t>
      </w:r>
    </w:p>
    <w:p>
      <w:pPr>
        <w:spacing w:after="0" w:line="67"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execute and abide by all confidentiality agreements which the Company reasonably requests me to sign or abide by, whether those agreements are for the benefit of the Company, an affiliate or an actual or a potential customer thereof; and</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return all materials containing or relating to Confidential Information, together with all other Company or customer property (including, without limitation, laptop computers, cell phones and other equipment) to the Company, when my employment with the Company terminates or otherwise on demand and, at that time I will certify to the Company, in writing, that I have complied with this Agreement. I shall not retain any copies or reproductions of correspondence, memoranda, reports, notebooks, drawings, photographs, or other documents relating in any way to the affairs of Company, its customers or its or their respective affiliates. I further understand and agree that any online or other accounts I open, handle or become involved with on the Company’s behalf constitute Company property. I will provide all access codes, passcodes, and administrator rights to the Company at any time during or after my employment on demand.</w:t>
      </w:r>
    </w:p>
    <w:p>
      <w:pPr>
        <w:spacing w:after="0" w:line="81" w:lineRule="exact"/>
        <w:rPr>
          <w:sz w:val="20"/>
          <w:szCs w:val="20"/>
          <w:color w:val="auto"/>
        </w:rPr>
      </w:pPr>
    </w:p>
    <w:p>
      <w:pPr>
        <w:ind w:right="20" w:firstLine="436"/>
        <w:spacing w:after="0" w:line="253" w:lineRule="auto"/>
        <w:tabs>
          <w:tab w:leader="none" w:pos="6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 and Inventions.</w:t>
      </w:r>
      <w:r>
        <w:rPr>
          <w:rFonts w:ascii="Times New Roman" w:cs="Times New Roman" w:eastAsia="Times New Roman" w:hAnsi="Times New Roman"/>
          <w:sz w:val="18"/>
          <w:szCs w:val="18"/>
          <w:color w:val="auto"/>
        </w:rPr>
        <w:t xml:space="preserve"> While employed by the Company, I may make Contributions and Inventions of value to it. The terms </w:t>
      </w:r>
      <w:r>
        <w:rPr>
          <w:rFonts w:ascii="Times New Roman" w:cs="Times New Roman" w:eastAsia="Times New Roman" w:hAnsi="Times New Roman"/>
          <w:sz w:val="18"/>
          <w:szCs w:val="18"/>
          <w:i w:val="1"/>
          <w:iCs w:val="1"/>
          <w:color w:val="auto"/>
        </w:rPr>
        <w:t xml:space="preserve">“Contributions”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“Inventions” </w:t>
      </w:r>
      <w:r>
        <w:rPr>
          <w:rFonts w:ascii="Times New Roman" w:cs="Times New Roman" w:eastAsia="Times New Roman" w:hAnsi="Times New Roman"/>
          <w:sz w:val="18"/>
          <w:szCs w:val="18"/>
          <w:color w:val="auto"/>
        </w:rPr>
        <w:t>are understood to include all inventions, ideas, formulae, works, modifications, processes, discoveries, techniques,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designs, methods, trade secrets, technical specifications and data, know- how, show-how, concepts, expressions, creations, improvements, works of authorship, ideas and other developments, whether or not they are patentable or copyrightable or subject to analogous protection and regardless of their form or state of development, and whether or not I have made them alone or with others. This Agreement covers Contributions and Inventions of any kind that are conceived or made by me, during hours that I am working for the Company at my place of work whether located at the Company, customer facilities, at home or elsewhere, alone or with others, while I am employed by the Company. This Agreement also covers Contributions and Inventions, regardless of whether they are conceived or made during regular working hours or at my place of work, (i) that relate to the Company’s business or potential business, or (ii) result from tasks assigned to me by the Company, or (iii) that are conceived or made with the use of the Company’s time, facilities, materials or resources. With respect to Contributions or Inventions covered by this Agreement, I agree that:</w:t>
      </w:r>
    </w:p>
    <w:p>
      <w:pPr>
        <w:spacing w:after="0" w:line="86" w:lineRule="exact"/>
        <w:rPr>
          <w:sz w:val="20"/>
          <w:szCs w:val="20"/>
          <w:color w:val="auto"/>
        </w:rPr>
      </w:pPr>
    </w:p>
    <w:p>
      <w:pPr>
        <w:ind w:left="680" w:hanging="244"/>
        <w:spacing w:after="0"/>
        <w:tabs>
          <w:tab w:leader="none" w:pos="6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disclose them promptly to the Company. I will not disclose them to anyone other than authorized Company personnel;</w:t>
      </w:r>
    </w:p>
    <w:p>
      <w:pPr>
        <w:spacing w:after="0" w:line="117"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belong solely to the Company from conception as “works made for hire” (as that terms is used under U.S. copyright law) or otherwise. To the extent that title to any such Contributions or Inventions do not, by operation of law, vest in the Company, I hereby irrevocably assign to the Company all right, title and interest, including, without limitation, tangible and intangible rights such as patent rights, trademarks and copyrights, that I may have or may acquire in and to all such Contribution and Inventions, benefits and/or rights resulting therefrom, and agree to promptly execute any further specific assignments related to such Contributions or Inventions, benefits and/or rights at the request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4" w:name="page295"/>
    <w:bookmarkEnd w:id="294"/>
    <w:p>
      <w:pPr>
        <w:ind w:right="60" w:firstLine="436"/>
        <w:spacing w:after="0" w:line="255" w:lineRule="auto"/>
        <w:tabs>
          <w:tab w:leader="none" w:pos="68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will, at any time, either during the time I am employed or thereafter, assist the Company in obtaining and maintaining patent, copyright, trademark, mask works and other appropriate protection for them in all countries, at the Company’s expense. In the event that the Company is unable to secure my signature after reasonable effort in connection with any patent, trademark, copyright, mask work or other similar protection relating to a Contribution or an Invention, I hereby irrevocably designate and appoint the Company and its duly authorized officers and agents as my agent and attorney-in fact, to act for an on my behalf and stead to execute and file any such application and to do all other lawfully permitted acts to further the prosecution and issuance of patents, trademarks, copyrights, mask works or other similar protection thereon with the same legal force and effect as if executed by me.</w:t>
      </w:r>
    </w:p>
    <w:p>
      <w:pPr>
        <w:spacing w:after="0" w:line="80"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Contributions or Inventions relating to the business of the Company and disclosed to the Company within 6 months following the termination of my employment shall be deemed to fall within the provisions of this Section 2. The “business of the Company” as used in this Section 2 includes the actual business conducted by the Company at any time during my employment with the Company, as well as any business in which the Company, at any time during my employment with the Company, proposed or proposes to engage.</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2 shall not cover Inventions or Contributions to the extent that California Labor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2870(a) prohibits the assignment thereof. Section 2870(a) provides as follows:</w:t>
      </w:r>
    </w:p>
    <w:p>
      <w:pPr>
        <w:spacing w:after="0" w:line="99"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spacing w:after="0" w:line="75" w:lineRule="exact"/>
        <w:rPr>
          <w:sz w:val="20"/>
          <w:szCs w:val="20"/>
          <w:color w:val="auto"/>
        </w:rPr>
      </w:pPr>
    </w:p>
    <w:p>
      <w:pPr>
        <w:ind w:firstLine="436"/>
        <w:spacing w:after="0" w:line="258" w:lineRule="auto"/>
        <w:tabs>
          <w:tab w:leader="none" w:pos="62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to Prior Employers or Others.</w:t>
      </w:r>
      <w:r>
        <w:rPr>
          <w:rFonts w:ascii="Times New Roman" w:cs="Times New Roman" w:eastAsia="Times New Roman" w:hAnsi="Times New Roman"/>
          <w:sz w:val="18"/>
          <w:szCs w:val="18"/>
          <w:color w:val="auto"/>
        </w:rPr>
        <w:t xml:space="preserve">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 I shall not disclose to the Company or its customers or induce or cause the Company or its customers to use any secret or confidential information or material belonging to others, including my former employers, if 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-7620</wp:posOffset>
            </wp:positionV>
            <wp:extent cx="47986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479869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95" w:name="page296"/>
    <w:bookmarkEnd w:id="29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6995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612140</wp:posOffset>
            </wp:positionV>
            <wp:extent cx="6995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903605</wp:posOffset>
            </wp:positionV>
            <wp:extent cx="6995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right="40" w:firstLine="436"/>
        <w:spacing w:after="0" w:line="277" w:lineRule="auto"/>
        <w:tabs>
          <w:tab w:leader="none" w:pos="62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Excluded Information.</w:t>
      </w:r>
      <w:r>
        <w:rPr>
          <w:rFonts w:ascii="Times New Roman" w:cs="Times New Roman" w:eastAsia="Times New Roman" w:hAnsi="Times New Roman"/>
          <w:sz w:val="17"/>
          <w:szCs w:val="17"/>
          <w:color w:val="auto"/>
        </w:rPr>
        <w:t xml:space="preserve"> A complete list, by non-confidential descriptive title of all Inventions, ideas, reports and other creative works, if any, made or conceived by me prior to my employment by the Company, and intended to be excluded from this Agreement, is set forth below. I will not assert any rights under any Inventions as having been made or acquired by me prior to my being employed by Company, unless such inventions are identified below. In the event that any excluded information is incorporated into any Contribution or Invention, I hereby grant the Company a perpetual, worldwide, royalty free, non-exclusive license to use and reproduce the Excluded Information for commercial, internal business and all other purposes.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995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600075</wp:posOffset>
            </wp:positionV>
            <wp:extent cx="6995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6995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-7620</wp:posOffset>
            </wp:positionV>
            <wp:extent cx="49129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4912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hanging="184"/>
        <w:spacing w:after="0"/>
        <w:tabs>
          <w:tab w:leader="none" w:pos="62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Scope of this Agreement.</w:t>
      </w:r>
    </w:p>
    <w:p>
      <w:pPr>
        <w:spacing w:after="0" w:line="117" w:lineRule="exact"/>
        <w:rPr>
          <w:sz w:val="20"/>
          <w:szCs w:val="20"/>
          <w:color w:val="auto"/>
        </w:rPr>
      </w:pPr>
    </w:p>
    <w:p>
      <w:pPr>
        <w:ind w:left="680" w:hanging="244"/>
        <w:spacing w:after="0"/>
        <w:tabs>
          <w:tab w:leader="none" w:pos="68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will be interpreted on its own. If any provision is held to be unenforceable by a court of competent</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as written, then such provision shall be deemed limited and restricted to the extent that the court shall deem the provision to be enforceable. The invalidity or unenforceability of any provisions of this Agreement shall not affect the validity or enforceability of any other provision hereof.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If it is ever held that any restriction hereunder is too broad to permit enforcement of such restriction to its fullest extent, such restriction shall be enforced to the maximum extent permitted by applicable law.</w:t>
      </w:r>
    </w:p>
    <w:p>
      <w:pPr>
        <w:spacing w:after="0" w:line="81" w:lineRule="exact"/>
        <w:rPr>
          <w:rFonts w:ascii="Times New Roman" w:cs="Times New Roman" w:eastAsia="Times New Roman" w:hAnsi="Times New Roman"/>
          <w:sz w:val="18"/>
          <w:szCs w:val="18"/>
          <w:color w:val="auto"/>
        </w:rPr>
      </w:pPr>
    </w:p>
    <w:p>
      <w:pPr>
        <w:ind w:right="180" w:firstLine="436"/>
        <w:spacing w:after="0" w:line="256" w:lineRule="auto"/>
        <w:tabs>
          <w:tab w:leader="none" w:pos="69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if I breach or threaten to breach any of the provisions of this Agreement, including without limitation the provisions of Section 1 or Section 2 hereof, the Company would suffer irreparable harm and damages would be an inadequate remedy. Accordingly, I acknowledge that Company shall be entitled to petition a court of competent jurisdiction for temporary, preliminary and permanent injunctive or other equitable relief in any court of competent jurisdiction (without being obligated to post a bond or other collateral) and to an equitable accounting of all earnings, profits and other benefits arising, directly or indirectly, from such violation, which rights shall be cumulative and in addition to (rather than instead of) any other rights or remedies to which the Company may be entitled at law or in equity.</w:t>
      </w:r>
    </w:p>
    <w:p>
      <w:pPr>
        <w:spacing w:after="0" w:line="79"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constitute the entire agreement of the Company and I with respect to the matters covered hereby and shall supersede all previous written, oral or implied understandings with respect to such matters.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1440" w:right="479" w:bottom="1440" w:gutter="0" w:footer="0" w:header="0"/>
        </w:sectPr>
      </w:pPr>
    </w:p>
    <w:bookmarkStart w:id="296" w:name="page297"/>
    <w:bookmarkEnd w:id="296"/>
    <w:p>
      <w:pPr>
        <w:ind w:right="40" w:firstLine="436"/>
        <w:spacing w:after="0" w:line="261" w:lineRule="auto"/>
        <w:tabs>
          <w:tab w:leader="none" w:pos="69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and all actions, claims or controversies arising directly or indirectly out of this Agreement, including, without limitation, tort claims, shall be governed and construed by the laws of the State of California, without reference to the choice of law provisions thereof. Any and all actions arising directly or indirectly out of this Agreement or my employment by the Company shall be brought and heard in the state and federal courts of the State of California, and I hereby irrevocably submit to the exclusive jurisdiction of any such courts.</w:t>
      </w:r>
    </w:p>
    <w:p>
      <w:pPr>
        <w:spacing w:after="0" w:line="71" w:lineRule="exact"/>
        <w:rPr>
          <w:rFonts w:ascii="Times New Roman" w:cs="Times New Roman" w:eastAsia="Times New Roman" w:hAnsi="Times New Roman"/>
          <w:sz w:val="18"/>
          <w:szCs w:val="18"/>
          <w:color w:val="auto"/>
        </w:rPr>
      </w:pPr>
    </w:p>
    <w:p>
      <w:pPr>
        <w:ind w:right="40" w:firstLine="436"/>
        <w:spacing w:after="0" w:line="312" w:lineRule="auto"/>
        <w:tabs>
          <w:tab w:leader="none" w:pos="685"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me and my executors, heirs and assigns and shall inure to the benefit of the Company, its affiliates and their respective successors and assigns (including, without limitation, a purchaser of all or substantially all of the assets of the Company or its affiliates).</w:t>
      </w:r>
    </w:p>
    <w:p>
      <w:pPr>
        <w:spacing w:after="0" w:line="31" w:lineRule="exact"/>
        <w:rPr>
          <w:rFonts w:ascii="Times New Roman" w:cs="Times New Roman" w:eastAsia="Times New Roman" w:hAnsi="Times New Roman"/>
          <w:sz w:val="17"/>
          <w:szCs w:val="17"/>
          <w:color w:val="auto"/>
        </w:rPr>
      </w:pPr>
    </w:p>
    <w:p>
      <w:pPr>
        <w:ind w:right="20" w:firstLine="436"/>
        <w:spacing w:after="0" w:line="261" w:lineRule="auto"/>
        <w:tabs>
          <w:tab w:leader="none" w:pos="66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and agree that the restrictions on the activities in which I may engage that are set forth in Sections 1 and 2 of this Agreement are reasonable and necessary to protect the Company’s legitimate business interests and shall survive the termination of my employment. I further acknowledge that the restrictions contained in this Agreement will not prevent me from earning a livelihood or from engaging in a business competitive with that of the Company.</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me any right to continue to be employed by the Company. The Company shall have the right to terminate my employment at any time, with or without cause or notice and no one at the Company has made any other representations to me with respect thereto.</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 (e) the terms of this Agreement are fair, reasonable and are being agreed to voluntarily in exchange for my employment or continued employment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Toy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33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12/14/2017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14344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7" w:name="page298"/>
    <w:bookmarkEnd w:id="29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LIMITATIONS REGARDING ASSIGNMENT OF INVENTIONS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 WORKS</w:t>
      </w:r>
    </w:p>
    <w:p>
      <w:pPr>
        <w:spacing w:after="0" w:line="20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If Employee resides in a state identified below, Employee is hereby provided the specific notice of-limitations applicable to Employee as a resident of that state: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a resident of </w:t>
      </w:r>
      <w:r>
        <w:rPr>
          <w:rFonts w:ascii="Times New Roman" w:cs="Times New Roman" w:eastAsia="Times New Roman" w:hAnsi="Times New Roman"/>
          <w:sz w:val="18"/>
          <w:szCs w:val="18"/>
          <w:u w:val="single" w:color="auto"/>
          <w:color w:val="auto"/>
        </w:rPr>
        <w:t>CALIFORNIA,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then the following applies:</w:t>
      </w:r>
    </w:p>
    <w:p>
      <w:pPr>
        <w:spacing w:after="0" w:line="225"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No provision in this Agreement requires Employee to assign any of his or her rights to an invention for which no equipment, supplies, facility, or trade secret intimation of the Company was used and which was developed entirely on Employee’s own time, unless (a) the invention relates at the time of conception or reduction to practice of the invention, (i) to the business of the Company, or (ii) to the Company’s actual or demonstrably anticipated research or development, or (b) the invention results from any work performed by Employee for the Company.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a resident of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ILLINOIS,</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KANSAS</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NORTH CAROLINA,</w:t>
      </w:r>
      <w:r>
        <w:rPr>
          <w:rFonts w:ascii="Times New Roman" w:cs="Times New Roman" w:eastAsia="Times New Roman" w:hAnsi="Times New Roman"/>
          <w:sz w:val="15"/>
          <w:szCs w:val="15"/>
          <w:color w:val="auto"/>
        </w:rPr>
        <w:t>5</w:t>
      </w:r>
      <w:r>
        <w:rPr>
          <w:rFonts w:ascii="Times New Roman" w:cs="Times New Roman" w:eastAsia="Times New Roman" w:hAnsi="Times New Roman"/>
          <w:sz w:val="18"/>
          <w:szCs w:val="18"/>
          <w:color w:val="auto"/>
        </w:rPr>
        <w:t xml:space="preserve"> then the following applies:</w:t>
      </w:r>
    </w:p>
    <w:p>
      <w:pPr>
        <w:spacing w:after="0" w:line="225"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No provision in this Agreement requires Employee to assign any of his or her rights to an invention for which no equipment, supplies, facility, or trade secret information of the Company was used and which was developed entirely on Employee’s own time, unless (a) the invention relates (i) to the business of the Company, or (ii) to the Company’s actual or demonstrably anticipated research or development, or (b) the invention results from any work performed by Employee for the Company.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a resident of </w:t>
      </w:r>
      <w:r>
        <w:rPr>
          <w:rFonts w:ascii="Times New Roman" w:cs="Times New Roman" w:eastAsia="Times New Roman" w:hAnsi="Times New Roman"/>
          <w:sz w:val="18"/>
          <w:szCs w:val="18"/>
          <w:u w:val="single" w:color="auto"/>
          <w:color w:val="auto"/>
        </w:rPr>
        <w:t>MINNESOTA,</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then the following applies:</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No provision in this Agreement requires Employee to assign any of his or her rights to an invention for which no equipment, supplies, facility, or trade secret information of the Company was used and which was developed entirely on Employee’s own time, and (a) which does not relate (i) directly to the business of the Company, or (ii) to the Company’s actual or demonstrably anticipated research or development, or (b) which does not result from any work performed by Employee for the Company.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a resident of </w:t>
      </w:r>
      <w:r>
        <w:rPr>
          <w:rFonts w:ascii="Times New Roman" w:cs="Times New Roman" w:eastAsia="Times New Roman" w:hAnsi="Times New Roman"/>
          <w:sz w:val="18"/>
          <w:szCs w:val="18"/>
          <w:u w:val="single" w:color="auto"/>
          <w:color w:val="auto"/>
        </w:rPr>
        <w:t>UTAH,</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 xml:space="preserve"> then the following applies:</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No provision in this Agreement requires Employee to assign any of his or her rights to an invention which was created entirely on Employee’s own time, and which is not (a) conceived, developed, reduced to practice, or created by Employee (i) within the scope of Employee’s employment with the Company, (ii) on the Company’s time, or (iii) with the aid, assistance, or use of any of the Company’s property, equipment, facilities, supplies, resources, or patents, trade secrets, know-how, technology, confidential information, ideas,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California Labor Code 2870</w:t>
      </w:r>
    </w:p>
    <w:p>
      <w:pPr>
        <w:spacing w:after="0" w:line="26" w:lineRule="exact"/>
        <w:rPr>
          <w:sz w:val="20"/>
          <w:szCs w:val="20"/>
          <w:color w:val="auto"/>
        </w:rPr>
      </w:pPr>
    </w:p>
    <w:p>
      <w:pPr>
        <w:ind w:left="424" w:hanging="424"/>
        <w:spacing w:after="0"/>
        <w:tabs>
          <w:tab w:leader="none" w:pos="424"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Delaware Code Annotated, Title 19, Section 805</w:t>
      </w:r>
    </w:p>
    <w:p>
      <w:pPr>
        <w:spacing w:after="0" w:line="9" w:lineRule="exact"/>
        <w:rPr>
          <w:sz w:val="20"/>
          <w:szCs w:val="20"/>
          <w:color w:val="auto"/>
        </w:rPr>
      </w:pPr>
    </w:p>
    <w:p>
      <w:pPr>
        <w:ind w:left="424" w:hanging="424"/>
        <w:spacing w:after="0"/>
        <w:tabs>
          <w:tab w:leader="none" w:pos="424" w:val="left"/>
        </w:tabs>
        <w:numPr>
          <w:ilvl w:val="0"/>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Illinois Revised Statutes, Chapter 140, Sections 301-303</w:t>
      </w:r>
    </w:p>
    <w:p>
      <w:pPr>
        <w:spacing w:after="0" w:line="9" w:lineRule="exact"/>
        <w:rPr>
          <w:sz w:val="20"/>
          <w:szCs w:val="20"/>
          <w:color w:val="auto"/>
        </w:rPr>
      </w:pPr>
    </w:p>
    <w:p>
      <w:pPr>
        <w:ind w:left="424" w:hanging="424"/>
        <w:spacing w:after="0"/>
        <w:tabs>
          <w:tab w:leader="none" w:pos="424"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Kansas Statutes Annotated Section 44-130</w:t>
      </w:r>
    </w:p>
    <w:p>
      <w:pPr>
        <w:spacing w:after="0" w:line="9" w:lineRule="exact"/>
        <w:rPr>
          <w:sz w:val="20"/>
          <w:szCs w:val="20"/>
          <w:color w:val="auto"/>
        </w:rPr>
      </w:pPr>
    </w:p>
    <w:p>
      <w:pPr>
        <w:ind w:left="424" w:hanging="424"/>
        <w:spacing w:after="0"/>
        <w:tabs>
          <w:tab w:leader="none" w:pos="424"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North Carolina General Statutes Sections 66-57.1, 66-57.2</w:t>
      </w:r>
    </w:p>
    <w:p>
      <w:pPr>
        <w:spacing w:after="0" w:line="9" w:lineRule="exact"/>
        <w:rPr>
          <w:sz w:val="20"/>
          <w:szCs w:val="20"/>
          <w:color w:val="auto"/>
        </w:rPr>
      </w:pPr>
    </w:p>
    <w:p>
      <w:pPr>
        <w:ind w:left="424" w:hanging="424"/>
        <w:spacing w:after="0"/>
        <w:tabs>
          <w:tab w:leader="none" w:pos="424"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Minnesota Statutes Annotated 181.78</w:t>
      </w:r>
    </w:p>
    <w:p>
      <w:pPr>
        <w:spacing w:after="0" w:line="9" w:lineRule="exact"/>
        <w:rPr>
          <w:sz w:val="20"/>
          <w:szCs w:val="20"/>
          <w:color w:val="auto"/>
        </w:rPr>
      </w:pPr>
    </w:p>
    <w:p>
      <w:pPr>
        <w:ind w:left="424" w:hanging="424"/>
        <w:spacing w:after="0"/>
        <w:tabs>
          <w:tab w:leader="none" w:pos="424"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Utah Code Annotated Sections 34-39-2, 34-39-3</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298" w:name="page299"/>
    <w:bookmarkEnd w:id="298"/>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copyrights, trademarks and service marks and any and all rights, applications, and registrations relating to them, (b) the results of any work, services, or duties performed by Employee for the Company, (c) related to the industry or trade of the Company, or (d) related to the current or demonstrably anticipated business, research, or development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a resident of </w:t>
      </w:r>
      <w:r>
        <w:rPr>
          <w:rFonts w:ascii="Times New Roman" w:cs="Times New Roman" w:eastAsia="Times New Roman" w:hAnsi="Times New Roman"/>
          <w:sz w:val="18"/>
          <w:szCs w:val="18"/>
          <w:u w:val="single" w:color="auto"/>
          <w:color w:val="auto"/>
        </w:rPr>
        <w:t>WASHINGTON,</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xml:space="preserve"> then the following applies:</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No provision in this Agreement requires Employee to assign any of his or her rights to an invention for which no equipment, supplies, facility, or trade secret information of the Company was used and which was developed entirely on Employee’s own time, unless (a) the invention relates (i) directly to the business of the Company, or (ii) to the Company’s actual or demonstrably anticipated research or development, or (b) the invention results from any work performed by Employee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Washington Revised Code Annotated Sections 49.44.140, 49.44.150</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4"/>
          </w:cols>
          <w:pgMar w:left="436" w:top="270" w:right="5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173990</wp:posOffset>
            </wp:positionV>
            <wp:extent cx="1097280" cy="3003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10972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CONFIDENTIAL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20, 2018</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Vivek Garipalli, CEO &amp; Co-Founder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Clover Health</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 Montgomery Street,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Jersey City, NJ 07302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Gia,</w:t>
      </w:r>
    </w:p>
    <w:p>
      <w:pPr>
        <w:spacing w:after="0" w:line="11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We are pleased to make this offer of employment to you, for the position of General Counsel reporting to the Company’s Chief Executive Officer. Your employment would be with Clover Health,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Position and Compensation: </w:t>
      </w:r>
      <w:r>
        <w:rPr>
          <w:rFonts w:ascii="Times New Roman" w:cs="Times New Roman" w:eastAsia="Times New Roman" w:hAnsi="Times New Roman"/>
          <w:sz w:val="18"/>
          <w:szCs w:val="18"/>
          <w:color w:val="auto"/>
        </w:rPr>
        <w:t>We expect you’ll begin working remotely out of Washington, DC as General Counsel beginning on January 14, 2019.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pay you an annual salary of $350,000. Your salary will be paid bi-weekly in accordance with the Company’s standard payroll procedures, subject to applicable withholdings.</w:t>
      </w:r>
    </w:p>
    <w:p>
      <w:pPr>
        <w:spacing w:after="0" w:line="171"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Stock Options: </w:t>
      </w:r>
      <w:r>
        <w:rPr>
          <w:rFonts w:ascii="Times New Roman" w:cs="Times New Roman" w:eastAsia="Times New Roman" w:hAnsi="Times New Roman"/>
          <w:sz w:val="17"/>
          <w:szCs w:val="17"/>
          <w:color w:val="auto"/>
        </w:rPr>
        <w:t>We will recommend that our Board of Directors approve, as soon as reasonably practical after your start date, the grant of an option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for you to purchase 275,000 shares of common stock. The Option will be governed by the terms of our Equity Incentive Plan (the “Plan”) and the standard form of Stock Option Agreement under the Plan. The exercise price of the Option will be the current fair market value of our common stock, as determined by the Board consistent with the Plan, the Company’s standard practices and applicable law. The Option will vest over five</w:t>
      </w:r>
    </w:p>
    <w:p>
      <w:pPr>
        <w:ind w:left="4" w:right="60" w:hanging="4"/>
        <w:spacing w:after="0" w:line="265" w:lineRule="auto"/>
        <w:tabs>
          <w:tab w:leader="none" w:pos="259"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from your start date, and as long as you remain employed by the Company after the start date, as follows: 20% of the shares subject to the Option shall vest on the one-year anniversary of the Start Date, and the remainder shall vest in equal monthly installments over the following forty-eight</w:t>
      </w:r>
    </w:p>
    <w:p>
      <w:pPr>
        <w:ind w:left="344" w:hanging="344"/>
        <w:spacing w:after="0"/>
        <w:tabs>
          <w:tab w:leader="none" w:pos="34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the event your employment is terminated for a reason other than for Cause or you resign for a Good Reason, as defined below, either</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contemplation of (as shown by reasonable evidence), or (ii)within twenty-four months after, a Change of Control (as defined in Section 1(f) of the 2014 Equity Incentive Plan), then 100% of any unvested options shall immediately become vested upon such termination. In the event your employment is terminated for a reason other than for Cause or you resign for a Good Reason during your first year of employment only, then any unvested equity that has not vested which you would be entitled to in your first full year of employment shall immediately vest upon your termination. By way of example, if you are terminated for a reason other than Cause after (a) two months or (b) ten months of employment, in either case 20% of the shares subject to the Option shall vest upon your termination for a total of twelve months of vesting.</w:t>
      </w:r>
    </w:p>
    <w:p>
      <w:pPr>
        <w:spacing w:after="0" w:line="190"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Company has agreed you may early exercise up to 50% of the Option (and file your 83(b) form with the IRS) within 30 days after your employment commences and that, with respect to</w:t>
      </w:r>
    </w:p>
    <w:p>
      <w:pPr>
        <w:sectPr>
          <w:pgSz w:w="11900" w:h="16838" w:orient="portrait"/>
          <w:cols w:equalWidth="0" w:num="1">
            <w:col w:w="11024"/>
          </w:cols>
          <w:pgMar w:left="436" w:top="266" w:right="439" w:bottom="1440" w:gutter="0" w:footer="0" w:header="0"/>
        </w:sectPr>
      </w:pPr>
    </w:p>
    <w:bookmarkStart w:id="300" w:name="page301"/>
    <w:bookmarkEnd w:id="300"/>
    <w:p>
      <w:pPr>
        <w:jc w:val="both"/>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50% of the shares subject to the Option that you have not early exercised (the “Extended Option Shares”), in the event your employment is terminated for any reason or you resign for any reason, you will have up to ten (10) years to exercise such Extended Option Shares after any such termination, as the Company has agreed to extend the expiration date for your Option to be 10 years from the date of termination. All shares subject to the Option that are not Extended Option Shares shall follow the Company’s standard post-termination exercise period.</w:t>
      </w:r>
    </w:p>
    <w:p>
      <w:pPr>
        <w:spacing w:after="0" w:line="180"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“Cause” means (i) your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(ii) your gross negligence or willful misconduct with respect to the Company or any of its Affiliates, including, without limitation fraud, embezzlement, theft or proven dishonesty in the course of his or her employment; (iii) alcohol abuse or use of controlled drugs by you other than in accordance with a physician’s prescription that materially and adversely affects the Company; (iv) your willful refusal to perform any lawful, material obligation or fulfill any material duty (other than any duty or obligation of the type described in clause</w:t>
      </w:r>
    </w:p>
    <w:p>
      <w:pPr>
        <w:spacing w:after="0" w:line="5" w:lineRule="exact"/>
        <w:rPr>
          <w:sz w:val="20"/>
          <w:szCs w:val="20"/>
          <w:color w:val="auto"/>
        </w:rPr>
      </w:pPr>
    </w:p>
    <w:p>
      <w:pPr>
        <w:ind w:left="4" w:right="80" w:hanging="4"/>
        <w:spacing w:after="0" w:line="265" w:lineRule="auto"/>
        <w:tabs>
          <w:tab w:leader="none" w:pos="309"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 to the Company or its Affiliates (other than due to a Disability); (v) your willful and material breach of any agreement with or material duty owed to the Company or any of its Affiliates; or (vi) your willful and material breach of any obligation or material duty to the Company or any of its Affiliates (whether arising by statute, common law or agreement) relating to confidentiality, non-solicitation or proprietary rights; provided, however, that any condition or conditions referenced above shall not constitute “Cause” unless: (x) except as to clause (i) above, if a cure may reasonably be available in the circumstances, the Company provides written notice to you of the condition or conditions claimed to constitute Cause within ninety (90) days of the Company’s knowledge (or when the Company reasonably should have known of) such condition or conditions, and you fail to reasonably remedy such condition(s) within thirty (30) days of receiving such written notice thereof; and (y) the termination occurs within ninety</w:t>
      </w:r>
    </w:p>
    <w:p>
      <w:pPr>
        <w:spacing w:after="0" w:line="1" w:lineRule="exact"/>
        <w:rPr>
          <w:rFonts w:ascii="Times New Roman" w:cs="Times New Roman" w:eastAsia="Times New Roman" w:hAnsi="Times New Roman"/>
          <w:sz w:val="17"/>
          <w:szCs w:val="17"/>
          <w:color w:val="auto"/>
        </w:rPr>
      </w:pPr>
    </w:p>
    <w:p>
      <w:pPr>
        <w:ind w:left="4"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 days following the end of that cure period (or, if no cure period is required, within ninety (90) days following the date the Company knew of, or reasonably should have known of, the condition or conditions claimed to constitute Cause). No act or failure to act on your part shall be considered “willful” unless done, or omitted to be done, by you not in good faith and without reasonable belief that your action or omission was in the best interest of the Company.</w:t>
      </w:r>
    </w:p>
    <w:p>
      <w:pPr>
        <w:spacing w:after="0" w:line="189"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“Good Reason” means any of the following taken without your written consent and provided (a) the Company receives, within thirty (30) days following the occurrence of any of the events set forth in clauses (i) through (iii) below, written notice from you specifying the specific basis for your belief that you are entitled to terminate employment for Good Reason, (b) the Company fails to cure the event constituting Good Reason within thirty</w:t>
      </w:r>
    </w:p>
    <w:p>
      <w:pPr>
        <w:spacing w:after="0" w:line="2" w:lineRule="exact"/>
        <w:rPr>
          <w:sz w:val="20"/>
          <w:szCs w:val="20"/>
          <w:color w:val="auto"/>
        </w:rPr>
      </w:pPr>
    </w:p>
    <w:p>
      <w:pPr>
        <w:ind w:left="344" w:hanging="344"/>
        <w:spacing w:after="0"/>
        <w:tabs>
          <w:tab w:leader="none" w:pos="344"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receipt of such written notice thereof, and (c) you terminate employment within thirty (30) days following expiration of such cure period:</w:t>
      </w:r>
    </w:p>
    <w:p>
      <w:pPr>
        <w:spacing w:after="0" w:line="20" w:lineRule="exact"/>
        <w:rPr>
          <w:rFonts w:ascii="Times New Roman" w:cs="Times New Roman" w:eastAsia="Times New Roman" w:hAnsi="Times New Roman"/>
          <w:sz w:val="17"/>
          <w:szCs w:val="17"/>
          <w:color w:val="auto"/>
        </w:rPr>
      </w:pP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 material reduction in your base salary or other compensation (if such reduction in compensation does not occur in combination with a reduction in compensation for the entire executive team); (ii) a material change in your title, duties, authorities, or responsibilities; (iii) the Company provides that you will report to anyone other than the Company’s Chief Executive Officer; or (iv) the Company provides or requires that you will no longer be able to work remotely out of Washington, DC.</w:t>
      </w:r>
    </w:p>
    <w:p>
      <w:pPr>
        <w:spacing w:after="0" w:line="185" w:lineRule="exact"/>
        <w:rPr>
          <w:sz w:val="20"/>
          <w:szCs w:val="20"/>
          <w:color w:val="auto"/>
        </w:rPr>
      </w:pPr>
    </w:p>
    <w:p>
      <w:pPr>
        <w:ind w:left="4" w:right="480"/>
        <w:spacing w:after="0" w:line="268" w:lineRule="auto"/>
        <w:rPr>
          <w:sz w:val="20"/>
          <w:szCs w:val="20"/>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 As a regular employee of the Company, you will be eligible to participate in a number of Company-sponsored benefits. Coverage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 the first day of the month after you start working with the Company. In addition, you will be entitled to paid vacation and sick leave in accordance with the Company’s policy, as in effect from time to time.</w:t>
      </w:r>
    </w:p>
    <w:p>
      <w:pPr>
        <w:sectPr>
          <w:pgSz w:w="11900" w:h="16838" w:orient="portrait"/>
          <w:cols w:equalWidth="0" w:num="1">
            <w:col w:w="10984"/>
          </w:cols>
          <w:pgMar w:left="436" w:top="270" w:right="479" w:bottom="1440" w:gutter="0" w:footer="0" w:header="0"/>
        </w:sectPr>
      </w:pPr>
    </w:p>
    <w:bookmarkStart w:id="301" w:name="page302"/>
    <w:bookmarkEnd w:id="301"/>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Relationship</w:t>
      </w:r>
      <w:r>
        <w:rPr>
          <w:rFonts w:ascii="Times New Roman" w:cs="Times New Roman" w:eastAsia="Times New Roman" w:hAnsi="Times New Roman"/>
          <w:sz w:val="18"/>
          <w:szCs w:val="18"/>
          <w:color w:val="auto"/>
        </w:rPr>
        <w:t>: Your employment with the Company will be “at will.” This means that the Company and you are free to terminate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at any time, for any reason, or for no reason, with or without cause, and with or without notice. Any contrary representations that may have been made to you are superseded by this offer letter. This is the full and complete agreement between you and the Company on this term. No statements in this offer letter or in any other Company document constitute an employment contract, nor do they alter your at-will status. Although your job duties, title, compensation and benefits, as well as the Company’s policies and procedures, may change from time to time, the “at will” nature of your employment may only be changed in an express written agreement signed by you and a duly authorized officer of the Company (other than you).</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you’ll devote your entire working time for or at the direction of the Company, use your best efforts to complete all assignments, and comply with the Company’s policies and procedures in place from time to time. During your employment with the Company, you may not engage in any other employment or paid projects that conflict with the business of the Company or that could inhibit your ability to fulfill your duties to the Company, unless the Company has previously approved the other activity in writing.</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By accepting this offer of employment, you agree that, throughout your employment with the Company, you will perform your duties loyally and conscientiously, and to the full extent of your ability. You also agree to observe all rules and regulations that the Company has, or may establish, governing the conduct of its business or its employees. The Company is an equal opportunity employer, and believes in the full worth and value of its diverse workforce. As such, it does not tolerate any form of harassment or illegal discrimination, and fully enforces its policies protecting all employees from illegal discrimination and harassment.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your position is classified as “exempt” under current wage and hours laws, you won’t be eligible to receive overtime pay.</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Covenants Agreement: </w:t>
      </w:r>
      <w:r>
        <w:rPr>
          <w:rFonts w:ascii="Times New Roman" w:cs="Times New Roman" w:eastAsia="Times New Roman" w:hAnsi="Times New Roman"/>
          <w:sz w:val="18"/>
          <w:szCs w:val="18"/>
          <w:color w:val="auto"/>
        </w:rPr>
        <w:t>This offer of employment is conditioned on you signing the enclosed non-disclosure and invention assignment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Covenants Agreement</w:t>
      </w:r>
      <w:r>
        <w:rPr>
          <w:rFonts w:ascii="Times New Roman" w:cs="Times New Roman" w:eastAsia="Times New Roman" w:hAnsi="Times New Roman"/>
          <w:sz w:val="18"/>
          <w:szCs w:val="18"/>
          <w:color w:val="auto"/>
        </w:rPr>
        <w:t>”). By accepting the Company’s offer of employment and signing below, you agree that you have no agreement with or obligation to any prior employer that conflicts with you working for the Company and that you’ve provided the Company with copies of any agreement you have with a prior employer that could impact your employment with us.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terms set forth in this letter and in the enclosures are intended to and do supersede all and any prior employment agreements, understandings and promises between the Company and you concerning the terms of your employment with the Company. All such prior agreements, understandings and promises are null and void.</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Work Authorization: </w:t>
      </w:r>
      <w:r>
        <w:rPr>
          <w:rFonts w:ascii="Times New Roman" w:cs="Times New Roman" w:eastAsia="Times New Roman" w:hAnsi="Times New Roman"/>
          <w:sz w:val="18"/>
          <w:szCs w:val="18"/>
          <w:color w:val="auto"/>
        </w:rPr>
        <w:t>Our offer of employment is also contingent upon your satisfactory completion of reference and background checks, proof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work in the United States, and a satisfactory review of all prior restrictive covenant agreements. If, based on unique circumstances, you start work before the Company has completed those inquiries, you’ll be deemed to be a conditional employee. If we ever learn of any false or misleading information in your employment application, we reserve the right to immediately terminate your employment.</w:t>
      </w:r>
    </w:p>
    <w:p>
      <w:pPr>
        <w:sectPr>
          <w:pgSz w:w="11900" w:h="16838" w:orient="portrait"/>
          <w:cols w:equalWidth="0" w:num="1">
            <w:col w:w="10980"/>
          </w:cols>
          <w:pgMar w:left="440" w:top="266"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sign below to confirm your understanding of this letter and that no one at the Company has made any other representation to you.</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offer must be accepted on or before December 21, 2018 and will be deemed withdrawn if we haven’t received your signed acceptance of this letter and your signed Covenants Agreement on or before that date.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Vivek Garipalli, CEO &amp; Co-founder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Gia Lee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3530 Springland Lane NW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12/21/2018</w:t>
      </w:r>
    </w:p>
    <w:p>
      <w:pPr>
        <w:sectPr>
          <w:pgSz w:w="11900" w:h="16838" w:orient="portrait"/>
          <w:cols w:equalWidth="0" w:num="1">
            <w:col w:w="10920"/>
          </w:cols>
          <w:pgMar w:left="440" w:top="270" w:right="5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Agreement</w:t>
      </w:r>
    </w:p>
    <w:p>
      <w:pPr>
        <w:sectPr>
          <w:pgSz w:w="11900" w:h="16838" w:orient="portrait"/>
          <w:cols w:equalWidth="0" w:num="1">
            <w:col w:w="9019"/>
          </w:cols>
          <w:pgMar w:left="1440" w:top="266"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type w:val="continuous"/>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97155</wp:posOffset>
            </wp:positionV>
            <wp:extent cx="1697355" cy="4629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16973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read the statements made by Clover Health Investments, Corp. under Item 4.01 of its Form 8-K filed January 12, 2021. We agree with the statements concerning our Firm under Item 4.01, in which we were informed of our dismissal on January 7, 2021, effective following the completion of the Social Capital Hedosophia Holdings Corp. III audit for the year ended December 31, 2020, which will consist only of the accounts of Social Capital Hedosophia Holdings Corp. III, the pre-transaction special purpose acquisition company. We are not in a position to agree or disagree with other statements of Clover Health Investments, Corp. contained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02740" cy="3689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1602740" cy="36893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694690</wp:posOffset>
            </wp:positionV>
            <wp:extent cx="5760720" cy="6261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5760720" cy="62611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6860" w:type="dxa"/>
            <w:vAlign w:val="bottom"/>
            <w:gridSpan w:val="4"/>
          </w:tcPr>
          <w:p>
            <w:pPr>
              <w:ind w:left="1700"/>
              <w:spacing w:after="0"/>
              <w:rPr>
                <w:sz w:val="20"/>
                <w:szCs w:val="20"/>
                <w:color w:val="auto"/>
              </w:rPr>
            </w:pPr>
            <w:r>
              <w:rPr>
                <w:rFonts w:ascii="Times New Roman" w:cs="Times New Roman" w:eastAsia="Times New Roman" w:hAnsi="Times New Roman"/>
                <w:sz w:val="18"/>
                <w:szCs w:val="18"/>
                <w:b w:val="1"/>
                <w:bCs w:val="1"/>
                <w:color w:val="auto"/>
                <w:w w:val="98"/>
              </w:rPr>
              <w:t>SUBSIDIARIES OF CLOVER HEALTH INVESTMENTS, CORP.</w:t>
            </w:r>
          </w:p>
        </w:tc>
      </w:tr>
      <w:tr>
        <w:trPr>
          <w:trHeight w:val="392"/>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140" w:type="dxa"/>
            <w:vAlign w:val="bottom"/>
          </w:tcPr>
          <w:p>
            <w:pPr>
              <w:spacing w:after="0"/>
              <w:rPr>
                <w:sz w:val="24"/>
                <w:szCs w:val="24"/>
                <w:color w:val="auto"/>
              </w:rPr>
            </w:pP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
        </w:trPr>
        <w:tc>
          <w:tcPr>
            <w:tcW w:w="12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Labs,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California</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International, Corp.</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Corp.</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Holdings, Inc.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Partners,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HMO Corp.</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Therapeutics Company</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Principium Health,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Seek Insurance Services, Inc.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HK Limited</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Hong Kong</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Healthcare,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Health,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HMO,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HMO of New Jersey Inc.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Clover Insurance Company</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Service Professionals of NJ LLC</w:t>
            </w:r>
          </w:p>
        </w:tc>
        <w:tc>
          <w:tcPr>
            <w:tcW w:w="37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New Jersey</w:t>
            </w:r>
          </w:p>
        </w:tc>
      </w:tr>
    </w:tbl>
    <w:p>
      <w:pPr>
        <w:sectPr>
          <w:pgSz w:w="11900" w:h="16838" w:orient="portrait"/>
          <w:cols w:equalWidth="0" w:num="1">
            <w:col w:w="11020"/>
          </w:cols>
          <w:pgMar w:left="440" w:top="266" w:right="4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INFORMATION</w:t>
      </w:r>
    </w:p>
    <w:p>
      <w:pPr>
        <w:spacing w:after="0" w:line="22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information is derived from the unaudited pro forma condensed combined balance sheet and statements of operations and comprehensive loss.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SCH’s historical financial statements and Clover’s historical consolidated financial statements as adjusted to give effect to the Business Combination, defined in the unaudited pro forma condensed combined financial information found elsewhere in the proxy statement/consent solicitation statement/prospectus filed in relation to the Business Combination (the “Proxy Statement”) and the PIPE Investment for an aggregate commitment amount of $400.0 million . The unaudited pro forma condensed combined balance sheet gives pro forma effect to the Business Combination, treated as a reverse recapitalization for accounting purposes, and the PIPE Investment as if they had been consummated on September 30, 2020. The unaudited pro forma condensed combined statements of operations for the nine months ended September 30, 2020 and for the year ended December 31, 2019, give effect to the Business Combination and the PIPE Investment as if they had occurred on January 1, 2019, the beginning of the earliest period presented.</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prepared in accordance with Article 11 of SEC Regulation S-X. Accordingly, the historical financial information has been adjusted to give pro forma effect to events that are: (i) directly attributable to the Business Combination and the PIPE Investment, (ii) are factually supportable and, (iii) with respect to the unaudited pro forma condensed combined statement of operations, are expected to have a continuing impact on the results of operations of the combined company. The adjustments presented on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SCH and Clover have not had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actual redemptions of 24,892 SCH outstanding ordinary shares for an aggregate redemption payment of $0.2 million out of the trust account on the closing date of the Business Combination. No other SCH ordinary shares are subject to redemption.</w:t>
      </w:r>
    </w:p>
    <w:p>
      <w:pPr>
        <w:spacing w:after="0" w:line="17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should be read together with SCH’s and Clover’s historical financial statements and related notes,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Clover’s Management’s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SCH’s Management’s 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the Proxy Statement.</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200" w:type="dxa"/>
            <w:vAlign w:val="bottom"/>
          </w:tcPr>
          <w:p>
            <w:pPr>
              <w:spacing w:after="0"/>
              <w:rPr>
                <w:sz w:val="10"/>
                <w:szCs w:val="10"/>
                <w:color w:val="auto"/>
              </w:rPr>
            </w:pPr>
          </w:p>
        </w:tc>
        <w:tc>
          <w:tcPr>
            <w:tcW w:w="100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r>
      <w:tr>
        <w:trPr>
          <w:trHeight w:val="173"/>
        </w:trPr>
        <w:tc>
          <w:tcPr>
            <w:tcW w:w="3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42"/>
        </w:trPr>
        <w:tc>
          <w:tcPr>
            <w:tcW w:w="3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left="5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 of Operations data:</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506,655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462,266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531,899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645,483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3,541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(28,859)</w:t>
            </w:r>
          </w:p>
        </w:tc>
        <w:tc>
          <w:tcPr>
            <w:tcW w:w="2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(190,083)</w:t>
            </w:r>
          </w:p>
        </w:tc>
      </w:tr>
      <w:tr>
        <w:trPr>
          <w:trHeight w:val="346"/>
        </w:trPr>
        <w:tc>
          <w:tcPr>
            <w:tcW w:w="374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17"/>
        </w:trPr>
        <w:tc>
          <w:tcPr>
            <w:tcW w:w="6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42"/>
        </w:trPr>
        <w:tc>
          <w:tcPr>
            <w:tcW w:w="6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Balance sheet data:</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988,796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and securities payable, net of discounts and deferred issuance costs</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35,339</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194,886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793,910</w:t>
            </w:r>
          </w:p>
        </w:tc>
      </w:tr>
    </w:tbl>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September 30, 2020 combines the unaudited historical condensed consolidated balance sheet of SCH as of September 30, 2020 with the unaudited historical consolidated balance sheet of Clover as of September 30, 2020, giving effect to the Business Combination and a PIPE Investment with net proceeds of $400.0 million, as if they had been consummated as of that date.</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statements of operations for the nine months ended September 30, 2020 and for the year ended December 31, 2019 combines the unaudited historical condensed consolidated statements of operations of SCH for the nine months ended September 30, 2020 and for the year ended December 31, 2019, respectively, with the unaudited historical consolidated statement of operations of Clover for the nine months ended September 30, 2020 and for the year ended December 31, 2019, respectively, giving effect to the Business Combination and the PIPE Investment as if they had occurred as of January 1, 2019.</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historical financial information of SCH was derived from the unaudited condensed consolidated financial statements of SCH for the nine months ended September 30, 2020 and the audited financial statements of SCH for the year ended December 31, 2019 included elsewhere in the Proxy Statement. The historical financial information of Clover was derived from the unaudited consolidated financial statements of Clover for the nine months ended September 30, 2020 and the audited consolidated financial statements of Clover for the year ended December 31, 2019 included elsewhere in the Proxy Statement. This information should be read together with SCH’s and Clover’s audited and unaudited financial statements and related notes, 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 of Clover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SCH</w:t>
      </w:r>
      <w:r>
        <w:rPr>
          <w:rFonts w:ascii="Times New Roman" w:cs="Times New Roman" w:eastAsia="Times New Roman" w:hAnsi="Times New Roman"/>
          <w:sz w:val="18"/>
          <w:szCs w:val="18"/>
          <w:color w:val="auto"/>
        </w:rPr>
        <w:t>” and other financial information included elsewhere in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3" w:right="499" w:bottom="1440" w:gutter="0" w:footer="0" w:header="0"/>
        </w:sectPr>
      </w:pPr>
    </w:p>
    <w:bookmarkStart w:id="308" w:name="page309"/>
    <w:bookmarkEnd w:id="3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0"/>
                <w:szCs w:val="10"/>
                <w:color w:val="auto"/>
              </w:rPr>
            </w:pPr>
          </w:p>
        </w:tc>
        <w:tc>
          <w:tcPr>
            <w:tcW w:w="13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SCH</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Clover</w:t>
            </w:r>
          </w:p>
        </w:tc>
        <w:tc>
          <w:tcPr>
            <w:tcW w:w="80" w:type="dxa"/>
            <w:vAlign w:val="bottom"/>
          </w:tcPr>
          <w:p>
            <w:pPr>
              <w:spacing w:after="0"/>
              <w:rPr>
                <w:sz w:val="15"/>
                <w:szCs w:val="15"/>
                <w:color w:val="auto"/>
              </w:rPr>
            </w:pPr>
          </w:p>
        </w:tc>
        <w:tc>
          <w:tcPr>
            <w:tcW w:w="13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89,732</w:t>
            </w:r>
          </w:p>
        </w:tc>
        <w:tc>
          <w:tcPr>
            <w:tcW w:w="8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789,934</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$ 754,947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(25,095)</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(6b)</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400,000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(6c)</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(499,751)</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(6n)</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15,495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securities, available-for sale</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12,179</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27,878</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receivables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15,341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Reinsurance recoverable</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Healthcare receivables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34,325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 current</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8,135</w:t>
            </w:r>
          </w:p>
        </w:tc>
        <w:tc>
          <w:tcPr>
            <w:tcW w:w="8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(3,222)</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(6b)</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1"/>
              </w:rPr>
              <w:t>592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203,455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661,866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865,913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available-for-sale, at fair value</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98,298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9,106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2,157</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8,660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Pr>
          <w:p>
            <w:pPr>
              <w:spacing w:after="0"/>
              <w:rPr>
                <w:sz w:val="17"/>
                <w:szCs w:val="17"/>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held in trust account</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828,097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(28,980)</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(6d)</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(6,036)</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(6e)</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(2,898)</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(6f)</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(249)</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(6l)</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(789,934)</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(6a)</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2,990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828,689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326,338</w:t>
            </w:r>
          </w:p>
        </w:tc>
        <w:tc>
          <w:tcPr>
            <w:tcW w:w="8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(166,231)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$ 988,796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0"/>
                <w:szCs w:val="10"/>
                <w:color w:val="auto"/>
              </w:rPr>
            </w:pPr>
          </w:p>
        </w:tc>
        <w:tc>
          <w:tcPr>
            <w:tcW w:w="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SCH</w:t>
            </w: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80" w:type="dxa"/>
            <w:vAlign w:val="bottom"/>
          </w:tcPr>
          <w:p>
            <w:pPr>
              <w:spacing w:after="0"/>
              <w:rPr>
                <w:sz w:val="15"/>
                <w:szCs w:val="15"/>
                <w:color w:val="auto"/>
              </w:rPr>
            </w:pPr>
          </w:p>
        </w:tc>
        <w:tc>
          <w:tcPr>
            <w:tcW w:w="1360" w:type="dxa"/>
            <w:vAlign w:val="bottom"/>
            <w:gridSpan w:val="5"/>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Unpaid claims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(6b)</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notes and securities payable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Reinsurance premium payable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liabilities, current</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149,557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Deferred rent</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Notes and securities payable, net of discounts and deferred issuance costs</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96,114</w:t>
            </w: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343,454</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(6g)</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(404,229)</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(51,086)</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payable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(6j)</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underwriting commission</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366,605</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(202,507)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447,747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(447,747)</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(6i)</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Social Capital Hedosophia Class A ordinary shares subject to possible redemption</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792,901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(792,901)</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(6l)</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SCH preferred shares</w:t>
            </w:r>
          </w:p>
        </w:tc>
        <w:tc>
          <w:tcPr>
            <w:tcW w:w="8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SCH Class A ordinary shares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SCH Class B ordinary shares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(6k)</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Clover Common stock, $0.0001 par value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7</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(6i)</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(6m)</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Clover Health Common shares, $0.0001 par value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(6l)</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(6m)</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4</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(6c)</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408,949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412,532</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447,740</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(6i)</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49,402</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(6j)</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792,644</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(6l)</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(6b)</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(6m)</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399,996</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(6c)</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(499,749)</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(6n)</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(2,367)</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(901,634)</w:t>
            </w: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2,231</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(1,194,002)</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(6f)</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(343,454)</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(6g)</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51,086</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(6h)</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3,034</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(6m)</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8"/>
              </w:rPr>
              <w:t>(488,014)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6"/>
              </w:rPr>
              <w:t>1,276,924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redeemable common stock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828,689</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326,338</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51" w:right="439" w:bottom="1440" w:gutter="0" w:footer="0" w:header="0"/>
        </w:sectPr>
      </w:pPr>
    </w:p>
    <w:bookmarkStart w:id="310" w:name="page311"/>
    <w:bookmarkEnd w:id="3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gridSpan w:val="4"/>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Redemptions into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0"/>
                <w:szCs w:val="10"/>
                <w:color w:val="auto"/>
              </w:rPr>
            </w:pP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SCH</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6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Premiums earned, net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501,100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5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501,100</w:t>
            </w: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3,329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3,329</w:t>
            </w:r>
          </w:p>
        </w:tc>
        <w:tc>
          <w:tcPr>
            <w:tcW w:w="0" w:type="dxa"/>
            <w:vAlign w:val="bottom"/>
          </w:tcPr>
          <w:p>
            <w:pPr>
              <w:spacing w:after="0"/>
              <w:rPr>
                <w:sz w:val="1"/>
                <w:szCs w:val="1"/>
                <w:color w:val="auto"/>
              </w:rPr>
            </w:pPr>
          </w:p>
        </w:tc>
      </w:tr>
      <w:tr>
        <w:trPr>
          <w:trHeight w:val="155"/>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506,655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506,655</w:t>
            </w: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medical claims incurred</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410,540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410,540</w:t>
            </w:r>
          </w:p>
        </w:tc>
        <w:tc>
          <w:tcPr>
            <w:tcW w:w="0" w:type="dxa"/>
            <w:vAlign w:val="bottom"/>
          </w:tcPr>
          <w:p>
            <w:pPr>
              <w:spacing w:after="0"/>
              <w:rPr>
                <w:sz w:val="1"/>
                <w:szCs w:val="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8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57,339</w:t>
            </w:r>
          </w:p>
        </w:tc>
        <w:tc>
          <w:tcPr>
            <w:tcW w:w="80" w:type="dxa"/>
            <w:vAlign w:val="bottom"/>
          </w:tcPr>
          <w:p>
            <w:pPr>
              <w:spacing w:after="0"/>
              <w:rPr>
                <w:sz w:val="12"/>
                <w:szCs w:val="12"/>
                <w:color w:val="auto"/>
              </w:rPr>
            </w:pPr>
          </w:p>
        </w:tc>
        <w:tc>
          <w:tcPr>
            <w:tcW w:w="10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57,339</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79,798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79,798</w:t>
            </w:r>
          </w:p>
        </w:tc>
        <w:tc>
          <w:tcPr>
            <w:tcW w:w="0" w:type="dxa"/>
            <w:vAlign w:val="bottom"/>
          </w:tcPr>
          <w:p>
            <w:pPr>
              <w:spacing w:after="0"/>
              <w:rPr>
                <w:sz w:val="1"/>
                <w:szCs w:val="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Premium deficiency reserve expense (benefit)</w:t>
            </w:r>
          </w:p>
        </w:tc>
        <w:tc>
          <w:tcPr>
            <w:tcW w:w="8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(16,357)</w:t>
            </w:r>
          </w:p>
        </w:tc>
        <w:tc>
          <w:tcPr>
            <w:tcW w:w="80" w:type="dxa"/>
            <w:vAlign w:val="bottom"/>
          </w:tcPr>
          <w:p>
            <w:pPr>
              <w:spacing w:after="0"/>
              <w:rPr>
                <w:sz w:val="12"/>
                <w:szCs w:val="12"/>
                <w:color w:val="auto"/>
              </w:rPr>
            </w:pPr>
          </w:p>
        </w:tc>
        <w:tc>
          <w:tcPr>
            <w:tcW w:w="10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(16,357)</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and operating costs</w:t>
            </w:r>
          </w:p>
        </w:tc>
        <w:tc>
          <w:tcPr>
            <w:tcW w:w="8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(7a)</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(2,231)</w:t>
            </w:r>
          </w:p>
        </w:tc>
        <w:tc>
          <w:tcPr>
            <w:tcW w:w="58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(7b)</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531,733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(2,281)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531,899</w:t>
            </w:r>
          </w:p>
        </w:tc>
        <w:tc>
          <w:tcPr>
            <w:tcW w:w="0" w:type="dxa"/>
            <w:vAlign w:val="bottom"/>
          </w:tcPr>
          <w:p>
            <w:pPr>
              <w:spacing w:after="0"/>
              <w:rPr>
                <w:sz w:val="1"/>
                <w:szCs w:val="1"/>
                <w:color w:val="auto"/>
              </w:rPr>
            </w:pPr>
          </w:p>
        </w:tc>
      </w:tr>
      <w:tr>
        <w:trPr>
          <w:trHeight w:val="155"/>
        </w:trPr>
        <w:tc>
          <w:tcPr>
            <w:tcW w:w="6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(2,447)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(25,078)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2,281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8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31,903</w:t>
            </w:r>
          </w:p>
        </w:tc>
        <w:tc>
          <w:tcPr>
            <w:tcW w:w="8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(31,903)</w:t>
            </w:r>
          </w:p>
        </w:tc>
        <w:tc>
          <w:tcPr>
            <w:tcW w:w="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(7d)</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25,560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(22,019)</w:t>
            </w:r>
          </w:p>
        </w:tc>
        <w:tc>
          <w:tcPr>
            <w:tcW w:w="58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(7e)</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3,541</w:t>
            </w:r>
          </w:p>
        </w:tc>
        <w:tc>
          <w:tcPr>
            <w:tcW w:w="0" w:type="dxa"/>
            <w:vAlign w:val="bottom"/>
          </w:tcPr>
          <w:p>
            <w:pPr>
              <w:spacing w:after="0"/>
              <w:rPr>
                <w:sz w:val="1"/>
                <w:szCs w:val="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notes and securities discounts</w:t>
            </w:r>
          </w:p>
        </w:tc>
        <w:tc>
          <w:tcPr>
            <w:tcW w:w="80" w:type="dxa"/>
            <w:vAlign w:val="bottom"/>
          </w:tcPr>
          <w:p>
            <w:pPr>
              <w:spacing w:after="0"/>
              <w:rPr>
                <w:sz w:val="12"/>
                <w:szCs w:val="12"/>
                <w:color w:val="auto"/>
              </w:rPr>
            </w:pPr>
          </w:p>
        </w:tc>
        <w:tc>
          <w:tcPr>
            <w:tcW w:w="8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14,935</w:t>
            </w:r>
          </w:p>
        </w:tc>
        <w:tc>
          <w:tcPr>
            <w:tcW w:w="8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(14,861)</w:t>
            </w:r>
          </w:p>
        </w:tc>
        <w:tc>
          <w:tcPr>
            <w:tcW w:w="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(7e)</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derivative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(87,475)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87,475</w:t>
            </w:r>
          </w:p>
        </w:tc>
        <w:tc>
          <w:tcPr>
            <w:tcW w:w="58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(7f)</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(7c)</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other expense (income)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(15,077)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18,789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3,615</w:t>
            </w:r>
          </w:p>
        </w:tc>
        <w:tc>
          <w:tcPr>
            <w:tcW w:w="0" w:type="dxa"/>
            <w:vAlign w:val="bottom"/>
          </w:tcPr>
          <w:p>
            <w:pPr>
              <w:spacing w:after="0"/>
              <w:rPr>
                <w:sz w:val="1"/>
                <w:szCs w:val="1"/>
                <w:color w:val="auto"/>
              </w:rPr>
            </w:pPr>
          </w:p>
        </w:tc>
      </w:tr>
      <w:tr>
        <w:trPr>
          <w:trHeight w:val="182"/>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(16,508)</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6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income (loss) attributable to ordinary shares subject to conversion</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58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(7g)</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(2,443)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(10,001)</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(16,415)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(28,859)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Net loss per share—basic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3"/>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(0.12)</w:t>
            </w:r>
          </w:p>
        </w:tc>
        <w:tc>
          <w:tcPr>
            <w:tcW w:w="1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80"/>
              <w:spacing w:after="0" w:line="143" w:lineRule="exact"/>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50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20,157,288</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42,849,576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8"/>
              <w:spacing w:after="0" w:line="143" w:lineRule="exact"/>
              <w:rPr>
                <w:sz w:val="20"/>
                <w:szCs w:val="20"/>
                <w:color w:val="auto"/>
              </w:rPr>
            </w:pPr>
            <w:r>
              <w:rPr>
                <w:rFonts w:ascii="Times New Roman" w:cs="Times New Roman" w:eastAsia="Times New Roman" w:hAnsi="Times New Roman"/>
                <w:sz w:val="14"/>
                <w:szCs w:val="14"/>
                <w:color w:val="auto"/>
              </w:rPr>
              <w:t>384,283,521</w:t>
            </w:r>
          </w:p>
        </w:tc>
        <w:tc>
          <w:tcPr>
            <w:tcW w:w="50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4"/>
                <w:szCs w:val="14"/>
                <w:color w:val="auto"/>
              </w:rPr>
              <w:t>(7h)</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404,440,809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311" w:name="page312"/>
    <w:bookmarkEnd w:id="3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Redemptions into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0"/>
                <w:szCs w:val="10"/>
                <w:color w:val="auto"/>
              </w:rPr>
            </w:pPr>
          </w:p>
        </w:tc>
        <w:tc>
          <w:tcPr>
            <w:tcW w:w="9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SCH</w:t>
            </w:r>
          </w:p>
        </w:tc>
        <w:tc>
          <w:tcPr>
            <w:tcW w:w="8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5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Premiums earned, net</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456,926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456,926</w:t>
            </w: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55"/>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462,266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462,266</w:t>
            </w:r>
          </w:p>
        </w:tc>
        <w:tc>
          <w:tcPr>
            <w:tcW w:w="0" w:type="dxa"/>
            <w:vAlign w:val="bottom"/>
          </w:tcPr>
          <w:p>
            <w:pPr>
              <w:spacing w:after="0"/>
              <w:rPr>
                <w:sz w:val="1"/>
                <w:szCs w:val="1"/>
                <w:color w:val="auto"/>
              </w:rPr>
            </w:pPr>
          </w:p>
        </w:tc>
      </w:tr>
      <w:tr>
        <w:trPr>
          <w:trHeight w:val="156"/>
        </w:trPr>
        <w:tc>
          <w:tcPr>
            <w:tcW w:w="5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Expenses:</w:t>
            </w:r>
          </w:p>
        </w:tc>
        <w:tc>
          <w:tcPr>
            <w:tcW w:w="1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medical claims incurred</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450,645</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450,645</w:t>
            </w:r>
          </w:p>
        </w:tc>
        <w:tc>
          <w:tcPr>
            <w:tcW w:w="0" w:type="dxa"/>
            <w:vAlign w:val="bottom"/>
          </w:tcPr>
          <w:p>
            <w:pPr>
              <w:spacing w:after="0"/>
              <w:rPr>
                <w:sz w:val="1"/>
                <w:szCs w:val="1"/>
                <w:color w:val="auto"/>
              </w:rPr>
            </w:pPr>
          </w:p>
        </w:tc>
      </w:tr>
      <w:tr>
        <w:trPr>
          <w:trHeight w:val="148"/>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91,626</w:t>
            </w:r>
          </w:p>
        </w:tc>
        <w:tc>
          <w:tcPr>
            <w:tcW w:w="80" w:type="dxa"/>
            <w:vAlign w:val="bottom"/>
          </w:tcPr>
          <w:p>
            <w:pPr>
              <w:spacing w:after="0"/>
              <w:rPr>
                <w:sz w:val="12"/>
                <w:szCs w:val="12"/>
                <w:color w:val="auto"/>
              </w:rPr>
            </w:pPr>
          </w:p>
        </w:tc>
        <w:tc>
          <w:tcPr>
            <w:tcW w:w="10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91,626</w:t>
            </w: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94,757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94,757</w:t>
            </w:r>
          </w:p>
        </w:tc>
        <w:tc>
          <w:tcPr>
            <w:tcW w:w="0" w:type="dxa"/>
            <w:vAlign w:val="bottom"/>
          </w:tcPr>
          <w:p>
            <w:pPr>
              <w:spacing w:after="0"/>
              <w:rPr>
                <w:sz w:val="1"/>
                <w:szCs w:val="1"/>
                <w:color w:val="auto"/>
              </w:rPr>
            </w:pPr>
          </w:p>
        </w:tc>
      </w:tr>
      <w:tr>
        <w:trPr>
          <w:trHeight w:val="149"/>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Premium deficiency reserve expense (benefit)</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7,523</w:t>
            </w:r>
          </w:p>
        </w:tc>
        <w:tc>
          <w:tcPr>
            <w:tcW w:w="80" w:type="dxa"/>
            <w:vAlign w:val="bottom"/>
          </w:tcPr>
          <w:p>
            <w:pPr>
              <w:spacing w:after="0"/>
              <w:rPr>
                <w:sz w:val="12"/>
                <w:szCs w:val="12"/>
                <w:color w:val="auto"/>
              </w:rPr>
            </w:pPr>
          </w:p>
        </w:tc>
        <w:tc>
          <w:tcPr>
            <w:tcW w:w="10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7,523</w:t>
            </w: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8"/>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and operating costs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expense</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63"/>
        </w:trPr>
        <w:tc>
          <w:tcPr>
            <w:tcW w:w="53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645,465</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645,483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(183,199)</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49"/>
        </w:trPr>
        <w:tc>
          <w:tcPr>
            <w:tcW w:w="5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 Other expense (income):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2,909</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(2,909)</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23,155</w:t>
            </w:r>
          </w:p>
        </w:tc>
        <w:tc>
          <w:tcPr>
            <w:tcW w:w="8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(16,690)</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6,465</w:t>
            </w: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notes and securities discounts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15,913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(15,512)</w:t>
            </w:r>
          </w:p>
        </w:tc>
        <w:tc>
          <w:tcPr>
            <w:tcW w:w="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48"/>
        </w:trPr>
        <w:tc>
          <w:tcPr>
            <w:tcW w:w="5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derivative</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138,561</w:t>
            </w:r>
          </w:p>
        </w:tc>
        <w:tc>
          <w:tcPr>
            <w:tcW w:w="8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(138,561)</w:t>
            </w:r>
          </w:p>
        </w:tc>
        <w:tc>
          <w:tcPr>
            <w:tcW w:w="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other expense (income)</w:t>
            </w:r>
          </w:p>
        </w:tc>
        <w:tc>
          <w:tcPr>
            <w:tcW w:w="1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180,538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(173,672)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(363,737)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173,672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(190,083)</w:t>
            </w:r>
          </w:p>
        </w:tc>
        <w:tc>
          <w:tcPr>
            <w:tcW w:w="0" w:type="dxa"/>
            <w:vAlign w:val="bottom"/>
          </w:tcPr>
          <w:p>
            <w:pPr>
              <w:spacing w:after="0"/>
              <w:rPr>
                <w:sz w:val="1"/>
                <w:szCs w:val="1"/>
                <w:color w:val="auto"/>
              </w:rPr>
            </w:pPr>
          </w:p>
        </w:tc>
      </w:tr>
      <w:tr>
        <w:trPr>
          <w:trHeight w:val="263"/>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Less: income (loss) attributable to ordinary shares subject to conversion</w:t>
            </w:r>
          </w:p>
        </w:tc>
        <w:tc>
          <w:tcPr>
            <w:tcW w:w="12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(363,737)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173,672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(190,083)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per share—basic and diluted</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(17,631</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(8.56)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39"/>
              <w:spacing w:after="0" w:line="14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3" w:lineRule="exact"/>
              <w:rPr>
                <w:sz w:val="20"/>
                <w:szCs w:val="20"/>
                <w:color w:val="auto"/>
              </w:rPr>
            </w:pPr>
            <w:r>
              <w:rPr>
                <w:rFonts w:ascii="Times New Roman" w:cs="Times New Roman" w:eastAsia="Times New Roman" w:hAnsi="Times New Roman"/>
                <w:sz w:val="14"/>
                <w:szCs w:val="14"/>
                <w:color w:val="auto"/>
              </w:rPr>
              <w:t>42,469,175</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8"/>
              <w:spacing w:after="0" w:line="143" w:lineRule="exact"/>
              <w:rPr>
                <w:sz w:val="20"/>
                <w:szCs w:val="20"/>
                <w:color w:val="auto"/>
              </w:rPr>
            </w:pPr>
            <w:r>
              <w:rPr>
                <w:rFonts w:ascii="Times New Roman" w:cs="Times New Roman" w:eastAsia="Times New Roman" w:hAnsi="Times New Roman"/>
                <w:sz w:val="14"/>
                <w:szCs w:val="14"/>
                <w:color w:val="auto"/>
                <w:w w:val="99"/>
              </w:rPr>
              <w:t>404,440,808</w:t>
            </w:r>
          </w:p>
        </w:tc>
        <w:tc>
          <w:tcPr>
            <w:tcW w:w="40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(7h)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404,440,809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312" w:name="page313"/>
    <w:bookmarkEnd w:id="3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Unaudited Pro Forma Condensed Combined Financial Information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Description of the Merger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October 5, 2020, SCH entered into the Merger Agreement with Merger Sub, and Clover. At closing and pursuant to the Merger Agreement</w:t>
      </w:r>
    </w:p>
    <w:p>
      <w:pPr>
        <w:spacing w:after="0" w:line="27" w:lineRule="exact"/>
        <w:rPr>
          <w:sz w:val="20"/>
          <w:szCs w:val="20"/>
          <w:color w:val="auto"/>
        </w:rPr>
      </w:pPr>
    </w:p>
    <w:p>
      <w:pPr>
        <w:ind w:left="4" w:right="40" w:hanging="4"/>
        <w:spacing w:after="0" w:line="253" w:lineRule="auto"/>
        <w:tabs>
          <w:tab w:leader="none" w:pos="21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Clover, with the Clover surviving the merger as a wholly owned subsidiary of SCH, (ii) Clover merged with and into SCH, with SCH surviving the merger and (iii) SCH changed its name to Clover Health Investments, Corp. At the effective time of the First Merger, Clover amended its governing documents to authorize the Clover Class Z Common Stock at par value $0.0001 per share, which was issued to the excluded holders in connection with the Pre-Closing Restructuring Plan (as defined below).</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Clover affected the below steps set forth in the Merger Agreement (referring as “Pre-Closing Restructuring Plan”):</w:t>
      </w:r>
    </w:p>
    <w:p>
      <w:pPr>
        <w:spacing w:after="0" w:line="131" w:lineRule="exact"/>
        <w:rPr>
          <w:sz w:val="20"/>
          <w:szCs w:val="20"/>
          <w:color w:val="auto"/>
        </w:rPr>
      </w:pPr>
    </w:p>
    <w:p>
      <w:pPr>
        <w:ind w:left="964" w:hanging="424"/>
        <w:spacing w:after="0" w:line="282" w:lineRule="auto"/>
        <w:tabs>
          <w:tab w:leader="none" w:pos="96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Clover preferred stock converted into 67,427,138 shares of Clover common stock. Clover existing common stock refers to the shares of common stock, par value $0.0001 per share, of Clover.</w:t>
      </w:r>
    </w:p>
    <w:p>
      <w:pPr>
        <w:spacing w:after="0" w:line="67" w:lineRule="exact"/>
        <w:rPr>
          <w:rFonts w:ascii="Times New Roman" w:cs="Times New Roman" w:eastAsia="Times New Roman" w:hAnsi="Times New Roman"/>
          <w:sz w:val="18"/>
          <w:szCs w:val="18"/>
          <w:color w:val="auto"/>
        </w:rPr>
      </w:pPr>
    </w:p>
    <w:p>
      <w:pPr>
        <w:ind w:left="964" w:right="560" w:hanging="424"/>
        <w:spacing w:after="0" w:line="282" w:lineRule="auto"/>
        <w:tabs>
          <w:tab w:leader="none" w:pos="96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Clover existing common stock held by NJ Healthcare Investments, LLC, Caesar Ventures, LLC and Titus Ventures, LLC were exchanged for 39,419,411 shares of Clover Class Z Common Stock (“Founder Share Exchange”).</w:t>
      </w:r>
    </w:p>
    <w:p>
      <w:pPr>
        <w:spacing w:after="0" w:line="67"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principal and accrued but unpaid interest due on the Clover’s convertible securities was converted into 36,117,708 shares of Clover Class Z Common Stock.</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Clover’s warrants were converted into 3,484,154 shares of Clover common stock of which 331,280 shares were exchanged for cash in accordance with the Cash Consideration (as defined below).</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As a result of the Business Combination, among other things, (i) all outstanding shares of Clover common stock (after giving effect to the Pre-Closing Restructuring) as of immediately prior to the effective time of the First Merger, were cancelled in exchange for the right to receive, or the reservation of, at the election of the holders thereof (except with respect to the shares held by entities affiliated with Vivek Garipalli and certain other holders who received only shares of Clover Health B common stock), an amount in cash, shares of Clover Health Class B common stock, or a combination thereof, as adjusted in accordance with the Merger Agreement, which in the aggregate will equal an amount in cash of up to $500.0 million (less any redemptions from SCH’s public shareholders) (the “Cash Consideration”) and a number of shares of Clover Health Class B common stock equal to (A) 350,000,000, minus (B) the aggregate amount of Clover Health Class B common stock paid in respect of the shares held by entities controlled by Vivek Garipalli and certain other holders, minus (C) the aggregate amount of Clover Health Class B common stock that were issued upon the net exercise or conversion, as applicable, of the Clover Awards, minus (D) the quotient obtained by dividing (x) the Cash Consideration by (y) $10.00; (ii) shares of Clover held by entities controlled by Vivek Garipalli and certain other holders immediately prior to the effective time of the First Merger were cancelled in exchange for the right to receive shares of Clover Health Class B common stock based on the Exchange Ratio (as defined in the Merger Agreement); and (iii) all shares of Clover common stock reserved in respect of the Clover Awards outstanding as of immediately prior to the effective time of the First Merger, were converted, based on the Exchange Ratio, into awards based on shares of Class B common stock, which, in the case of all shares described in clauses (i), (ii) and (iii) hereof, in the aggregate equal an aggregate merger consideration of $3,500,000,000 (the “Aggregate Merger Consideration”). Each share of the Company Class Z Common Stock, in each case, that is issued and outstanding immediately prior to the First Effective Time was cancelled and converted into the right to an aggregate number of shares of Clover Health Class B Common Stock equal to the Exchange Ratio as defined below. An aggregate of $499.8 million of cash was paid to those of the Clover Stockholders who are eligible to make a cash election on a pro rata basis and $0.2 million of redemptions were elected by SCH’s public shareholders.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313" w:name="page314"/>
    <w:bookmarkEnd w:id="313"/>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Concurrently with the execution of the Merger Agreement, SCH entered into Subscription Agreements with the PIPE Investors. At closing, the PIPE Investors have collectively subscribed for 40,000,000 shares of the SCH Class A Common Stock for an aggregate purchase price equal to $400.0 million, a portion of which was funded by affiliates of Sponsor Related PIPE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information is prepared in accordance with Article 11 of SEC Regulation S-X. The unaudited pro forma condensed combined balance sheet as of September 30, 2020 is prepared using the historical unaudited condensed balance sheets of SCH and Clover as of September 30, 2020 and gives effect to the Business Combination and the PIPE Investment as if they occurred on September 30, 2020. The unaudited pro forma condensed combined statements of operations for the year ended December 31, 2019 and the nine months ended September 30, 2020 give effect to the Business Combination and the PIPE Investment as if they occurred on January 1, 2019 and were prepared using:</w:t>
      </w:r>
    </w:p>
    <w:p>
      <w:pPr>
        <w:spacing w:after="0" w:line="93" w:lineRule="exact"/>
        <w:rPr>
          <w:sz w:val="20"/>
          <w:szCs w:val="20"/>
          <w:color w:val="auto"/>
        </w:rPr>
      </w:pPr>
    </w:p>
    <w:p>
      <w:pPr>
        <w:ind w:left="960" w:hanging="424"/>
        <w:spacing w:after="0"/>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SCH for the period from October 18, 2019 (inception) through December 31, 2019;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Clover for the year ended December 31, 2019;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SCH as of and for the nine months ended September 30, 2020; and</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Clover as of and for the nine months ended September 30, 2020; and</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SCH and Clover have not had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actual redemptions of 24,892 SCH outstanding ordinary shares for an aggregate redemption payment of $0.2 million out of the trust account on the closing date of the Business Combination. No other SCH ordinary shares are subject to redemption.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Items Not Included in the Unaudited Pro Forma Condensed Combined Financial Statements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do not include the impacts of any cost or other operating synergies that may result from the Business Combination or any related restructuring costs that may be contemplated.</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do not include adjustments of $343.5 million of accretion of the unamortized discount and $51.1 million of elimination of the derivative liability associated with the conversion of Clover’s convertible securities, and $2.9 million to be paid to Connaught (UK) Limited as compensation for financial advisory services as these transactions are not expected to have a continuing impact on the operations of the combined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Accounting for the Merger</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GAAP. Under this method of accounting, SCH will be treated as the “acquired” company for financial reporting purposes. Accordingly, the Business Combination will be treated as the equivalent of Clover issuing stock for the net assets of SCH, accompanied by a recapitalization. The net assets of SCH will be stated at historical cost, with no goodwill or other intangible assets recorded. Operations prior to the Business Combination will be those of Clover. See the accounting treatment discussed elsewhere in the Proxy Statement.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Shares of Clover Common Stock</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Clover Health issued approximately 260,965,701 shares of Clover Health Class B Common Stock in the Business Combination and paid an aggregate of $499.8 million of cash (equivalent to 49,975,104 shares after applying the exchange ratio) to those of the Clover Stockholders eligible to make a cash election on a pro rata basis, based on the exchange ratio of 2.0681 as follows: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0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Common Stock assumed outstanding</w:t>
            </w:r>
          </w:p>
        </w:tc>
        <w:tc>
          <w:tcPr>
            <w:tcW w:w="4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10,747,570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44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22,226,751</w:t>
            </w: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Clover Class Z Common Stock assumed outstanding</w:t>
            </w: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5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75,537,119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156,216,390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Clover convertible preferred stock assumed outstanding</w:t>
            </w:r>
          </w:p>
        </w:tc>
        <w:tc>
          <w:tcPr>
            <w:tcW w:w="4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60,584,000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44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125,292,174</w:t>
            </w: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Clover warrant assumed outstanding prior to</w:t>
            </w: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closing of the Business Combination</w:t>
            </w:r>
          </w:p>
        </w:tc>
        <w:tc>
          <w:tcPr>
            <w:tcW w:w="5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3,484,154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Clover cash consideration shares payment prior to</w:t>
            </w:r>
          </w:p>
        </w:tc>
        <w:tc>
          <w:tcPr>
            <w:tcW w:w="4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closing of the Business Combination</w:t>
            </w:r>
          </w:p>
        </w:tc>
        <w:tc>
          <w:tcPr>
            <w:tcW w:w="5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(24,165,040)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44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(49,975,104)</w:t>
            </w: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Clover Health Class B Common Stock</w:t>
            </w: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issued to Clover Stockholders upon closing of the Business Combination</w:t>
            </w:r>
          </w:p>
        </w:tc>
        <w:tc>
          <w:tcPr>
            <w:tcW w:w="5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260,965,701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46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w w:val="88"/>
              </w:rPr>
              <w:t>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 Adjustments to Unaudited Pro Forma Condensed Combined Balance Sheet as of September 30, 2020</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2020 has been prepared to illustrate the effect of the Business Combination and has been prepared for informational purposes only.</w:t>
      </w:r>
    </w:p>
    <w:p>
      <w:pPr>
        <w:spacing w:after="0" w:line="162" w:lineRule="exact"/>
        <w:rPr>
          <w:sz w:val="20"/>
          <w:szCs w:val="20"/>
          <w:color w:val="auto"/>
        </w:rPr>
      </w:pPr>
    </w:p>
    <w:p>
      <w:pPr>
        <w:ind w:right="3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September 30, 2020 includes pro forma adjustments that are: (i) directly attributable to the Business Combination and the PIPE Investment, and (ii) factually supportable. SCH and Clover did not have any historical relationship prior to the Business Combination. Accordingly, no pro forma adjustments were required to eliminate activities between the companies.</w:t>
      </w:r>
    </w:p>
    <w:p>
      <w:pPr>
        <w:spacing w:after="0" w:line="15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included in the unaudited pro forma condensed combined balance sheet as of September 30, 2020, are as follows: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33" w:lineRule="exact"/>
        <w:rPr>
          <w:sz w:val="20"/>
          <w:szCs w:val="20"/>
          <w:color w:val="auto"/>
        </w:rPr>
      </w:pPr>
    </w:p>
    <w:p>
      <w:pPr>
        <w:ind w:left="960" w:hanging="532"/>
        <w:spacing w:after="0"/>
        <w:tabs>
          <w:tab w:leader="none" w:pos="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balance sheet of SCH as of September 30,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Clover as of September 30, 2020.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adjustments</w:t>
      </w:r>
    </w:p>
    <w:p>
      <w:pPr>
        <w:spacing w:after="0" w:line="133" w:lineRule="exact"/>
        <w:rPr>
          <w:sz w:val="20"/>
          <w:szCs w:val="20"/>
          <w:color w:val="auto"/>
        </w:rPr>
      </w:pPr>
    </w:p>
    <w:p>
      <w:pPr>
        <w:ind w:left="960" w:right="620" w:hanging="532"/>
        <w:spacing w:after="0" w:line="282" w:lineRule="auto"/>
        <w:tabs>
          <w:tab w:leader="none" w:pos="96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$789.9 million of cash from the cash and cash equivalents held in the trust account after adjustment for the payment of transaction-related fees.</w:t>
      </w:r>
    </w:p>
    <w:p>
      <w:pPr>
        <w:spacing w:after="0" w:line="67" w:lineRule="exact"/>
        <w:rPr>
          <w:rFonts w:ascii="Times New Roman" w:cs="Times New Roman" w:eastAsia="Times New Roman" w:hAnsi="Times New Roman"/>
          <w:sz w:val="18"/>
          <w:szCs w:val="18"/>
          <w:color w:val="auto"/>
        </w:rPr>
      </w:pPr>
    </w:p>
    <w:p>
      <w:pPr>
        <w:jc w:val="both"/>
        <w:ind w:left="960" w:right="160" w:hanging="532"/>
        <w:spacing w:after="0" w:line="266" w:lineRule="auto"/>
        <w:tabs>
          <w:tab w:leader="none" w:pos="96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Clover’s payment for $21.3 million of finance and advisory fees, $2.7 million of legal fees, and $2.2 million of accounting and auditing fees and other professional fees related to the Business Combination. All such fees have been recorded as an offset to additional paid-in capital. The classification of transaction costs as of September 30, 2020 is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 costs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8"/>
        </w:trPr>
        <w:tc>
          <w:tcPr>
            <w:tcW w:w="1060" w:type="dxa"/>
            <w:vAlign w:val="bottom"/>
            <w:tcBorders>
              <w:top w:val="single" w:sz="8" w:color="auto"/>
            </w:tcBorders>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gridSpan w:val="2"/>
          </w:tcPr>
          <w:p>
            <w:pPr>
              <w:spacing w:after="0"/>
              <w:rPr>
                <w:sz w:val="12"/>
                <w:szCs w:val="12"/>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previously capitalized and paid</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2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previously capitalized and not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estimated and paid subsequently and as part of the Business Combination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22,946</w:t>
            </w:r>
          </w:p>
        </w:tc>
        <w:tc>
          <w:tcPr>
            <w:tcW w:w="2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960" w:right="800" w:hanging="532"/>
        <w:spacing w:after="0" w:line="266" w:lineRule="auto"/>
        <w:tabs>
          <w:tab w:leader="none" w:pos="9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and sale of 40,000,000 shares of Clover Health Class A Common Stock to the PIPE investors pursuant to subscription agreements for an aggregate commitment amount of $400.0 million concurrent with the completion of the Business Combination.</w:t>
      </w:r>
    </w:p>
    <w:p>
      <w:pPr>
        <w:spacing w:after="0" w:line="81"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settlement of $29.0 million of deferred underwriters’ fees incurred during SCH’s IPO that are due upon completion of the Business Combination.</w:t>
      </w:r>
    </w:p>
    <w:p>
      <w:pPr>
        <w:spacing w:after="0" w:line="67" w:lineRule="exact"/>
        <w:rPr>
          <w:rFonts w:ascii="Times New Roman" w:cs="Times New Roman" w:eastAsia="Times New Roman" w:hAnsi="Times New Roman"/>
          <w:sz w:val="18"/>
          <w:szCs w:val="18"/>
          <w:color w:val="auto"/>
        </w:rPr>
      </w:pPr>
    </w:p>
    <w:p>
      <w:pPr>
        <w:ind w:left="960" w:right="340" w:hanging="532"/>
        <w:spacing w:after="0" w:line="266" w:lineRule="auto"/>
        <w:tabs>
          <w:tab w:leader="none" w:pos="9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SCH’s payment for $5.0 million of professional fees and $1.4 million of other transaction costs related to the Business Combination and the PIPE Investment. All such fees have been recorded as an offset to additional paid-in capital. The classification of transaction costs as of September 30, 2020 is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0"/>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 costs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9"/>
        </w:trPr>
        <w:tc>
          <w:tcPr>
            <w:tcW w:w="1060" w:type="dxa"/>
            <w:vAlign w:val="bottom"/>
            <w:tcBorders>
              <w:top w:val="single" w:sz="8" w:color="auto"/>
            </w:tcBorders>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gridSpan w:val="2"/>
          </w:tcPr>
          <w:p>
            <w:pPr>
              <w:spacing w:after="0"/>
              <w:rPr>
                <w:sz w:val="12"/>
                <w:szCs w:val="12"/>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previously capitalized and paid</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previously capitalized and not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estimated and paid subsequently and as part of the Business Combination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4,229</w:t>
            </w:r>
          </w:p>
        </w:tc>
        <w:tc>
          <w:tcPr>
            <w:tcW w:w="2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0" w:hanging="532"/>
        <w:spacing w:after="0"/>
        <w:tabs>
          <w:tab w:leader="none" w:pos="9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SCH’s payment for financial advisory fees of $2.9 million, which will be paid upon the closing of the Business Combination.</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accretion of the unamortized discount related to the Clover’s convertible securities of $343.5 million prior to the conversion of such convertible securities upon consummation of the Business Combination.</w:t>
      </w:r>
    </w:p>
    <w:p>
      <w:pPr>
        <w:spacing w:after="0" w:line="67"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$404.2 million of the outstanding principal and $8.3 million of accrued interest under Clover’s convertible securities into 36,117,708 shares of Clover common stock upon consummation of the Business Combination. The $51.1 million of derivative liability associated with Clover’s convertible securities was eliminated in connection with the conversion of Clover’s convertible securities. The elimination of the derivative liability is reflected in accumulated retained earnings (deficit) and not shown in the unaudited pro forma condensed combined statements of operations for the nine months ended September 30, 2020 and for the year ended December 31, 2019 as the transaction is not expected to have a recurring impact.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316" w:name="page317"/>
    <w:bookmarkEnd w:id="316"/>
    <w:p>
      <w:pPr>
        <w:ind w:left="964" w:hanging="532"/>
        <w:spacing w:after="0" w:line="266" w:lineRule="auto"/>
        <w:tabs>
          <w:tab w:leader="none" w:pos="96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reflect the automatic conversion, on a one to one basis, of all outstanding shares of Clover’s preferred stock, with a carrying amount of $447.7 million, into 60,584,000 shares of Clover common stock and 6,843,138 shares of Clover Class Z Common Stock as a part of the Pre-Closing Restructuring Plan. The Clover’s preferred stock outstanding shares are comprised of the following:</w:t>
      </w:r>
    </w:p>
    <w:p>
      <w:pPr>
        <w:spacing w:after="0" w:line="19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Preferred Stock classes</w:t>
            </w:r>
          </w:p>
        </w:tc>
        <w:tc>
          <w:tcPr>
            <w:tcW w:w="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A-1 Preferred Stock</w:t>
            </w:r>
            <w:r>
              <w:rPr>
                <w:rFonts w:ascii="Times New Roman" w:cs="Times New Roman" w:eastAsia="Times New Roman" w:hAnsi="Times New Roman"/>
                <w:sz w:val="15"/>
                <w:szCs w:val="15"/>
                <w:color w:val="auto"/>
              </w:rPr>
              <w:t>(1)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951,347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5,274,468</w:t>
            </w:r>
          </w:p>
        </w:tc>
        <w:tc>
          <w:tcPr>
            <w:tcW w:w="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10,338,818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r>
              <w:rPr>
                <w:rFonts w:ascii="Times New Roman" w:cs="Times New Roman" w:eastAsia="Times New Roman" w:hAnsi="Times New Roman"/>
                <w:sz w:val="15"/>
                <w:szCs w:val="15"/>
                <w:color w:val="auto"/>
              </w:rPr>
              <w:t>(1)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18,471,585</w:t>
            </w:r>
          </w:p>
        </w:tc>
        <w:tc>
          <w:tcPr>
            <w:tcW w:w="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25,547,782</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Preferred Stock issued and outstanding</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60,584,000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424" w:right="40" w:hanging="439"/>
        <w:spacing w:after="0" w:line="266" w:lineRule="auto"/>
        <w:tabs>
          <w:tab w:leader="none" w:pos="1424" w:val="left"/>
        </w:tabs>
        <w:numPr>
          <w:ilvl w:val="2"/>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6,247,914 Series A-1 Preferred Stock shares and 595,224 Series C Preferred Stock shares owned by founders prior to the conversion of the Founder Share Exchange. Per the Founder Share Exchange, these Series A-1 and Series C Preferred Stock shares are converted to Clover Class Z Common Stock.</w:t>
      </w:r>
    </w:p>
    <w:p>
      <w:pPr>
        <w:spacing w:after="0" w:line="81" w:lineRule="exact"/>
        <w:rPr>
          <w:rFonts w:ascii="Times New Roman" w:cs="Times New Roman" w:eastAsia="Times New Roman" w:hAnsi="Times New Roman"/>
          <w:sz w:val="15"/>
          <w:szCs w:val="15"/>
          <w:color w:val="auto"/>
        </w:rPr>
      </w:pPr>
    </w:p>
    <w:p>
      <w:pPr>
        <w:ind w:left="964" w:right="280" w:hanging="532"/>
        <w:spacing w:after="0" w:line="266" w:lineRule="auto"/>
        <w:tabs>
          <w:tab w:leader="none" w:pos="9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$49.4 million of warrant payable associated with liability-classified warrants upon the exercise of all Clover’s outstanding preferred stock and common stock warrants into an aggregate of 3,484,145 shares of Clover common stock upon consummation of the Business Combination, of which shares 331,280 were subject to the Cash Consideration.</w:t>
      </w:r>
    </w:p>
    <w:p>
      <w:pPr>
        <w:spacing w:after="0" w:line="81"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automatic conversion of all issued and outstanding shares of SCH Class B ordinary shares into an aggregate of 20,700,000 shares of Clover Health Class A common stock upon consummation of the Business Combination.</w:t>
      </w:r>
    </w:p>
    <w:p>
      <w:pPr>
        <w:spacing w:after="0" w:line="67"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redemption of 24,892 SCH Class A ordinary shares in an aggregate redemption payment of $0.2 million and the transfer of $792.7 million of remaining SCH Class A ordinary shares to permanent equity.</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Clover through the contribution of all the share capital of Clover to Clover Health and the issuance of 143,475,108 shares of Clover Health Class A Common Stock and 260,965,701 shares of Clover Health Class B Common Stock and the elimination of the accumulated deficit of SCH, the accounting acquiree. See footnote 7(g) for further detail of share information.</w:t>
      </w:r>
    </w:p>
    <w:p>
      <w:pPr>
        <w:spacing w:after="0" w:line="81" w:lineRule="exact"/>
        <w:rPr>
          <w:rFonts w:ascii="Times New Roman" w:cs="Times New Roman" w:eastAsia="Times New Roman" w:hAnsi="Times New Roman"/>
          <w:sz w:val="18"/>
          <w:szCs w:val="18"/>
          <w:color w:val="auto"/>
        </w:rPr>
      </w:pPr>
    </w:p>
    <w:p>
      <w:pPr>
        <w:ind w:left="964" w:right="320" w:hanging="532"/>
        <w:spacing w:after="0" w:line="282" w:lineRule="auto"/>
        <w:tabs>
          <w:tab w:leader="none" w:pos="9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aggregate of $499.8 million of cash consideration payment (equivalent to 49,975,104 shares after applying the exchange ratio), to those of the Clover Stockholders eligible to make a cash election on a pro rata basis.</w:t>
      </w:r>
    </w:p>
    <w:p>
      <w:pPr>
        <w:spacing w:after="0" w:line="265" w:lineRule="exact"/>
        <w:rPr>
          <w:rFonts w:ascii="Times New Roman" w:cs="Times New Roman" w:eastAsia="Times New Roman" w:hAnsi="Times New Roman"/>
          <w:sz w:val="18"/>
          <w:szCs w:val="18"/>
          <w:color w:val="auto"/>
        </w:rPr>
      </w:pPr>
    </w:p>
    <w:p>
      <w:pPr>
        <w:ind w:left="4" w:right="60" w:hanging="4"/>
        <w:spacing w:after="0" w:line="286" w:lineRule="auto"/>
        <w:tabs>
          <w:tab w:leader="none" w:pos="17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Statements of Operations for the Nine Months Ended September 30, 2020 and the Year Ended December 31, 2019</w:t>
      </w:r>
    </w:p>
    <w:p>
      <w:pPr>
        <w:spacing w:after="0" w:line="5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include pro forma adjustments that are: (i) directly attributable to the transactions described above, (ii) factually supportable, and (iii) expected to</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4"/>
          </w:cols>
          <w:pgMar w:left="436" w:top="270" w:right="559" w:bottom="1440" w:gutter="0" w:footer="0" w:header="0"/>
        </w:sectPr>
      </w:pPr>
    </w:p>
    <w:bookmarkStart w:id="317" w:name="page318"/>
    <w:bookmarkEnd w:id="31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a continuing impact on the results of the post-combination company. SCH and Clover did not have any historical relationship prior to the Business Combination. Accordingly, no pro forma adjustments were required to eliminate activities between the companies. SCH recognized $2.2 million of transaction costs during the nine months ended September 30, 2020 and no transaction costs during the period from October 18, 2019 (inception) through December 31, 2019. No material transaction costs were recognized for Clover during the nine months ended September 30, 2020 and the year ended December 31, 2019.</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statements of operations are based upon the number of Clover Health’s Class A and Class B shares outstanding at the closing of the Business Combination, assuming the Business Combination occurred on January 1, 2019. As the unaudited pro forma condensed combined statements of operations are in a loss position, anti-dilutive instruments were not included in the calculation of diluted weighted average number of common shares outstanding.</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33" w:lineRule="exact"/>
        <w:rPr>
          <w:sz w:val="20"/>
          <w:szCs w:val="20"/>
          <w:color w:val="auto"/>
        </w:rPr>
      </w:pPr>
    </w:p>
    <w:p>
      <w:pPr>
        <w:ind w:left="960" w:hanging="532"/>
        <w:spacing w:after="0"/>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operations of SCH for the nine months ended September 30, 2020.</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and comprehensive loss of Clover for the nine months ended September 30, 2020.</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statement of operations of SCH for the period from October 18, 2019 (Inception) through December 31, 2019.</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and comprehensive loss of Clover for the year ended December 31, 2019.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adjustments</w:t>
      </w:r>
    </w:p>
    <w:p>
      <w:pPr>
        <w:spacing w:after="0" w:line="133" w:lineRule="exact"/>
        <w:rPr>
          <w:sz w:val="20"/>
          <w:szCs w:val="20"/>
          <w:color w:val="auto"/>
        </w:rPr>
      </w:pPr>
    </w:p>
    <w:p>
      <w:pPr>
        <w:ind w:left="960" w:hanging="532"/>
        <w:spacing w:after="0" w:line="266" w:lineRule="auto"/>
        <w:tabs>
          <w:tab w:leader="none" w:pos="9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$50,000 for administrative and support services to the Sponsor that terminates upon the completion of the Business Combination. SCH entered into an agreement whereby, commencing on April 21, 2020, SCH paid an affiliate of the Sponsor $10,000 per month for office space, administrative and support services.</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direct transaction fees incurred as a result of the Business Combination as those fees are not expected to have a continuing impact on the operations of the combined organization.</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income on cash and marketable securities held in the trust account as of the beginning of the period.</w:t>
      </w:r>
    </w:p>
    <w:p>
      <w:pPr>
        <w:spacing w:after="0" w:line="67" w:lineRule="exact"/>
        <w:rPr>
          <w:rFonts w:ascii="Times New Roman" w:cs="Times New Roman" w:eastAsia="Times New Roman" w:hAnsi="Times New Roman"/>
          <w:sz w:val="18"/>
          <w:szCs w:val="18"/>
          <w:color w:val="auto"/>
        </w:rPr>
      </w:pPr>
    </w:p>
    <w:p>
      <w:pPr>
        <w:ind w:left="960" w:right="300" w:hanging="532"/>
        <w:spacing w:after="0" w:line="261" w:lineRule="auto"/>
        <w:tabs>
          <w:tab w:leader="none" w:pos="9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the impact of the change in the fair value of warrant payable for warrants issued by Clover as it is assumed that all warrants would have been exercised for Clover Common Stock pursuant to the Merger Agreement. As a result, such warrants would no longer be subject to fair value accounting following the assumed closing of the Business Combination on January 1, 2019.</w:t>
      </w:r>
    </w:p>
    <w:p>
      <w:pPr>
        <w:spacing w:after="0" w:line="85"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expense and amortization of discounts on Clover’s convertible securities that were converted to equity upon completion of the Business Combination. The adjustments were based on the total interest expense and amortization of discounts on Clover’s convertible securities recorded as of and for the nine months period ended September 30, 2020 and for the year ended December 31, 2019.</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18" w:name="page319"/>
    <w:bookmarkEnd w:id="318"/>
    <w:p>
      <w:pPr>
        <w:jc w:val="both"/>
        <w:ind w:left="960" w:right="180" w:hanging="532"/>
        <w:spacing w:after="0" w:line="261" w:lineRule="auto"/>
        <w:tabs>
          <w:tab w:leader="none" w:pos="9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reflect an adjustment to eliminate the impact of the change in the fair value of derivative liability associated with Clover’s convertible securities as it is assumed that all convertible securities would have been converted to Clover’s common stock and then to Clover Health Class B Common Stock on January 1, 2019. As a result, the derivative liability would be extinguished following the assumed closing of the Business Combination on January 1, 2019.</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income attributable to ordinary shares subject to redemption as of the beginning of the period.</w:t>
      </w:r>
    </w:p>
    <w:p>
      <w:pPr>
        <w:spacing w:after="0" w:line="130"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Business Combination and the PIPE Investment are being reflected as if they had occurred at the beginning of the earliest period presented, the calculation of weighted average shares outstanding for basic and diluted net loss per share assumes that the shares issuable relating to the Business Combination and the PIPE Investment have been outstanding for the entirety of the periods presented. The 24,892 shares redeemed by SCH’s public shareholders have been retroactively adjusted to eliminate such shares for the entire period. Weighted average common shares outstanding—basic and diluted for the nine months ended September 30, 2020 and year ended December 31, 2019 are calculated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720" w:type="dxa"/>
            <w:vAlign w:val="bottom"/>
          </w:tcPr>
          <w:p>
            <w:pPr>
              <w:spacing w:after="0"/>
              <w:rPr>
                <w:sz w:val="15"/>
                <w:szCs w:val="15"/>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17"/>
        </w:trPr>
        <w:tc>
          <w:tcPr>
            <w:tcW w:w="9720" w:type="dxa"/>
            <w:vAlign w:val="bottom"/>
          </w:tcPr>
          <w:p>
            <w:pPr>
              <w:spacing w:after="0"/>
              <w:rPr>
                <w:sz w:val="10"/>
                <w:szCs w:val="10"/>
                <w:color w:val="auto"/>
              </w:rPr>
            </w:pPr>
          </w:p>
        </w:tc>
        <w:tc>
          <w:tcPr>
            <w:tcW w:w="12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 (Actual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Remptions into</w:t>
            </w:r>
          </w:p>
        </w:tc>
        <w:tc>
          <w:tcPr>
            <w:tcW w:w="0" w:type="dxa"/>
            <w:vAlign w:val="bottom"/>
          </w:tcPr>
          <w:p>
            <w:pPr>
              <w:spacing w:after="0"/>
              <w:rPr>
                <w:sz w:val="1"/>
                <w:szCs w:val="1"/>
                <w:color w:val="auto"/>
              </w:rPr>
            </w:pPr>
          </w:p>
        </w:tc>
      </w:tr>
      <w:tr>
        <w:trPr>
          <w:trHeight w:val="173"/>
        </w:trPr>
        <w:tc>
          <w:tcPr>
            <w:tcW w:w="9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96"/>
        </w:trPr>
        <w:tc>
          <w:tcPr>
            <w:tcW w:w="9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calculation—basic and diluted</w:t>
            </w: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SCH issuance of Class B ordinary shares</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Clover Health of Class A Common Stock in connection with closing of the PIPE Investment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Clover Health Class B Common Stock to Clover shareholders in connection with the Business Combination</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260,965,701</w:t>
            </w: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Class A ordinary shares subject to redemption reclassified to equity</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82,775,108</w:t>
            </w:r>
          </w:p>
        </w:tc>
        <w:tc>
          <w:tcPr>
            <w:tcW w:w="0" w:type="dxa"/>
            <w:vAlign w:val="bottom"/>
          </w:tcPr>
          <w:p>
            <w:pPr>
              <w:spacing w:after="0"/>
              <w:rPr>
                <w:sz w:val="1"/>
                <w:szCs w:val="1"/>
                <w:color w:val="auto"/>
              </w:rPr>
            </w:pPr>
          </w:p>
        </w:tc>
      </w:tr>
      <w:tr>
        <w:trPr>
          <w:trHeight w:val="223"/>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404,440,809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9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9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17"/>
        </w:trPr>
        <w:tc>
          <w:tcPr>
            <w:tcW w:w="9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Combined (Actual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Remptions into</w:t>
            </w:r>
          </w:p>
        </w:tc>
        <w:tc>
          <w:tcPr>
            <w:tcW w:w="0" w:type="dxa"/>
            <w:vAlign w:val="bottom"/>
          </w:tcPr>
          <w:p>
            <w:pPr>
              <w:spacing w:after="0"/>
              <w:rPr>
                <w:sz w:val="1"/>
                <w:szCs w:val="1"/>
                <w:color w:val="auto"/>
              </w:rPr>
            </w:pPr>
          </w:p>
        </w:tc>
      </w:tr>
      <w:tr>
        <w:trPr>
          <w:trHeight w:val="173"/>
        </w:trPr>
        <w:tc>
          <w:tcPr>
            <w:tcW w:w="9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96"/>
        </w:trPr>
        <w:tc>
          <w:tcPr>
            <w:tcW w:w="9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calculation—basic and diluted</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SCH issuance of Class B ordinary shares</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Clover Health of Class A Common Stock in connection with closing of the PIPE Investment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Clover Health Class B Common Stock to Clover shareholders in connection with the Business Combination</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260,965,701</w:t>
            </w:r>
          </w:p>
        </w:tc>
        <w:tc>
          <w:tcPr>
            <w:tcW w:w="0" w:type="dxa"/>
            <w:vAlign w:val="bottom"/>
          </w:tcPr>
          <w:p>
            <w:pPr>
              <w:spacing w:after="0"/>
              <w:rPr>
                <w:sz w:val="1"/>
                <w:szCs w:val="1"/>
                <w:color w:val="auto"/>
              </w:rPr>
            </w:pP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Class A ordinary shares subject to redemption reclassified to equity</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82,775,108</w:t>
            </w:r>
          </w:p>
        </w:tc>
        <w:tc>
          <w:tcPr>
            <w:tcW w:w="0" w:type="dxa"/>
            <w:vAlign w:val="bottom"/>
          </w:tcPr>
          <w:p>
            <w:pPr>
              <w:spacing w:after="0"/>
              <w:rPr>
                <w:sz w:val="1"/>
                <w:szCs w:val="1"/>
                <w:color w:val="auto"/>
              </w:rPr>
            </w:pPr>
          </w:p>
        </w:tc>
      </w:tr>
      <w:tr>
        <w:trPr>
          <w:trHeight w:val="223"/>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404,440,809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143125" cy="5060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21431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Clover Health and Social Capital Hedosophia Holdings Corp. III Announce Closing of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Clover Health Class A Common Stock to Begin Trading on Nasdaq as “CLOV” on January 8, 2021</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NASHVILLE, Tenn. &amp; PALO ALTO, Calif.—(BUSINESS WIRE)--Jan. 7, 2021-- Clover Health Investments, Corp. (“Clover”), an innovative technology company improving health outcomes for America’s seniors, and Social Capital Hedosophia Holdings Corp. III (NYSE: IPOC) (“SCH”), a publicly traded special purpose acquisition company, today completed their previously announced business combination to form one of the nation’s fastest growing publicly-traded Medicare Advantage insurers. The newly formed company is named Clover Health Investments, Corp. (“Clover Health” or the “Company”) and its shares of Class A common stock and warrants will start trading on The Nasdaq Global Select Market (“Nasdaq”) under the new ticker symbols “CLOV” and “CLOVW,” respectively.</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business combination, which has an enterprise value of approximately $3.7 billion, will provide significant capital for the Company to scale and improve health outcomes for seniors across the United States. SCH shareholders approved the transaction at an extraordinary general meeting on January 6, 2021.</w:t>
      </w:r>
    </w:p>
    <w:p>
      <w:pPr>
        <w:spacing w:after="0" w:line="17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“Today marks an important milestone in Clover Health’s mission to improve every life by enabling improved clinical decision making and achieving affordability in healthcare in the U.S.,” said Vivek Garipalli, CEO and Co-Founder of Clover Health. “As a public company, we will continue to pioneer a fundamentally different approach in the Medicare Advantage and Medicare space – investing in technology and partnering closely with physicians to help them make critical decisions for their patients at the point of care – with an overarching commitment to creating value for all stakeholders.”</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Chamath Palihapitiya, CEO and Founder of SCH, said: “On behalf of the SCH team, I am thrilled to announce the closing of this transaction and bring Clover Health to the public markets. Vivek, Andrew and their team have created a next-generation Medicare Advantage company that combines wide access to healthcare with a technology-enabled operating model. We are confident that Clover Health will continue to empower physicians to deliver better care and better outcomes for all its members and look forward to partnering with them in this next stage of growth.”</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Clover’s management team, led by CEO and Co-Founder Vivek Garipalli and President and Co-Founder Andrew Toy, will continue to lead the newly formed company. Chamath Palihapitiya, Founder and CEO of SCH, will act as a senior advisor to the Company’s management.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Trading is expected to begin on the Nasdaq on January 8, 2021, under the new ticker symbol “CLOV” for Clover Health Class A common stock and “CLOVW” for the Clover Health warrants.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Connaught acted as financial advisor, Credit Suisse acted as placement agent and capital markets advisor and Skadden, Arps, Slate, Meagher &amp; Flom LLP acted as legal advisor to SCH. Citigroup acted as financial advisor, placement agent and capital markets advisor. J.P. Morgan acted as financial advisor and capital markets advisor. Jefferies LLC also acted as financial advisor. Blueshirt Capital Advisors acted as capital markets advisor and Orrick, Herrington &amp; Sutcliffe LLP acted as legal advisor to Clover.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Capital Hedosophia Holdings Corp. III</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Social Capital Hedosophia Holdings Corp. III is a partnership between the investment firms of Social Capital and Hedosophia. Social Capital Hedosophia Holdings Corp. III unites technologists, entrepreneurs and technology-oriented investors around a shared vision of identifying and investing in innovative and agile technology companies. To learn more about Social Capital Hedosophia Holdings Corp. III, visit </w:t>
      </w:r>
      <w:r>
        <w:rPr>
          <w:rFonts w:ascii="Times New Roman" w:cs="Times New Roman" w:eastAsia="Times New Roman" w:hAnsi="Times New Roman"/>
          <w:sz w:val="18"/>
          <w:szCs w:val="18"/>
          <w:u w:val="single" w:color="auto"/>
          <w:color w:val="auto"/>
        </w:rPr>
        <w:t>www.socialcapitalhedosophiaholdings.com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Clover Health</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Clover Health is a healthcare technology company with a deeply rooted mission of improving every life. Clover uses its proprietary technology platform to collect, structure, and analyze health and behavioral data to improve medical outcomes and lower costs for patients. As a company whose business goals fully align with its members’ health needs, Clover works with members and their doctors to become a valued partner. This trust is built by proactively identifying at-risk individuals and teaming up with physicians to accelerate care coordination and simultaneously improve health outcomes and reduce avoidable costs. Clover has offices in San Francisco, Jersey City, Nashville and Hong Kong.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www.cloverhealth.com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320" w:name="page321"/>
    <w:bookmarkEnd w:id="320"/>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within the meaning of the federal securities laws with respect to the transaction between Clover and SCH, including statements regarding Clover Health’s business strategy, plans and objectives of management for future operations, including as they relate to the anticipated effects of the business combination and the listing of shares of Clover Health on Nasdaq.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outcome of any legal proceedings that may be instituted against SCH and Clover following the consummation of the business combination, (ii) the effect of the transaction on Clover Health’s business relationships, operating results, and business generally, (iii) the risk that the transaction disrupts current plans and operations of Clover Health, (iv) the ability to maintain the listing of Clover Health’s securities on a national securities exchange, (v) the risk of downturns and a changing regulatory landscape in the highly competitive residential real estate industry,</w:t>
      </w:r>
    </w:p>
    <w:p>
      <w:pPr>
        <w:spacing w:after="0" w:line="2" w:lineRule="exact"/>
        <w:rPr>
          <w:sz w:val="20"/>
          <w:szCs w:val="20"/>
          <w:color w:val="auto"/>
        </w:rPr>
      </w:pPr>
    </w:p>
    <w:p>
      <w:pPr>
        <w:ind w:left="4" w:hanging="4"/>
        <w:spacing w:after="0" w:line="251" w:lineRule="auto"/>
        <w:tabs>
          <w:tab w:leader="none" w:pos="30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transaction, (vii) the failure to realize anticipated benefits of the transaction or to realize estimated pro forma results and underlying assumptions, and (viii) the possibility that Clover Health may be adversely affected by other economic, business, and/or competitive factors. The foregoing list of factors is not exhaustive. You should carefully consider the foregoing factors and the other risks and uncertainties described in the “Risk Factors” section of the definitive proxy statement/prospectus filed by SCH with the Securities and Exchange Commission (the “SEC”) on December 14, 2020, and other documents filed by SCH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Clover Health assumes no obligation and does not intend to update or revise these forward-looking statements, whether as a result of new information, future events, or otherwise. Clover Health does not give any assurance that it will achieve its expectations.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View source version on </w:t>
      </w:r>
      <w:r>
        <w:rPr>
          <w:rFonts w:ascii="Times New Roman" w:cs="Times New Roman" w:eastAsia="Times New Roman" w:hAnsi="Times New Roman"/>
          <w:sz w:val="18"/>
          <w:szCs w:val="18"/>
          <w:u w:val="single" w:color="auto"/>
          <w:color w:val="auto"/>
        </w:rPr>
        <w:t>businesswire.com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https://www.businesswire.com/news/home/20210107005762/en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Clover Health: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Andy Robinson / Andrew Still-Baxter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Clover Health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press@cloverhealth.com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+1.718.915.1519 / +1.406.250.8397</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Whitney Kukulka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investors@cloverhealth.com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Sara Evans / Kerry Golds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Finsbury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sara.evans@finsbury.com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kerry.golds@finsbury.com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+1.917.344.9279 / +1.646.957.2279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Jonathan Gasthalter / Carissa Felger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Gasthalter &amp; 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SCH@gasthalter.com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Social Capital Hedosophia Holdings Corp. III</w:t>
      </w:r>
    </w:p>
    <w:p>
      <w:pPr>
        <w:sectPr>
          <w:pgSz w:w="11900" w:h="16838" w:orient="portrait"/>
          <w:cols w:equalWidth="0" w:num="1">
            <w:col w:w="11004"/>
          </w:cols>
          <w:pgMar w:left="436" w:top="117" w:right="45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9" w:lineRule="exact"/>
        <w:rPr>
          <w:sz w:val="20"/>
          <w:szCs w:val="20"/>
          <w:color w:val="auto"/>
        </w:rPr>
      </w:pPr>
    </w:p>
    <w:p>
      <w:pPr>
        <w:ind w:left="4"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and similar terms refer to Clover and its subsidiaries prior to the Closing, and to Clover Health and its subsidiaries after Closing</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certain compensation awarded to, earned by or paid to our Chief Executive Officer and each of our two other most highly compensated officers, whom we collectively refer to as “named executive officers,” during the years ended December 31, 2019 and 2020.</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06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Awards (2)</w:t>
            </w:r>
          </w:p>
        </w:tc>
        <w:tc>
          <w:tcPr>
            <w:tcW w:w="15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Vivek Garipalli</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2020</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13"/>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Toy</w:t>
            </w: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4"/>
                <w:szCs w:val="24"/>
                <w:color w:val="auto"/>
              </w:rPr>
            </w:pP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5"/>
              </w:rPr>
              <w:t>415,385</w:t>
            </w:r>
          </w:p>
        </w:tc>
        <w:tc>
          <w:tcPr>
            <w:tcW w:w="1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8,190,695</w:t>
            </w:r>
          </w:p>
        </w:tc>
        <w:tc>
          <w:tcPr>
            <w:tcW w:w="120" w:type="dxa"/>
            <w:vAlign w:val="bottom"/>
          </w:tcPr>
          <w:p>
            <w:pPr>
              <w:spacing w:after="0"/>
              <w:rPr>
                <w:sz w:val="24"/>
                <w:szCs w:val="2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11,805 (4)</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8,617,885</w:t>
            </w:r>
          </w:p>
        </w:tc>
        <w:tc>
          <w:tcPr>
            <w:tcW w:w="0" w:type="dxa"/>
            <w:vAlign w:val="bottom"/>
          </w:tcPr>
          <w:p>
            <w:pPr>
              <w:spacing w:after="0"/>
              <w:rPr>
                <w:sz w:val="1"/>
                <w:szCs w:val="1"/>
                <w:color w:val="auto"/>
              </w:rPr>
            </w:pPr>
          </w:p>
        </w:tc>
      </w:tr>
      <w:tr>
        <w:trPr>
          <w:trHeight w:val="23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Technology Officer</w:t>
            </w: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5"/>
              </w:rPr>
              <w:t>400,000</w:t>
            </w: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23,593 (3)</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423,593</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Gia Lee</w:t>
            </w:r>
          </w:p>
        </w:tc>
        <w:tc>
          <w:tcPr>
            <w:tcW w:w="1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5"/>
              </w:rPr>
              <w:t>415,385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978,250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10,577 (5)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1,404,212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12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5"/>
              </w:rPr>
              <w:t>331,731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346,500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his own recommendation to our board of directors, Mr. Garipalli elected to forego any compensation for 2019 and 2020.</w:t>
      </w:r>
    </w:p>
    <w:p>
      <w:pPr>
        <w:spacing w:after="0" w:line="27"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represents the aggregate grant date fair value of stock options granted under our 2014 Equity Incentive Plan as computed in accordance with FASB ASC Topic 718. The assumptions used in calculating the dollar amount recognized for financial statement reporting purposes of the stock option awards reported in this column are set forth in Note 18 to our consolidated financial statements included elsewhere in the Proxy Statement/Prospectus. Note that the amount reported in this column reflects the accounting value for the stock option awards and may not correspond to the actual economic value that may be received by the named executive officer from the equity award.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(i) car services and related transportation costs of $17,516 and (ii) matching 401(k) contributions of $6,077.</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(i) car services and related transportation costs of $3,805 and (ii) matching 401(k) contributions of $8,000.</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matching 401(k) contributions.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in Effect Prior to the Closing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121" w:lineRule="exact"/>
        <w:rPr>
          <w:sz w:val="20"/>
          <w:szCs w:val="20"/>
          <w:color w:val="auto"/>
        </w:rPr>
      </w:pPr>
    </w:p>
    <w:p>
      <w:pPr>
        <w:ind w:left="4" w:right="220" w:firstLine="440"/>
        <w:spacing w:after="0" w:line="281" w:lineRule="auto"/>
        <w:rPr>
          <w:sz w:val="20"/>
          <w:szCs w:val="20"/>
          <w:color w:val="auto"/>
        </w:rPr>
      </w:pPr>
      <w:r>
        <w:rPr>
          <w:rFonts w:ascii="Times New Roman" w:cs="Times New Roman" w:eastAsia="Times New Roman" w:hAnsi="Times New Roman"/>
          <w:sz w:val="17"/>
          <w:szCs w:val="17"/>
          <w:color w:val="auto"/>
        </w:rPr>
        <w:t>Clover previously entered into offer letters with Mr. Toy and Ms. Lee. Both of these arrangements provide for at will employment and generally include the named executive officer’s initial base salary and an initial equity award grant. In addition, Mr. Garipalli, Mr. Toy and Ms. Lee have each executed a confidential information and invention assignment agreement with Clover. Mr. Toy’s offer letter and all the benefits provided therein was superseded by the employment agreement that he entered into with Clover in connection with the Closing, which is described in more detail below.</w:t>
      </w:r>
    </w:p>
    <w:p>
      <w:pPr>
        <w:spacing w:after="0" w:line="164"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Ms. Lee’s offer letter provides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21"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Clover has provided in the offer letter with Ms. Lee that if she is terminated by us without cause or if she resigns for good reason upon the consummation of or within 24 months following a change in control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322" w:name="page323"/>
    <w:bookmarkEnd w:id="322"/>
    <w:p>
      <w:pPr>
        <w:ind w:left="4"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then 100% of the then unvested shares subject to her equity awards will immediately vest and become exercisable upon the date of such termination.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2020 Pension Benefits/Nonqualified Deferred Compensation Table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 of Clover’s named executive officers participated in any defined benefit pension plans or any non-qualified deferred compensation plans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2020.</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Clover’s named executive officers are eligible to participate in Clover’s employee benefit plans, including Clover’s medical, dental, vision, group life, disability and accidental death and dismemberment insurance plans, in each case, on the same basis as all of Clover’s other employees. Clover provides a 401(k) plan to its employees, including its current named executive officers, as discussed in the section below entitled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Clover generally does not provide perquisites or personal benefits to Clover’s named executive officers, except in limited circumstances.</w:t>
      </w:r>
    </w:p>
    <w:p>
      <w:pPr>
        <w:spacing w:after="0" w:line="178"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Clover maintains a 401(k) plan that provides eligible employees with an opportunity to save for retirement on a tax advantaged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are able to defer eligible compensation subject to applicable annual Code limits. Employees are immediately and fully vested in their contributions. The 401(k) plan permits Clover to make matching contributions and profit-sharing contributions to eligible participants. Clover intends for its 401(k) plan to qualify under Sections 401(a) and 501(a) of the Code so that contributions by employees to the 401(k) plan, and earnings on those contributions, are not taxable to employees until withdrawn from the 401(k) plan.</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stock options held by certain of the named executive officers as of December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2020 on an as converted basis.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40" w:type="dxa"/>
            <w:vAlign w:val="bottom"/>
          </w:tcPr>
          <w:p>
            <w:pPr>
              <w:spacing w:after="0"/>
              <w:rPr>
                <w:sz w:val="12"/>
                <w:szCs w:val="12"/>
                <w:color w:val="auto"/>
              </w:rPr>
            </w:pPr>
          </w:p>
        </w:tc>
        <w:tc>
          <w:tcPr>
            <w:tcW w:w="1660" w:type="dxa"/>
            <w:vAlign w:val="bottom"/>
            <w:gridSpan w:val="3"/>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5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40" w:type="dxa"/>
            <w:vAlign w:val="bottom"/>
          </w:tcPr>
          <w:p>
            <w:pPr>
              <w:spacing w:after="0"/>
              <w:rPr>
                <w:sz w:val="10"/>
                <w:szCs w:val="10"/>
                <w:color w:val="auto"/>
              </w:rPr>
            </w:pPr>
          </w:p>
        </w:tc>
        <w:tc>
          <w:tcPr>
            <w:tcW w:w="7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Vivek Garipalli</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5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Andrew Toy</w:t>
            </w:r>
          </w:p>
        </w:tc>
        <w:tc>
          <w:tcPr>
            <w:tcW w:w="1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07/22/2018</w:t>
            </w:r>
            <w:r>
              <w:rPr>
                <w:rFonts w:ascii="Times New Roman" w:cs="Times New Roman" w:eastAsia="Times New Roman" w:hAnsi="Times New Roman"/>
                <w:sz w:val="15"/>
                <w:szCs w:val="15"/>
                <w:color w:val="auto"/>
              </w:rPr>
              <w:t>(2)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631,033</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07/21/2028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07/22/2018</w:t>
            </w:r>
            <w:r>
              <w:rPr>
                <w:rFonts w:ascii="Times New Roman" w:cs="Times New Roman" w:eastAsia="Times New Roman" w:hAnsi="Times New Roman"/>
                <w:sz w:val="15"/>
                <w:szCs w:val="15"/>
                <w:color w:val="auto"/>
              </w:rPr>
              <w:t>(3)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3,155,168</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07/21/2028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5"/>
                <w:szCs w:val="15"/>
                <w:color w:val="auto"/>
              </w:rPr>
              <w:t>(4)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5,344,515</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02/03/2030</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5"/>
                <w:szCs w:val="15"/>
                <w:color w:val="auto"/>
              </w:rPr>
              <w:t>(5)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3,669,607</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02/03/2030</w:t>
            </w:r>
          </w:p>
        </w:tc>
        <w:tc>
          <w:tcPr>
            <w:tcW w:w="0" w:type="dxa"/>
            <w:vAlign w:val="bottom"/>
          </w:tcPr>
          <w:p>
            <w:pPr>
              <w:spacing w:after="0"/>
              <w:rPr>
                <w:sz w:val="1"/>
                <w:szCs w:val="1"/>
                <w:color w:val="auto"/>
              </w:rPr>
            </w:pPr>
          </w:p>
        </w:tc>
      </w:tr>
      <w:tr>
        <w:trPr>
          <w:trHeight w:val="90"/>
        </w:trPr>
        <w:tc>
          <w:tcPr>
            <w:tcW w:w="5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Gia Lee</w:t>
            </w:r>
          </w:p>
        </w:tc>
        <w:tc>
          <w:tcPr>
            <w:tcW w:w="1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03/26/2019</w:t>
            </w:r>
            <w:r>
              <w:rPr>
                <w:rFonts w:ascii="Times New Roman" w:cs="Times New Roman" w:eastAsia="Times New Roman" w:hAnsi="Times New Roman"/>
                <w:sz w:val="15"/>
                <w:szCs w:val="15"/>
                <w:color w:val="auto"/>
              </w:rPr>
              <w:t>(6)(7)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393,364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175,356</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03/25/2029</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15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5"/>
                <w:szCs w:val="15"/>
                <w:color w:val="auto"/>
              </w:rPr>
              <w:t>(7)(8)</w:t>
            </w:r>
          </w:p>
        </w:tc>
        <w:tc>
          <w:tcPr>
            <w:tcW w:w="10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232,441</w:t>
            </w:r>
          </w:p>
        </w:tc>
        <w:tc>
          <w:tcPr>
            <w:tcW w:w="9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103,261</w:t>
            </w:r>
          </w:p>
        </w:tc>
        <w:tc>
          <w:tcPr>
            <w:tcW w:w="92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2.23</w:t>
            </w:r>
          </w:p>
        </w:tc>
        <w:tc>
          <w:tcPr>
            <w:tcW w:w="9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02/03/2030</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5"/>
                <w:szCs w:val="15"/>
                <w:color w:val="auto"/>
              </w:rPr>
              <w:t>(7)(9)</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504,093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504,093</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02/03/2030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awards were granted under our 2014 Plan.</w:t>
      </w:r>
    </w:p>
    <w:p>
      <w:pPr>
        <w:spacing w:after="0" w:line="27"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1/12th of the shares subject to the option vested on February 5, 2018, and on each month thereafter, subject to continued service to us as of each vesting date, except as otherwise provided in the named executive officer’s employment agreement.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323" w:name="page324"/>
    <w:bookmarkEnd w:id="323"/>
    <w:p>
      <w:pPr>
        <w:ind w:left="424" w:right="180" w:hanging="424"/>
        <w:spacing w:after="0" w:line="276" w:lineRule="auto"/>
        <w:tabs>
          <w:tab w:leader="none" w:pos="424"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1/5th of the shares subject to the option vested on February 5, 2019, and an additional 1/48th of the remaining shares vest monthly thereafter, subject to continued service to us as of each vesting date, except as otherwise provided in the named executive officer’s employment agreement.</w:t>
      </w:r>
    </w:p>
    <w:p>
      <w:pPr>
        <w:ind w:left="424" w:right="160" w:hanging="424"/>
        <w:spacing w:after="0" w:line="250" w:lineRule="auto"/>
        <w:tabs>
          <w:tab w:leader="none" w:pos="4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w:t>
      </w:r>
    </w:p>
    <w:p>
      <w:pPr>
        <w:ind w:left="424" w:right="160" w:hanging="424"/>
        <w:spacing w:after="0" w:line="250" w:lineRule="auto"/>
        <w:tabs>
          <w:tab w:leader="none" w:pos="4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 The shares subject to the option are fully vested as of January 7, 2021.</w:t>
      </w:r>
    </w:p>
    <w:p>
      <w:pPr>
        <w:spacing w:after="0" w:line="1" w:lineRule="exact"/>
        <w:rPr>
          <w:rFonts w:ascii="Times New Roman" w:cs="Times New Roman" w:eastAsia="Times New Roman" w:hAnsi="Times New Roman"/>
          <w:sz w:val="18"/>
          <w:szCs w:val="18"/>
          <w:color w:val="auto"/>
        </w:rPr>
      </w:pPr>
    </w:p>
    <w:p>
      <w:pPr>
        <w:ind w:left="424" w:right="420" w:hanging="424"/>
        <w:spacing w:after="0" w:line="265" w:lineRule="auto"/>
        <w:tabs>
          <w:tab w:leader="none" w:pos="424"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1/5th of the shares subject to the option vested on January 14, 2020, and an additional 1/48th of the remaining shares vest monthly thereafter, subject to continued service to us as of each vesting date, except as otherwise provided in the named executive officer’s offer letter.</w:t>
      </w:r>
    </w:p>
    <w:p>
      <w:pPr>
        <w:ind w:left="424" w:right="320" w:hanging="424"/>
        <w:spacing w:after="0" w:line="250" w:lineRule="auto"/>
        <w:tabs>
          <w:tab w:leader="none" w:pos="4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option grant is early exercisable, while the other 50% becomes exercisable once vested, except as otherwise provided in the named executive officer’s offer letter.</w:t>
      </w:r>
    </w:p>
    <w:p>
      <w:pPr>
        <w:ind w:left="424" w:right="280" w:hanging="424"/>
        <w:spacing w:after="0" w:line="250" w:lineRule="auto"/>
        <w:tabs>
          <w:tab w:leader="none" w:pos="4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February 14, 2019 and an additional 1/60th of the remaining shares vest monthly thereafter, subject to continued service to us as of each vesting date, except as otherwise provided in the name executive’s offer letter.</w:t>
      </w:r>
    </w:p>
    <w:p>
      <w:pPr>
        <w:ind w:left="424" w:right="540" w:hanging="424"/>
        <w:spacing w:after="0" w:line="260" w:lineRule="auto"/>
        <w:tabs>
          <w:tab w:leader="none" w:pos="42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24/60th of the shares subject to the option vest on January 1, 2022 and an additional 1/60th of the remaining shares vest monthly thereafter, subject to continued service to us as of each vesting date, except as otherwise provided in the name executive’s offer letter.</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119"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Clover’s board of directors adopted the 2014 Equity Incentive Plan (the “2014 Plan”) in July 2014, and Clover’s stockholders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2014 Plan in October 2014. The 2014 Plan was last amended in September 2018. Effective as of the Closing Date, the 2014 Plan terminated at which time the outstanding awards previously granted thereunder were assumed by us, and no new awards are available for grant under the 2014 Plan. The 2014 Plan provided for incentive and nonstatutory stock options to purchase shares of Clover common stock, restricted stock awards and restricted stock unit awards. Previously granted awards under the 2014 Plan continue to be subject to the terms and conditions of the 2014 Plan and the stock award agreements pursuant to which such awards were granted.</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the 2014 Plan Granted in Connection with the Business Combination</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Clover’s board of directors granted the following stock awards under the 2014 Plan effective immediately prior to the Closing to Mr. Garipalli and Mr. Toy (the “Pre-Closing Founder Grants”).</w:t>
      </w:r>
    </w:p>
    <w:p>
      <w:pPr>
        <w:spacing w:after="0" w:line="67" w:lineRule="exact"/>
        <w:rPr>
          <w:sz w:val="20"/>
          <w:szCs w:val="20"/>
          <w:color w:val="auto"/>
        </w:rPr>
      </w:pPr>
    </w:p>
    <w:p>
      <w:pPr>
        <w:ind w:left="964" w:right="20" w:hanging="532"/>
        <w:spacing w:after="0" w:line="282" w:lineRule="auto"/>
        <w:tabs>
          <w:tab w:leader="none" w:pos="96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Garipalli Performance-Based Award –Clover granted Mr. Garipalli, a performance-based RSU award covering 7,164,581 shares of Class B common stock, which will vest and become settled by satisfying each of the following two conditions:</w:t>
      </w:r>
    </w:p>
    <w:p>
      <w:pPr>
        <w:spacing w:after="0" w:line="67"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Garipalli’s continued service to us as our CEO, Co-CEO or Executive Chairman through each vesting date; and</w:t>
      </w:r>
    </w:p>
    <w:p>
      <w:pPr>
        <w:spacing w:after="0" w:line="67" w:lineRule="exact"/>
        <w:rPr>
          <w:rFonts w:ascii="Times New Roman" w:cs="Times New Roman" w:eastAsia="Times New Roman" w:hAnsi="Times New Roman"/>
          <w:sz w:val="18"/>
          <w:szCs w:val="18"/>
          <w:color w:val="auto"/>
        </w:rPr>
      </w:pPr>
    </w:p>
    <w:p>
      <w:pPr>
        <w:ind w:left="1424" w:right="20" w:hanging="439"/>
        <w:spacing w:after="0" w:line="289" w:lineRule="auto"/>
        <w:tabs>
          <w:tab w:leader="none" w:pos="1424"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63" w:lineRule="exact"/>
        <w:rPr>
          <w:rFonts w:ascii="Times New Roman" w:cs="Times New Roman" w:eastAsia="Times New Roman" w:hAnsi="Times New Roman"/>
          <w:sz w:val="17"/>
          <w:szCs w:val="17"/>
          <w:color w:val="auto"/>
        </w:rPr>
      </w:pPr>
    </w:p>
    <w:p>
      <w:pPr>
        <w:ind w:left="964" w:right="60" w:hanging="532"/>
        <w:spacing w:after="0" w:line="282" w:lineRule="auto"/>
        <w:tabs>
          <w:tab w:leader="none" w:pos="96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Toy Performance-Based Award - Clover granted Mr. Toy, a performance-based RSU award covering 3,582,291 shares of Class B common stock, which will vest and become settled by satisfying each of the following two conditions:</w:t>
      </w:r>
    </w:p>
    <w:p>
      <w:pPr>
        <w:spacing w:after="0" w:line="67"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Toy’s continued service to our through each vesting date; and</w:t>
      </w:r>
    </w:p>
    <w:p>
      <w:pPr>
        <w:spacing w:after="0" w:line="67" w:lineRule="exact"/>
        <w:rPr>
          <w:rFonts w:ascii="Times New Roman" w:cs="Times New Roman" w:eastAsia="Times New Roman" w:hAnsi="Times New Roman"/>
          <w:sz w:val="18"/>
          <w:szCs w:val="18"/>
          <w:color w:val="auto"/>
        </w:rPr>
      </w:pPr>
    </w:p>
    <w:p>
      <w:pPr>
        <w:ind w:left="1424" w:right="80" w:hanging="439"/>
        <w:spacing w:after="0" w:line="312" w:lineRule="auto"/>
        <w:tabs>
          <w:tab w:leader="none" w:pos="1424"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pacing w:after="0" w:line="14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upon a change in control as defined in the 2014 Plan (which did not include the Business Combination),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will also be subject to the terms and conditions of the employment agreements that Mr. Garipalli and Mr. Toy entered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with Clover Health as discussed in the section below entitled “—</w:t>
      </w:r>
      <w:r>
        <w:rPr>
          <w:rFonts w:ascii="Times New Roman" w:cs="Times New Roman" w:eastAsia="Times New Roman" w:hAnsi="Times New Roman"/>
          <w:sz w:val="18"/>
          <w:szCs w:val="18"/>
          <w:i w:val="1"/>
          <w:iCs w:val="1"/>
          <w:color w:val="auto"/>
        </w:rPr>
        <w:t>Executive Compensation Arrangements in Effect as of the Closing</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in Effect as of the Closing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Vivek Garipalli</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Garipalli, which was assumed by Clover Health, pursuant to which Mr. Garipalli serves as Clover Health’s Chief Executive Officer and will report directly to Clover Health’s board of directors. Mr. Garipalli’s employment under the employment agreement is at-will.</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his employment agreement, we granted Mr. Garipalli two RSU awards as of the date of the Closing, which collectively covers 22,284,655 shares of our Class B common stock that represent four percent (4%) of the number of shares of all classes of our common stock as of the Closing (together, the “Garipalli Management Plan RSUs”). The vesting schedule and other terms of the Garipalli Management Plan RSUs are described in the below sections entitled “</w:t>
      </w:r>
      <w:r>
        <w:rPr>
          <w:rFonts w:ascii="Times New Roman" w:cs="Times New Roman" w:eastAsia="Times New Roman" w:hAnsi="Times New Roman"/>
          <w:sz w:val="18"/>
          <w:szCs w:val="18"/>
          <w:i w:val="1"/>
          <w:iCs w:val="1"/>
          <w:color w:val="auto"/>
        </w:rPr>
        <w:t>—Management Incentive Plan—Garipalli Time-Based Award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 Incentive Plan—Garipalli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Performance-Based Award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Mr. Garipalli’s employment agreement:</w:t>
      </w:r>
    </w:p>
    <w:p>
      <w:pPr>
        <w:spacing w:after="0" w:line="117" w:lineRule="exact"/>
        <w:rPr>
          <w:sz w:val="20"/>
          <w:szCs w:val="20"/>
          <w:color w:val="auto"/>
        </w:rPr>
      </w:pPr>
    </w:p>
    <w:p>
      <w:pPr>
        <w:ind w:left="980" w:right="40"/>
        <w:spacing w:after="0" w:line="254" w:lineRule="auto"/>
        <w:rPr>
          <w:sz w:val="20"/>
          <w:szCs w:val="20"/>
          <w:color w:val="auto"/>
        </w:rPr>
      </w:pPr>
      <w:r>
        <w:rPr>
          <w:rFonts w:ascii="Times New Roman" w:cs="Times New Roman" w:eastAsia="Times New Roman" w:hAnsi="Times New Roman"/>
          <w:sz w:val="18"/>
          <w:szCs w:val="18"/>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 (iv) 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84" w:lineRule="exact"/>
        <w:rPr>
          <w:sz w:val="20"/>
          <w:szCs w:val="20"/>
          <w:color w:val="auto"/>
        </w:rPr>
      </w:pPr>
    </w:p>
    <w:p>
      <w:pPr>
        <w:ind w:left="980" w:right="240"/>
        <w:spacing w:after="0" w:line="270" w:lineRule="auto"/>
        <w:rPr>
          <w:sz w:val="20"/>
          <w:szCs w:val="20"/>
          <w:color w:val="auto"/>
        </w:rPr>
      </w:pPr>
      <w:r>
        <w:rPr>
          <w:rFonts w:ascii="Times New Roman" w:cs="Times New Roman" w:eastAsia="Times New Roman" w:hAnsi="Times New Roman"/>
          <w:sz w:val="17"/>
          <w:szCs w:val="17"/>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 situated executive officers), provided, that a reduction of less than 10 percent will not be considered material,</w:t>
      </w:r>
    </w:p>
    <w:p>
      <w:pPr>
        <w:spacing w:after="0" w:line="3" w:lineRule="exact"/>
        <w:rPr>
          <w:sz w:val="20"/>
          <w:szCs w:val="20"/>
          <w:color w:val="auto"/>
        </w:rPr>
      </w:pPr>
    </w:p>
    <w:p>
      <w:pPr>
        <w:ind w:left="980" w:right="60" w:firstLine="7"/>
        <w:spacing w:after="0" w:line="255" w:lineRule="auto"/>
        <w:tabs>
          <w:tab w:leader="none" w:pos="129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325" w:name="page326"/>
    <w:bookmarkEnd w:id="32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Andrew Toy</w:t>
      </w:r>
    </w:p>
    <w:p>
      <w:pPr>
        <w:spacing w:after="0" w:line="11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Toy, which was assumed by Clover Health, pursuant to which Mr. Toy serves as Clover Health’s President and Chief Technology Officer and will report directly to Mr. Garipalli. Mr. Toy’s employment under the employment agreement is at-will.</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 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the employment agreement, we granted Mr. Toy, an RSU award under the Management Incentive Plan as of the date of the Closing that covers 11,142,328 shares of our Class B common stock (the “Toy Management Plan RSUs”). The vesting schedule and other terms of the Toy Management Plan RSUs are described in the below section entitled “</w:t>
      </w:r>
      <w:r>
        <w:rPr>
          <w:rFonts w:ascii="Times New Roman" w:cs="Times New Roman" w:eastAsia="Times New Roman" w:hAnsi="Times New Roman"/>
          <w:sz w:val="18"/>
          <w:szCs w:val="18"/>
          <w:i w:val="1"/>
          <w:iCs w:val="1"/>
          <w:color w:val="auto"/>
        </w:rPr>
        <w:t>—Management Incentive Plan—Toy Performance-Based Award</w:t>
      </w:r>
      <w:r>
        <w:rPr>
          <w:rFonts w:ascii="Times New Roman" w:cs="Times New Roman" w:eastAsia="Times New Roman" w:hAnsi="Times New Roman"/>
          <w:sz w:val="18"/>
          <w:szCs w:val="18"/>
          <w:color w:val="auto"/>
        </w:rPr>
        <w:t>.” Mr. Toy will also be eligible for future equity awards from us under the 2020 Plan as determined by the board of directors or the compensation committee in their discretion.</w:t>
      </w:r>
    </w:p>
    <w:p>
      <w:pPr>
        <w:spacing w:after="0" w:line="183"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Closing Date, Mr. Toy also received vesting in full of his option granted on February 4, 2020 for 3,669,607 shares of Clover common stock (on an as-converted basis) under the 2014 Plan.</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 (i) 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Mr. Toy’s employment agreement, “cause” has the same definition as Mr. Garipalli’s described above. “Good reason,” for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Toy’s employment agreement is defined as follows:</w:t>
      </w:r>
    </w:p>
    <w:p>
      <w:pPr>
        <w:spacing w:after="0" w:line="99" w:lineRule="exact"/>
        <w:rPr>
          <w:sz w:val="20"/>
          <w:szCs w:val="20"/>
          <w:color w:val="auto"/>
        </w:rPr>
      </w:pPr>
    </w:p>
    <w:p>
      <w:pPr>
        <w:ind w:left="980"/>
        <w:spacing w:after="0" w:line="276" w:lineRule="auto"/>
        <w:rPr>
          <w:sz w:val="20"/>
          <w:szCs w:val="20"/>
          <w:color w:val="auto"/>
        </w:rPr>
      </w:pPr>
      <w:r>
        <w:rPr>
          <w:rFonts w:ascii="Times New Roman" w:cs="Times New Roman" w:eastAsia="Times New Roman" w:hAnsi="Times New Roman"/>
          <w:sz w:val="17"/>
          <w:szCs w:val="17"/>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w:t>
      </w:r>
    </w:p>
    <w:p>
      <w:pPr>
        <w:spacing w:after="0" w:line="1" w:lineRule="exact"/>
        <w:rPr>
          <w:sz w:val="20"/>
          <w:szCs w:val="20"/>
          <w:color w:val="auto"/>
        </w:rPr>
      </w:pPr>
    </w:p>
    <w:p>
      <w:pPr>
        <w:ind w:left="980" w:right="100" w:firstLine="7"/>
        <w:spacing w:after="0" w:line="253" w:lineRule="auto"/>
        <w:tabs>
          <w:tab w:leader="none" w:pos="124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326" w:name="page327"/>
    <w:bookmarkEnd w:id="326"/>
    <w:p>
      <w:pPr>
        <w:ind w:left="98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percent will not be considered material, (v) any requirement for him to report to a work facility or location other than his home office or required business travel, or (iv) a material breach by the company of a material provision of his employment agreement.</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2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Gia Lee</w:t>
      </w:r>
    </w:p>
    <w:p>
      <w:pPr>
        <w:spacing w:after="0" w:line="119" w:lineRule="exact"/>
        <w:rPr>
          <w:sz w:val="20"/>
          <w:szCs w:val="20"/>
          <w:color w:val="auto"/>
        </w:rPr>
      </w:pPr>
    </w:p>
    <w:p>
      <w:pPr>
        <w:jc w:val="both"/>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We expect to enter into an employment agreement with Ms. Lee, pursuant to which Ms. Lee will serve as our General Counsel and will report directly to our Chief Executive Officer. We anticipate her agreement will establish, among other things, her base salary, target bonus opportunity, and standard employee benefits. Until then, the terms of Ms. Lee’s current offer letter as described above in “—</w:t>
      </w:r>
      <w:r>
        <w:rPr>
          <w:rFonts w:ascii="Times New Roman" w:cs="Times New Roman" w:eastAsia="Times New Roman" w:hAnsi="Times New Roman"/>
          <w:sz w:val="18"/>
          <w:szCs w:val="18"/>
          <w:i w:val="1"/>
          <w:iCs w:val="1"/>
          <w:color w:val="auto"/>
        </w:rPr>
        <w:t>Executive Compensation Arrangements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Prior to the Closing</w:t>
      </w:r>
      <w:r>
        <w:rPr>
          <w:rFonts w:ascii="Times New Roman" w:cs="Times New Roman" w:eastAsia="Times New Roman" w:hAnsi="Times New Roman"/>
          <w:sz w:val="18"/>
          <w:szCs w:val="18"/>
          <w:color w:val="auto"/>
        </w:rPr>
        <w:t>” will continue to apply.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On October 5, 2020, SCH’s board of directors adopted, and on January 6, 2021, our stockholders approved the 2020 Equity Incentive Plan (the “2020 Plan”). The 2020 Plan became effective on January 6, 2021.</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4" w:right="380" w:firstLine="440"/>
        <w:spacing w:after="0" w:line="276" w:lineRule="auto"/>
        <w:rPr>
          <w:sz w:val="20"/>
          <w:szCs w:val="20"/>
          <w:color w:val="auto"/>
        </w:rPr>
      </w:pPr>
      <w:r>
        <w:rPr>
          <w:rFonts w:ascii="Times New Roman" w:cs="Times New Roman" w:eastAsia="Times New Roman" w:hAnsi="Times New Roman"/>
          <w:sz w:val="17"/>
          <w:szCs w:val="17"/>
          <w:color w:val="auto"/>
        </w:rPr>
        <w:t>The 2020 Plan is intended to (i) attract and retain the best available personnel to ensure our success and accomplish our goals; (ii) incentivize employees, directors and independent contractors with long-term equity-based compensation to align their interests with our shareholders, and</w:t>
      </w:r>
    </w:p>
    <w:p>
      <w:pPr>
        <w:spacing w:after="0" w:line="1" w:lineRule="exact"/>
        <w:rPr>
          <w:sz w:val="20"/>
          <w:szCs w:val="20"/>
          <w:color w:val="auto"/>
        </w:rPr>
      </w:pPr>
    </w:p>
    <w:p>
      <w:pPr>
        <w:ind w:left="4" w:right="40" w:hanging="4"/>
        <w:spacing w:after="0" w:line="253" w:lineRule="auto"/>
        <w:tabs>
          <w:tab w:leader="none" w:pos="31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success of our business. The 2020 Plan is intended to replace the 2014 Plan. Clover board of directors terminated the 2014 Plan, effective as of the Closing Date. No additional stock awards will be granted under the 2014 Plan, although all outstanding stock awards granted under the 2014 Plan immediately prior to the Closing were assumed by us and continue to be subject to the terms and conditions as set forth in the agreements evidencing such stock awards and the terms of the 2014 Plan.</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2020 Plan permits the grant of incentive stock options, nonstatutory stock options, stock appreciation rights (“SARs”), restricted stock, RSUs, and stock bonus awards (all such types of awards, collectively, “stock awards”).</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Number of Shares</w:t>
      </w:r>
    </w:p>
    <w:p>
      <w:pPr>
        <w:spacing w:after="0" w:line="22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adjustments as set forth in the 2020 Plan, the maximum aggregate number of shares of our Class A common stock that may be issued under the 2020 Plan is 30,641,401 shares. The shares may be authorized, but unissued, or reacquired Class A common stock. Furthermore, subject to adjustments as set forth in the 2020 Plan, in no event will the maximum aggregate number of shares that may be issued under the 2020 Plan pursuant to incentive stock options exceed the number set forth above.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327" w:name="page328"/>
    <w:bookmarkEnd w:id="327"/>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pacing w:after="0" w:line="2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Lapsed Awards</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If all or any part of a stock award expires, lapses or is terminated, exchanged for or settled in cash, surrendered, repurchased, or cancelled without having been fully exercised or forfeited, in any case, in a manner that results in us acquiring shares covered by the stock award at a price not greater than the price (as adjusted pursuant to the 2020 Plan) paid by the participant for such shares or not issuing any shares covered by the stock award, the unused shares covered by the stock award will, as applicable, become or again be available for stock award grants under the 2020 Plan. The payment of dividend equivalents in cash in conjunction with any outstanding stock awards shall not count against the share limit set forth in the 2020 Plan. Notwithstanding anything to the contrary contained herein, the following shares shall not be added to the shares authorized for grant under the 2020 Plan and shall not be available for future grants of stock awards: (i) shares subject to a SAR that are not issued in connection with the stock settlement of the SAR on exercise thereof; and (ii) shares purchased on the open market with the cash proceeds from the exercise of stock options; and (iii) shares delivered (either by actual delivery or attestation) to us by a participant to satisfy the applicable exercise or purchase price of a stock award and/or to satisfy any applicable tax withholding obligation with respect to a stock award (including shares retained by us from the stock award being exercised or purchased and/or creating the tax obligation).</w:t>
      </w:r>
    </w:p>
    <w:p>
      <w:pPr>
        <w:spacing w:after="0" w:line="30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Assumption or Substitution of Awards by the Company</w:t>
      </w:r>
    </w:p>
    <w:p>
      <w:pPr>
        <w:spacing w:after="0" w:line="117"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The Plan Administrator (as defined below), from time to time, may determine to substitute or assume outstanding awards granted by another company, in connection with an acquisition, merger or consolidation of such other company, by either: (a) assuming such award under the 2020 Plan or</w:t>
      </w:r>
    </w:p>
    <w:p>
      <w:pPr>
        <w:spacing w:after="0" w:line="1" w:lineRule="exact"/>
        <w:rPr>
          <w:sz w:val="20"/>
          <w:szCs w:val="20"/>
          <w:color w:val="auto"/>
        </w:rPr>
      </w:pPr>
    </w:p>
    <w:p>
      <w:pPr>
        <w:ind w:left="4" w:right="260" w:hanging="4"/>
        <w:spacing w:after="0" w:line="260" w:lineRule="auto"/>
        <w:tabs>
          <w:tab w:leader="none" w:pos="25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 award under the 2020 Plan in substitution of such other company’s award. Any awards that are assumed or substituted under the 2020 Plan will not reduce the number of shares authorized for grant under the Plan or authorized for grant to a participant in any fiscal year.</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Employees, directors and independent contractors of us or our affiliates are all eligible to participate in the 2020 Plan. Incentive stock options may only be granted to employees.</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The 2020 Plan must be administered by our board of directors or a committee thereof, which committee will be constituted to satisfy applicable laws (the “Plan Administrator”). Awards granted to an officer or director of Clover Health or any other person whose transactions in our Class A common stock are subject to Section 16 of the Exchange Act (each, an “Insider”) must be approved by two or more “non-employee directors” of the board of directors (as defined in the regulations promulgated under Section 16 of the Exchange Act). Currently, our compensation committee serves as the Plan Administrator.</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2020 Plan, the Plan Administrator has the authority, in its discretion, to (i) determine the fair market value in accordance with the 2020 Plan; (ii) select the service providers to whom stock awards may be granted under the 2020 Plan; (iii) determine the number of shares to be covered by each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28" w:name="page329"/>
    <w:bookmarkEnd w:id="32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award granted under the 2020 Plan; (iv) approve forms of stock award agreements for use under the 2020 Plan; (v) determine the terms and conditions, not inconsistent with the terms of the 2020 Plan, of any stock award granted thereunder; (vi) institute and determine the terms and conditions of an exchange program under the terms of the 2020 Plan (subject to shareholder approval); (vii) construe and interpret the terms of the 2020 Plan and stock awards granted pursuant to the 2020 Plan; (viii) correct any defect, supply any omission or reconcile any inconsistency in the 2020 Plan, any stock award or any stock award agreement; (ix) prescribe, amend and rescind rules and regulations relating to the 2020 Plan; (x) modify or amend each stock award (subject to the terms of the 2020 Plan); (xi) adjust performance goals applicable to a participant with respect to a stock award to take into account changes in applicable laws or in accounting or tax rules, or such other extraordinary events or circumstances; (xii) allow participants to satisfy tax withholding obligations in such manner as prescribed in the 2020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2020 Plan.</w:t>
      </w:r>
    </w:p>
    <w:p>
      <w:pPr>
        <w:spacing w:after="0" w:line="192"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However, to the extent permitted by applicable law and listing requirements, our board of directors or a committee thereof may delegate to one or more of our officers who may be (but are not required to be) Insiders, the authority to (a) designate employees who are not Insiders to be recipients of stock awards and determine the number of shares subject to stock awards granted to such designated employees, subject to certain restrictions that are set forth in the 2020 Plan and (b) take any and all actions on behalf of our board of directors or a committee thereof other than any actions that affect the amount or form of compensation of Insiders or have material tax, accounting, financial, human resource or legal consequences to us or our affiliates.</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Each stock option must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must be treated as nonstatutory stock options. Incentive stock options may only be granted to employees.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term of each stock option must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of our affiliates, the term of the incentive stock option will be 5 years from the date of grant or such shorter term as may be provided in the stock award agreement.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of our affiliates,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and in a manner consistent with, Section 424(a) of the Code.</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the time a stock option is granted, the Plan Administrator will fix the period within which the stock option may be exercised and will determine any conditions that must be satisfied before the stock option may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29" w:name="page330"/>
    <w:bookmarkEnd w:id="329"/>
    <w:p>
      <w:pPr>
        <w:jc w:val="both"/>
        <w:ind w:right="5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exercised. The Plan Administrator will also determine the acceptable form of consideration for exercising a stock option, including the method of payment. In the case of an incentive stock option, the Plan Administrator will determine the acceptable form of consideration at the time of grant.</w:t>
      </w:r>
    </w:p>
    <w:p>
      <w:pPr>
        <w:spacing w:after="0" w:line="14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2020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(as defined in the 2020 Plan), and three months following a termination for any other reason. Any outstanding stock option (including any vested portion thereof) held by a participant will immediately terminate in its entirety upon the participant being first notified of his or her termination for Cause and the participant will be prohibited from exercising his or her stock option from and after the date of such termination.</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119"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Plan Administrator determines the terms and conditions of each SAR, provided that the exercise price for each SAR must be no less than 100% of the fair market value of the underlying shares of our Class A common stock on the date of grant. Upon exercise of a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in shares of equivalent value, or in some combination thereof, as determined by the Plan Administrator. SARs are exercisable at the times and on the terms established by the Plan Administrator.</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Restricted Stock and RSUs</w:t>
      </w:r>
    </w:p>
    <w:p>
      <w:pPr>
        <w:spacing w:after="0" w:line="11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grants of shares of our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our Class A common stock. Upon meeting the applicable vesting criteria, the participant will be entitled to receive a payout for his or her earned RSUs as determined by the Plan Administrator in the form of cash, shares, or a combination of both.</w:t>
      </w:r>
    </w:p>
    <w:p>
      <w:pPr>
        <w:spacing w:after="0" w:line="183"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determining whether restricted stock or RSUs should be granted, and/or the vesting schedule for such a stock award, the Plan Administrator may impose whatever conditions on vesting as it determines to be appropriate.</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Bonus Awards</w:t>
      </w:r>
    </w:p>
    <w:p>
      <w:pPr>
        <w:spacing w:after="0" w:line="119"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A stock bonus award is an award of shares to an eligible person without a purchase price that is not subject to any restrictions. The Plan Administrator will determine the number of shares to be awarded to the participant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30" w:name="page331"/>
    <w:bookmarkEnd w:id="330"/>
    <w:p>
      <w:pPr>
        <w:ind w:left="4"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a stock bonus award. A stock bonus award may be paid in cash, whole shares, or a combination thereof, based on the fair market value of the shares subject to the stock bonus award on the date of payment, as determined in the sole discretion of the Plan Administrator.</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grant stock options, SARs, restricted stock and RSUs that are subject to the satisfaction of specified performance criteria. The Plan Administrator determines the terms surrounding performance awards, including the required levels of performance with respect to specified business criteria (including any adjustment(s) thereto that will be applied in determining the achievement of such performance criteria), the corresponding amounts payable upon achievement of such levels of performance, and the termination and forfeiture provisions; provided that all performance criteria must be determined when the achievement of such criteria remains substantially uncertain.</w:t>
      </w:r>
    </w:p>
    <w:p>
      <w:pPr>
        <w:spacing w:after="0" w:line="183" w:lineRule="exact"/>
        <w:rPr>
          <w:sz w:val="20"/>
          <w:szCs w:val="20"/>
          <w:color w:val="auto"/>
        </w:rPr>
      </w:pPr>
    </w:p>
    <w:p>
      <w:pPr>
        <w:ind w:left="4" w:right="620" w:firstLine="440"/>
        <w:spacing w:after="0" w:line="276" w:lineRule="auto"/>
        <w:rPr>
          <w:sz w:val="20"/>
          <w:szCs w:val="20"/>
          <w:color w:val="auto"/>
        </w:rPr>
      </w:pPr>
      <w:r>
        <w:rPr>
          <w:rFonts w:ascii="Times New Roman" w:cs="Times New Roman" w:eastAsia="Times New Roman" w:hAnsi="Times New Roman"/>
          <w:sz w:val="17"/>
          <w:szCs w:val="17"/>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w:t>
      </w:r>
    </w:p>
    <w:p>
      <w:pPr>
        <w:spacing w:after="0" w:line="1" w:lineRule="exact"/>
        <w:rPr>
          <w:sz w:val="20"/>
          <w:szCs w:val="20"/>
          <w:color w:val="auto"/>
        </w:rPr>
      </w:pPr>
    </w:p>
    <w:p>
      <w:pPr>
        <w:jc w:val="both"/>
        <w:ind w:left="4" w:right="60" w:hanging="4"/>
        <w:spacing w:after="0" w:line="250" w:lineRule="auto"/>
        <w:tabs>
          <w:tab w:leader="none" w:pos="25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w:t>
      </w:r>
    </w:p>
    <w:p>
      <w:pPr>
        <w:spacing w:after="0" w:line="1" w:lineRule="exact"/>
        <w:rPr>
          <w:rFonts w:ascii="Times New Roman" w:cs="Times New Roman" w:eastAsia="Times New Roman" w:hAnsi="Times New Roman"/>
          <w:sz w:val="18"/>
          <w:szCs w:val="18"/>
          <w:color w:val="auto"/>
        </w:rPr>
      </w:pPr>
    </w:p>
    <w:p>
      <w:pPr>
        <w:ind w:left="4" w:right="20" w:hanging="4"/>
        <w:spacing w:after="0" w:line="265" w:lineRule="auto"/>
        <w:tabs>
          <w:tab w:leader="none" w:pos="349"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w:t>
      </w:r>
    </w:p>
    <w:p>
      <w:pPr>
        <w:ind w:left="4" w:right="140" w:hanging="4"/>
        <w:spacing w:after="0" w:line="253" w:lineRule="auto"/>
        <w:tabs>
          <w:tab w:leader="none" w:pos="349"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8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Performance goals may differ from participant to participant, performance period to performance period and from stock award to stock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the performance of us as a whole or against any of our affiliate(s), or a particular segment(s), a business unit(s) or a product(s) of us or individual project company, (v) on a pre-tax or after-tax basis, (vi) on a GAAP or non-GAAP basis, and/or (vii) using an actual foreign exchange rate or on a foreign exchange neutral basis.</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Outside Director Limitations</w:t>
      </w:r>
    </w:p>
    <w:p>
      <w:pPr>
        <w:spacing w:after="0" w:line="11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Stock awards granted during a single fiscal year under the 2020 Plan or otherwise, taken together with any cash fees paid during such fiscal year for services on the board of directors, will not exceed $1,000,000 in total value for any outside director serving as the lead director of the board of directors or chair of the board of directors and $750,000 in total value for any other outside director (calculating the value of any such stock awards based on the grant date fair value of such stock awards for financial reporting purposes). Such applicable limit will include the value of any stock awards that are received in lieu of all or a portion of any annual committee cash retainers or other similar cash-based payments. Stock awards granted to an individual while he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31" w:name="page332"/>
    <w:bookmarkEnd w:id="331"/>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she was serving in the capacity as an employee or while he or she was an independent contractor but not an outside director will not count for purposes of these limits.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has the discretion to determine at any time whether and to what extent the vesting of stock awards will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of our affiliates. If an employee holds an incentive stock option and such leave exceeds three months then, for purposes of incentive stock option status only, such employee’s service as an employee will be deemed terminated on the first day following such three month period and the incentive stock option will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Nontransferability of Stock Awards</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Clawback/Recovery</w:t>
      </w:r>
    </w:p>
    <w:p>
      <w:pPr>
        <w:spacing w:after="0" w:line="11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Plan Administrator may specify in a stock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2020 Plan, a stock award granted under the 2020 Plan will be subject to any clawback policy as may be established and/or amended from time to time by us.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Adjustment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capital stock or other securities of us or other significant corporate transaction, or other change affecting our capital stock occurs, the Plan Administrator, in order to prevent dilution, diminution or enlargement of the benefits or potential benefits intended to be made available under the 2020 Plan, will, in such manner as it may deem equitable, adjust the number, kind and class of securities that may be delivered under the 2020 Plan and/or the number, class, kind and price of securities covered by each outstanding stock award; provided that all such adjustments will be made in a manner that does not result in taxation under Section 409A of the Internal Revenue Code (“Section 409A”).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32" w:name="page333"/>
    <w:bookmarkEnd w:id="332"/>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Dissolution or Liquidation</w:t>
      </w:r>
    </w:p>
    <w:p>
      <w:pPr>
        <w:spacing w:after="0" w:line="11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proposed winding up, dissolution or liquidation of us, the Plan Administrator will notify each participant as soon as practicable prior to the effective date of such proposed transaction. To the extent it has not been previously exercised or settled, a stock award will terminate immediately prior to the consummation of such proposed action.</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119"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2020 Plan) each outstanding stock award (vested or unvested) will be treated as the Plan Administrator determines, which determination may provide for one or more of the following: (a) the continuation of such outstanding stock awards (if we are the surviving corporation);</w:t>
      </w:r>
    </w:p>
    <w:p>
      <w:pPr>
        <w:spacing w:after="0" w:line="3" w:lineRule="exact"/>
        <w:rPr>
          <w:sz w:val="20"/>
          <w:szCs w:val="20"/>
          <w:color w:val="auto"/>
        </w:rPr>
      </w:pPr>
    </w:p>
    <w:p>
      <w:pPr>
        <w:ind w:left="4" w:right="20" w:hanging="4"/>
        <w:spacing w:after="0" w:line="251" w:lineRule="auto"/>
        <w:tabs>
          <w:tab w:leader="none" w:pos="25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provided, that, if the exercise price or purchase price for such stock awards equals or exceeds the fair market value of the shares subject to such stock awards, then the stock awards may be terminated without payment (provided further, that such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or (f) the opportunity for participants to exercise their stock options prior to the occurrence of the corporate transaction and the termination (for no consideration) upon the consummation of such corporate transaction of any stock options not exercised prior thereto.</w:t>
      </w:r>
    </w:p>
    <w:p>
      <w:pPr>
        <w:spacing w:after="0" w:line="2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defined in the 2020 Plan) as may be provided in the stock award agreement for such stock award or as may be provided in any other written agreement between us or any of our affiliates and the participant, but in the absence of such provision, no such acceleration will occur.</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2020 Plan</w:t>
      </w:r>
    </w:p>
    <w:p>
      <w:pPr>
        <w:spacing w:after="0" w:line="11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2020 Plan will continue in effect for a term of 10 years measured from the board approval date, unless terminated earlier under the terms of the 2020 Plan. The Plan Administrator may at any time amend, alter, suspend or terminate the 2020 Plan pursuant to the listing standards of any national securities exchange or association on which our securities are listed or as otherwise required by applicable law.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On October 5, 2021, SCH’s board of directors adopted, and on January 6, 2021, our stockholders approved the 2020 Management Incentive Plan (the “Management Incentive Plan”). The Management Incentive Plan became effective on January 6, 2021.</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8" w:right="479" w:bottom="1440" w:gutter="0" w:footer="0" w:header="0"/>
        </w:sectPr>
      </w:pPr>
    </w:p>
    <w:bookmarkStart w:id="333" w:name="page334"/>
    <w:bookmarkEnd w:id="333"/>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Purpose</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Management Incentive Plan is intended to (i) incentivize the Vivek Garipalli and Andrew Toy (the “MIP Participants”) with long-term equity-based compensation to align their interests with our shareholders and (ii) promote the success of our business.</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Type of Stock Award</w:t>
      </w:r>
    </w:p>
    <w:p>
      <w:pPr>
        <w:spacing w:after="0" w:line="11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Management Incentive Plan only permits the grant of RSUs to MIP Participants in the amounts and pursuant to the terms set forth in the New Plan Benefits section of the Proxy Statement/Prospectus. The 2020 Plan permits the grant of incentive stock options, nonstatutory stock options, restricted stock, restricted stock units, stock appreciation rights (“SARs”), performance units and performance shares (all such types of awards, collectively, “stock awards”).</w:t>
      </w:r>
    </w:p>
    <w:p>
      <w:pPr>
        <w:spacing w:after="0" w:line="2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Maximum Number of Shares</w:t>
      </w:r>
    </w:p>
    <w:p>
      <w:pPr>
        <w:spacing w:after="0" w:line="117"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Subject to adjustments as set forth in the Management Incentive Plan, the maximum aggregate number of shares of our Class B common stock that may be issued under the Management Incentive Plan is 33,426,983 shares. The shares may be authorized, but unissued, or reacquired our Class B common stock.</w:t>
      </w:r>
    </w:p>
    <w:p>
      <w:pPr>
        <w:spacing w:after="0" w:line="2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Lapsed Awards</w:t>
      </w:r>
    </w:p>
    <w:p>
      <w:pPr>
        <w:spacing w:after="0" w:line="117" w:lineRule="exact"/>
        <w:rPr>
          <w:sz w:val="20"/>
          <w:szCs w:val="20"/>
          <w:color w:val="auto"/>
        </w:rPr>
      </w:pPr>
    </w:p>
    <w:p>
      <w:pPr>
        <w:jc w:val="both"/>
        <w:ind w:left="4" w:right="420" w:firstLine="991"/>
        <w:spacing w:after="0" w:line="266" w:lineRule="auto"/>
        <w:rPr>
          <w:sz w:val="20"/>
          <w:szCs w:val="20"/>
          <w:color w:val="auto"/>
        </w:rPr>
      </w:pPr>
      <w:r>
        <w:rPr>
          <w:rFonts w:ascii="Times New Roman" w:cs="Times New Roman" w:eastAsia="Times New Roman" w:hAnsi="Times New Roman"/>
          <w:sz w:val="18"/>
          <w:szCs w:val="18"/>
          <w:color w:val="auto"/>
        </w:rPr>
        <w:t>Once an RSU award is granted under the Management Incentive Plan, the shares underlying such award reduce the pool available for issuance under the Management Incentive Plan and, once granted pursuant to a RSU Award, such shares will never be available for future issuance under the Management Incentive Plan under any circumstance.</w:t>
      </w:r>
    </w:p>
    <w:p>
      <w:pPr>
        <w:spacing w:after="0" w:line="2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Only the MIP Participants are eligible to receive RSUs under the Management Incentive Plan.</w:t>
      </w:r>
    </w:p>
    <w:p>
      <w:pPr>
        <w:spacing w:after="0" w:line="3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The Management Incentive Plan must administered by our board of directors or a committee thereof, which committee will be constituted to satisfy applicable laws (the “MIP Plan Administrator”). Currently, our compensation committee serves as the MIP Plan Administrator.</w:t>
      </w:r>
    </w:p>
    <w:p>
      <w:pPr>
        <w:spacing w:after="0" w:line="16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Subject to the terms of the Management Incentive Plan, the MIP Plan Administrator has the authority to (i) grant RSUs to MIP Participants in the amounts and pursuant to the terms set forth in the New Plan Benefits section of the Proxy Statement/Prospectus; (ii) approve forms of RSU award agreements for use under the Management Incentive Plan, provided such forms of RSU award agreements are consistent with the terms of the Management Incentive Plan; (iii) construe and interpret the terms of the Management Incentive Plan and RSU awards granted pursuant to the Management Incentive Plan; (iv) correct any defect, supply any omission or reconcile any inconsistency in the Management Incentive Plan, any RSU award or any RSU award agreement; (v) prescribe, amend and rescind rules and regulations relating to the Management Incentive Plan; (vi) modify or amend each RSU award (subject to the terms of the Management Incentive Plan), including but not limited to the discretionary authority to accelerate vesting; (vii) allow participants to satisfy tax withholding obligations in such manner as prescribed in the Management Incentive Plan; (viii) authorize any person to execute on our behalf any instrument required to effect the grant of a RSU award previously granted by the MIP Plan Administrator;</w:t>
      </w:r>
    </w:p>
    <w:p>
      <w:pPr>
        <w:spacing w:after="0" w:line="6" w:lineRule="exact"/>
        <w:rPr>
          <w:sz w:val="20"/>
          <w:szCs w:val="20"/>
          <w:color w:val="auto"/>
        </w:rPr>
      </w:pPr>
    </w:p>
    <w:p>
      <w:pPr>
        <w:ind w:left="4" w:hanging="4"/>
        <w:spacing w:after="0" w:line="260" w:lineRule="auto"/>
        <w:tabs>
          <w:tab w:leader="none" w:pos="309"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 participant to defer the receipt of the delivery of shares that would otherwise be due to such participant under a RSU award; and (x) make all other determinations deemed necessary or advisable for administering the Management Incentive Plan.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8" w:right="459" w:bottom="1440" w:gutter="0" w:footer="0" w:header="0"/>
        </w:sectPr>
      </w:pPr>
    </w:p>
    <w:bookmarkStart w:id="334" w:name="page335"/>
    <w:bookmarkEnd w:id="334"/>
    <w:p>
      <w:pPr>
        <w:ind w:left="9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RSUs</w:t>
      </w:r>
    </w:p>
    <w:p>
      <w:pPr>
        <w:spacing w:after="0" w:line="11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Each RSU is a bookkeeping entry representing an amount equal to the fair market value of one share of our Class B common stock. Upon meeting the applicable vesting criteria, the MIP Participants will be entitled to receive a payout upon the date(s) determined by the MIP Plan Administrator and set forth in their RSU award agreement for his earned RSUs in the form of shares.</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RSU awards were granted to the MIP Participants on the Closing Date. Each RSU award will vest pursuant to the criteria set forth in the New Plan Benefits section of the Proxy Statement/Prospectus.</w:t>
      </w:r>
    </w:p>
    <w:p>
      <w:pPr>
        <w:spacing w:after="0" w:line="162"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During the vesting period, each MIP Participant holding RSUs will hold no voting rights by virtue of such RSUs. The MIP Plan Administrator may, in its sole discretion, award dividend equivalents in connection with the grant of RSUs that may be settled in cash, in shares of equivalent value, or in some combination thereof.</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119" w:lineRule="exact"/>
        <w:rPr>
          <w:sz w:val="20"/>
          <w:szCs w:val="20"/>
          <w:color w:val="auto"/>
        </w:rPr>
      </w:pPr>
    </w:p>
    <w:p>
      <w:pPr>
        <w:ind w:right="480" w:firstLine="991"/>
        <w:spacing w:after="0" w:line="261" w:lineRule="auto"/>
        <w:rPr>
          <w:sz w:val="20"/>
          <w:szCs w:val="20"/>
          <w:color w:val="auto"/>
        </w:rPr>
      </w:pPr>
      <w:r>
        <w:rPr>
          <w:rFonts w:ascii="Times New Roman" w:cs="Times New Roman" w:eastAsia="Times New Roman" w:hAnsi="Times New Roman"/>
          <w:sz w:val="18"/>
          <w:szCs w:val="18"/>
          <w:color w:val="auto"/>
        </w:rPr>
        <w:t>Certain RSU awards granted under the Management Incentive Plan are performance-based awards that will only vest upon the achievement of pre-established stock price goals set forth in the New Plan Benefits section of the Proxy Statement/Prospectus. The MIP Plan Administrator will determine and approve the extent to which such stock price goals have been timely achieved and the extent to which the shares subject to such RSU award have thereby been earned.</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Leaves of Absence/Transfer Between Locations</w:t>
      </w:r>
    </w:p>
    <w:p>
      <w:pPr>
        <w:spacing w:after="0" w:line="11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MIP Plan Administrator has the discretion to determine at any time whether and to what extent the vesting of RSU awards will be suspended during any leave of absence; provided that in the absence of such determination, vesting of RSU awards will continue during any paid leave and will be suspended during any unpaid leave (unless otherwise required by applicable laws). An RSU award will not cease to vest in the case of (i) any leave of absence approved by the MIP Plan Administrator or (ii) transfers between our locations or between us and any of our affiliates.</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Nontransferability of RSU Awards</w:t>
      </w:r>
    </w:p>
    <w:p>
      <w:pPr>
        <w:spacing w:after="0" w:line="11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Unless determined otherwise by the MIP Plan Administrator, an RSU award may not be sold, pledged, assigned, hypothecated, transferred, or disposed of in any manner.</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Clawback/Recovery</w:t>
      </w:r>
    </w:p>
    <w:p>
      <w:pPr>
        <w:spacing w:after="0" w:line="11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MIP Plan Administrator may specify in a RSU award agreement that the participant’s rights, payments, and/or benefits with respect to a RSU award will be subject to reduction, cancellation, forfeiture, and/or recoupment upon the occurrence of certain specified events, in addition to any applicable vesting, performance or other conditions and restrictions of a RSU award. Notwithstanding any provisions to the contrary under the Management Incentive Plan, an RSU award granted under the Management Incentive Plan will be subject to any clawback policy as may be established and/or amended from time to time by us. The MIP Plan Administrator may require a participant to forfeit or return to and/or reimburse us for all or a portion of the RSU award and/or shares issued under the RSU award, any amounts paid under the RSU award, and any payments or proceeds paid or provided upon disposition of the shares issued under the RSU award, pursuant to the terms of such company policy or as necessary or appropriate to comply with applicable laws.</w:t>
      </w:r>
    </w:p>
    <w:p>
      <w:pPr>
        <w:spacing w:after="0" w:line="2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recapitalization or reclassification of the shares, subdivision of the shares, a rights offering, a reorganization,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335" w:name="page336"/>
    <w:bookmarkEnd w:id="3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merger, spin-off, split-up, repurchase, or exchange of our common stock or other securities of us or other significant corporate transaction, or other change affecting our capital stock occurs, the MIP Plan Administrator, in order to prevent dilution, diminution or enlargement of the benefits or potential benefits intended to be made available under the Management Incentive Plan, will, in such manner as it may deem equitable, adjust the number, kind and class of securities that may be delivered under the Management Incentive Plan and/or the number, class, kind and price of securities covered by each outstanding RSU award; provided that all such adjustments will be made in a manner that does not result in taxation under Section 409A of the Internal Revenue Code (“Section 409A”).</w:t>
      </w: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1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In the event of the proposed winding up, dissolution or liquidation of us, the MIP Plan Administrator will notify each participant as soon as practicable prior to the effective date of such proposed transaction. To the extent it has not been previously settled, an RSU award will terminate immediately prior to the consummation of such proposed action.</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11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Management Incentive Plan) each outstanding RSU award (vested or unvested) will be treated as the MIP Plan Administrator determines, which determination may provide for one or more of the following: (a) the continuation of such outstanding RSU awards (if we are the surviving corporation); (b) the assumption of such outstanding RSU awards by the surviving corporation or its parent; (c) the substitution by the surviving corporation or its parent of new stock options or other equity awards for such RSU awards; (d) the cancellation of such RSU awards in exchange for a payment to the participants equal to the fair market value of the shares subject to such RSU awards as of the Closing Date of such corporate transaction (provided that such payment may be subject to the same conditions that apply to the consideration that will be paid to holders of shares in connection with the transaction, subject to applicable law); or (e) the full or partial acceleration of vesting and accelerated expiration of an outstanding RSU award.</w:t>
      </w:r>
    </w:p>
    <w:p>
      <w:pPr>
        <w:spacing w:after="0" w:line="2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An RSU award may be subject to additional acceleration of vesting upon or after a change in control (as defined in the Management Incentive Plan) as may be provided in any other written agreement between us or any of our affiliates and the participant, but in the absence of such provision, no such acceleration will occur. In connection with the Business Combination, we entered into an employment agreement with each MIP Participant, effective as of the Closing Date, which provides for among other things, certain severance payments and benefits and the accelerated vesting of equity in connection with each named executive officer’s termination of employment or resignation for good reason under various circumstances, including in connection with a change in control of Clover Health. See the above section entitled “—</w:t>
      </w:r>
      <w:r>
        <w:rPr>
          <w:rFonts w:ascii="Times New Roman" w:cs="Times New Roman" w:eastAsia="Times New Roman" w:hAnsi="Times New Roman"/>
          <w:sz w:val="18"/>
          <w:szCs w:val="18"/>
          <w:i w:val="1"/>
          <w:iCs w:val="1"/>
          <w:color w:val="auto"/>
        </w:rPr>
        <w:t>Executive Compensation Arrangements in Effect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Closing</w:t>
      </w:r>
      <w:r>
        <w:rPr>
          <w:rFonts w:ascii="Times New Roman" w:cs="Times New Roman" w:eastAsia="Times New Roman" w:hAnsi="Times New Roman"/>
          <w:sz w:val="18"/>
          <w:szCs w:val="18"/>
          <w:color w:val="auto"/>
        </w:rPr>
        <w:t>” for more information.</w:t>
      </w:r>
    </w:p>
    <w:p>
      <w:pPr>
        <w:spacing w:after="0" w:line="2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Management Incentive Plan</w:t>
      </w:r>
    </w:p>
    <w:p>
      <w:pPr>
        <w:spacing w:after="0" w:line="11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The Management Incentive Plan will continue in effect until all the RSU awards granted thereunder are no longer outstanding. The MIP Plan Administrator may at any time amend, alter, suspend or terminate the Management Incentive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36" w:name="page337"/>
    <w:bookmarkEnd w:id="3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made the following grants described below, effective as of the Closing Date, under the Management Incentive Plan:</w:t>
      </w:r>
    </w:p>
    <w:p>
      <w:pPr>
        <w:spacing w:after="0" w:line="3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Garipalli Time-Based Award</w:t>
      </w:r>
    </w:p>
    <w:p>
      <w:pPr>
        <w:spacing w:after="0" w:line="119"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Vivek Garipalli received an RSU award under the MIP (the “Garipalli Time-Based Award”) covering 16,713,491 shares of Class B common stock. The Garipalli Time-Based Award shall become vested as to twenty percent (20%) of the RSUs subject to the Garipalli Time-Based Award on each of the first five (5) 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Garipalli Performance-Based Award</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Garipalli received an RSU award under the Management Incentive Plan (the, “Garipalli Performance-Based Award”) covering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5,571,164 shares of Class B common stock, which will vest and become settled by satisfying two conditions, as set forth below:</w:t>
      </w:r>
    </w:p>
    <w:p>
      <w:pPr>
        <w:spacing w:after="0" w:line="112" w:lineRule="exact"/>
        <w:rPr>
          <w:sz w:val="20"/>
          <w:szCs w:val="20"/>
          <w:color w:val="auto"/>
        </w:rPr>
      </w:pPr>
    </w:p>
    <w:p>
      <w:pPr>
        <w:ind w:left="2080" w:right="60" w:hanging="653"/>
        <w:spacing w:after="0" w:line="256" w:lineRule="auto"/>
        <w:tabs>
          <w:tab w:leader="none" w:pos="20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92" w:lineRule="exact"/>
        <w:rPr>
          <w:rFonts w:ascii="Times New Roman" w:cs="Times New Roman" w:eastAsia="Times New Roman" w:hAnsi="Times New Roman"/>
          <w:sz w:val="18"/>
          <w:szCs w:val="18"/>
          <w:color w:val="auto"/>
        </w:rPr>
      </w:pPr>
    </w:p>
    <w:p>
      <w:pPr>
        <w:ind w:left="2080" w:hanging="653"/>
        <w:spacing w:after="0" w:line="266" w:lineRule="auto"/>
        <w:tabs>
          <w:tab w:leader="none" w:pos="20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Toy Performance-Based Award</w:t>
      </w:r>
    </w:p>
    <w:p>
      <w:pPr>
        <w:spacing w:after="0" w:line="11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Andrew Toy received an RSU award under the Management Incentive Plan (the “Toy Performance-Based Award”) covering 11,142,328 shares of Class B common stock, which will vest and become settled by satisfying two conditions, as set forth below:</w:t>
      </w:r>
    </w:p>
    <w:p>
      <w:pPr>
        <w:spacing w:after="0" w:line="67" w:lineRule="exact"/>
        <w:rPr>
          <w:sz w:val="20"/>
          <w:szCs w:val="20"/>
          <w:color w:val="auto"/>
        </w:rPr>
      </w:pPr>
    </w:p>
    <w:p>
      <w:pPr>
        <w:ind w:left="2080" w:right="60" w:hanging="653"/>
        <w:spacing w:after="0" w:line="277" w:lineRule="auto"/>
        <w:tabs>
          <w:tab w:leader="none" w:pos="2080" w:val="left"/>
        </w:tabs>
        <w:numPr>
          <w:ilvl w:val="0"/>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requirement</w:t>
      </w:r>
      <w:r>
        <w:rPr>
          <w:rFonts w:ascii="Times New Roman" w:cs="Times New Roman" w:eastAsia="Times New Roman" w:hAnsi="Times New Roman"/>
          <w:sz w:val="17"/>
          <w:szCs w:val="17"/>
          <w:color w:val="auto"/>
        </w:rPr>
        <w: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73" w:lineRule="exact"/>
        <w:rPr>
          <w:rFonts w:ascii="Times New Roman" w:cs="Times New Roman" w:eastAsia="Times New Roman" w:hAnsi="Times New Roman"/>
          <w:sz w:val="17"/>
          <w:szCs w:val="17"/>
          <w:color w:val="auto"/>
        </w:rPr>
      </w:pPr>
    </w:p>
    <w:p>
      <w:pPr>
        <w:ind w:left="2080" w:right="160" w:hanging="653"/>
        <w:spacing w:after="0" w:line="261" w:lineRule="auto"/>
        <w:tabs>
          <w:tab w:leader="none" w:pos="2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broken out into two equal tranches as set forth in the below table, for a period of ninety</w:t>
      </w:r>
    </w:p>
    <w:p>
      <w:pPr>
        <w:ind w:left="208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consecutive calendar days; provided that the performance metrics will not be measured nor may be satisfied prior to the one year anniversary of the Closing Date.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37" w:name="page338"/>
    <w:bookmarkEnd w:id="337"/>
    <w:tbl>
      <w:tblPr>
        <w:tblLayout w:type="fixed"/>
        <w:tblInd w:w="132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25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 Shares of Class B</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258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Hurdle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5,571,164</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5,571,164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Garipalli Performance-Based Award and the Toy Performance-Based Award (collectively, the “Performance-Based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include the following general terms:</w:t>
      </w:r>
    </w:p>
    <w:p>
      <w:pPr>
        <w:spacing w:after="0" w:line="112" w:lineRule="exact"/>
        <w:rPr>
          <w:sz w:val="20"/>
          <w:szCs w:val="20"/>
          <w:color w:val="auto"/>
        </w:rPr>
      </w:pPr>
    </w:p>
    <w:p>
      <w:pPr>
        <w:ind w:left="2080" w:right="280" w:hanging="653"/>
        <w:spacing w:after="0" w:line="266" w:lineRule="auto"/>
        <w:tabs>
          <w:tab w:leader="none" w:pos="2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requirement must be satisfied within five (5) years of the Closing Date (the “Performance Deadline”). Any portion of a Performance-Based Award that is unvested as of the Performance Deadline will be forfeited for no consideration.</w:t>
      </w:r>
    </w:p>
    <w:p>
      <w:pPr>
        <w:spacing w:after="0" w:line="81" w:lineRule="exact"/>
        <w:rPr>
          <w:rFonts w:ascii="Times New Roman" w:cs="Times New Roman" w:eastAsia="Times New Roman" w:hAnsi="Times New Roman"/>
          <w:sz w:val="18"/>
          <w:szCs w:val="18"/>
          <w:color w:val="auto"/>
        </w:rPr>
      </w:pPr>
    </w:p>
    <w:p>
      <w:pPr>
        <w:ind w:left="2080" w:hanging="653"/>
        <w:spacing w:after="0" w:line="256" w:lineRule="auto"/>
        <w:tabs>
          <w:tab w:leader="none" w:pos="2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 October 5, 2020, SCH’s board of directors adopted, and on January 6, 2021, our stockholders approved the 2020 Employee Stock Purchase Plan (the “ESPP”). The ESPP became effective on January 6, 2021.</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ESPP provides a means by which eligible employees and/or eligible service providers of either our company or designated related corporations and affiliates (“Designated Companies”) may be given an opportunity to purchase shares of our Class A common stock. The ESPP permits us to grant a series of purchase rights to eligible employees and eligible service providers. By means of the ESPP, we seek to (i) retain and assist our related corporations and affiliates in retaining the services of such eligible employees and eligible service providers, (ii) secure and retain the services of new eligible employees and eligible service providers and (iii) provide incentives for such persons to exert maximum efforts for our success and that of our related corporations and affiliates.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Qualified and Non-Qualified Offerings Permitted</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ESPP includes two components: a “423 Component” and a “Non-423 Component.” We intend for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ESPP Administrator (as defined below), the Non-423 Component will be operated and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51" w:right="499" w:bottom="1440" w:gutter="0" w:footer="0" w:header="0"/>
        </w:sectPr>
      </w:pPr>
    </w:p>
    <w:bookmarkStart w:id="338" w:name="page339"/>
    <w:bookmarkEnd w:id="338"/>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Administration</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the power to delegate administration of the ESPP to a committee composed of not fewer than one member of our board of directors. The ESPP is administered by our board of directors or a committee thereof (the “ESPP Administrator”). The ESPP Administrator has the final power to construe and interpret both the ESPP and the rights granted under it. The ESPP Administrator has the power, subject to the provisions of the ESPP, to determine when and how rights to purchase our Class A common stock will be granted, the provisions of each offering of such rights (which need not be identical), and whether any employee or other service provider will be eligible to participate in the 423 Component or Non-423 Component of the ESPP. Whether or not our board of directors has delegated administration of the ESPP to a committee, the board of directors will have the final power to determine all questions of policy and expediency that may arise in the administration of the ESPP. Currently, our compensation committee serves as the ESPP Plan Administrator.</w:t>
      </w:r>
    </w:p>
    <w:p>
      <w:pPr>
        <w:spacing w:after="0" w:line="2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Stock Subject to ESPP</w:t>
      </w:r>
    </w:p>
    <w:p>
      <w:pPr>
        <w:spacing w:after="0" w:line="11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2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Offerings</w:t>
      </w:r>
    </w:p>
    <w:p>
      <w:pPr>
        <w:spacing w:after="0" w:line="22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ESPP is implemented by offerings of rights to all eligible employees and eligible service providers from time to time. Offerings may be comprised of one or more purchase periods. The maximum length for an offering under the ESPP is 27 months. The provisions of separate offerings need not be identical. When a participant elects to join an offering, he or she is granted a purchase right to acquire shares of our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our Class A common stock, subject to certain limitations.</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7"/>
          <w:szCs w:val="17"/>
          <w:color w:val="auto"/>
        </w:rPr>
        <w:t>Purchase rights may be granted only to our employees, employees of designated related corporations or, solely with respect to the Non-423 Component, employees of an affiliate (other than a designated related corporation) or eligible service providers. The ESPP Administrator may provide that employees will not be eligible to be granted purchase rights under the ESPP if, on the offering date, the employee (i) has not completed at least 2 years of service since the employee’s last hire date (or such lesser period as the ESPP Administrator may determine), (ii) customarily works not more than 20 hours per week (or such lesser period as the ESPP Administrator may determine), (iii) customarily works not more than 5 months per calendar year (or such lesser period as the ESPP Administrator may determine), (iv) is a highly compensated employee within the meaning of the Code, or</w:t>
      </w:r>
    </w:p>
    <w:p>
      <w:pPr>
        <w:spacing w:after="0" w:line="5" w:lineRule="exact"/>
        <w:rPr>
          <w:sz w:val="20"/>
          <w:szCs w:val="20"/>
          <w:color w:val="auto"/>
        </w:rPr>
      </w:pPr>
    </w:p>
    <w:p>
      <w:pPr>
        <w:ind w:left="5424" w:right="4020" w:hanging="5424"/>
        <w:spacing w:after="0" w:line="433" w:lineRule="auto"/>
        <w:tabs>
          <w:tab w:leader="none" w:pos="26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satisfied such other criteria as the ESPP Administrator may determine consistent with 18</w:t>
      </w:r>
    </w:p>
    <w:p>
      <w:pPr>
        <w:sectPr>
          <w:pgSz w:w="11900" w:h="16838" w:orient="portrait"/>
          <w:cols w:equalWidth="0" w:num="1">
            <w:col w:w="11004"/>
          </w:cols>
          <w:pgMar w:left="436" w:top="268" w:right="459" w:bottom="1440" w:gutter="0" w:footer="0" w:header="0"/>
        </w:sectPr>
      </w:pPr>
    </w:p>
    <w:bookmarkStart w:id="339" w:name="page340"/>
    <w:bookmarkEnd w:id="339"/>
    <w:p>
      <w:pPr>
        <w:ind w:right="2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423 of the Code. Unless otherwise determined by the ESPP Administrator for any offering, an employee will not be eligible to be granted purchase rights unless, on the offering date, the employee customarily works more than 20 hours per week and more than 5 months per calendar year.</w:t>
      </w:r>
    </w:p>
    <w:p>
      <w:pPr>
        <w:spacing w:after="0" w:line="14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Plans, do not permit such eligible employee’s rights to purchase stock to accrue in excess of $25,000 worth of stock in any calendar year.</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Participation in the ESPP</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each offering date, each eligible employee or eligible service provider, pursuant to an offering made under the ESPP, will be granted a purchase right to purchase up to that number of shares of our Class A common stock purchasable either with a percentage or with a maximum dollar amount, as designated by the ESPP Administrator; provided however, that in the case of eligible employees, such percentage or maximum dollar amount will in either case not exceed 15% of such employee’s earnings during the period that begins on the offering date (or such later date as the ESPP Administrator determines for a particular offering) and ends on the date stated in the offering, which date will be no later than the end of the offering, unless otherwise provided for in an offering.</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purchase price of shares of our Class A common stock acquired pursuant to purchase rights will be not less than the lesser of (i) 85% of the fair market value of the shares of our Class A common stock on the offering date; or (ii) 85% of the fair market value of the shares of our Class A common stock on the applicable purchase date (i.e., the last day of the applicable purchase period).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Payment of Purchase Price; Payroll Deductions</w:t>
      </w:r>
    </w:p>
    <w:p>
      <w:pPr>
        <w:spacing w:after="0" w:line="11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Purchase of Stock</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ESPP Administrator will establish one or more purchase dates during an offering on which purchase rights granted for that offering will be exercised and shares of our Class A common stock will be purchased in accordance with such offering. In connection with each offering, the ESPP Administrator may specify a maximum number of shares of our Class A common stock that may be purchased by any participant or all participants. If the aggregate purchase of shares of our Class A common stock issuable on exercise of purchase rights granted under the offering would exceed any such maximum aggregate number, then, in the absence of any ESPP Administrator action otherwise, a pro rata (based on each participant’s accumulated contributions) allocation of the shares of our Class A common stock available will be made in as nearly a uniform manner as will be practicable and equitable.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40" w:name="page341"/>
    <w:bookmarkEnd w:id="340"/>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Withdrawal</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us or any third party designated by us a company provided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Termination of Eligibility</w:t>
      </w:r>
    </w:p>
    <w:p>
      <w:pPr>
        <w:spacing w:after="0" w:line="119"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will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Leave of Absence</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participant will not be deemed to have terminated employment or failed to remain continuously employed by us or a Designated Company in the case of sick leave, military leave, or any other leave of absence approved by us; provided that such leave is for a period of not more than three months or reemployment upon the expiration of such leave is guaranteed by contract or statute. We will have sole discretion to determine whether a participant has terminated employment and the effective date on which the participant terminated employment, regardless of any notice period or garden leave required under local law.</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Employment Transfers</w:t>
      </w:r>
    </w:p>
    <w:p>
      <w:pPr>
        <w:spacing w:after="0" w:line="119" w:lineRule="exact"/>
        <w:rPr>
          <w:sz w:val="20"/>
          <w:szCs w:val="20"/>
          <w:color w:val="auto"/>
        </w:rPr>
      </w:pPr>
    </w:p>
    <w:p>
      <w:pPr>
        <w:ind w:right="300" w:firstLine="440"/>
        <w:spacing w:after="0" w:line="272" w:lineRule="auto"/>
        <w:rPr>
          <w:sz w:val="20"/>
          <w:szCs w:val="20"/>
          <w:color w:val="auto"/>
        </w:rPr>
      </w:pPr>
      <w:r>
        <w:rPr>
          <w:rFonts w:ascii="Times New Roman" w:cs="Times New Roman" w:eastAsia="Times New Roman" w:hAnsi="Times New Roman"/>
          <w:sz w:val="17"/>
          <w:szCs w:val="17"/>
          <w:color w:val="auto"/>
        </w:rPr>
        <w:t>Unless otherwise determined by the ESPP Administrator, a participant whose employment transfers or whose employment terminates with an immediate rehire (with no break in service) by or between us and a Designated Company or between Designated Companies will not be treated as having terminated employment for purposes of participating in the ESPP or an offering; however, if a participant transfers from an offering under the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ESPP, we will distribute as soon as practicable to such individual all of his or her accumulated but unused contributions.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Exercise of Purchase Rights</w:t>
      </w:r>
    </w:p>
    <w:p>
      <w:pPr>
        <w:spacing w:after="0" w:line="11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our Class A common stock, up to the maximum number of shares of our Class A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8" w:right="439" w:bottom="1440" w:gutter="0" w:footer="0" w:header="0"/>
        </w:sectPr>
      </w:pPr>
    </w:p>
    <w:bookmarkStart w:id="341" w:name="page342"/>
    <w:bookmarkEnd w:id="341"/>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by the ESPP and the applicable offering, at the purchase price specified in the offering. Unless otherwise specified in the offering, no fractional shares will be issued and, if any amount of accumulated contributions remains in a participant’s account after the purchase of shares of our Class A common stock on the final purchase date in an offering, such remaining amount will roll over to the next offering.</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 purchase rights may be exercised to any extent unless and until the shares of our Class A common stock to be issued on such exercise under the ESPP are covered by an effective registration statement pursuant to the U.S. Securities Act of 1933, as amended, and the ESPP is in material compliance with all applicable U.S. federal and state, foreign and other securities, exchange control, and other laws applicable to the ESPP. If, on the purchase date, as delayed to the maximum extent permissible, the shares of our Class A common stock are not registered and the ESPP is not in material compliance with all applicable laws or regulations, as determined by us in our sole discretion, no purchase rights will be exercised and all accumulated but unused contributions will be distributed as soon as practicable to the participants without interest.</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Capitalization Adjustments</w:t>
      </w:r>
    </w:p>
    <w:p>
      <w:pPr>
        <w:spacing w:after="0" w:line="11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capitalization adjustment, the ESPP Administrator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19" w:lineRule="exact"/>
        <w:rPr>
          <w:sz w:val="20"/>
          <w:szCs w:val="20"/>
          <w:color w:val="auto"/>
        </w:rPr>
      </w:pPr>
    </w:p>
    <w:p>
      <w:pPr>
        <w:ind w:right="260" w:firstLine="440"/>
        <w:spacing w:after="0" w:line="281" w:lineRule="auto"/>
        <w:rPr>
          <w:sz w:val="20"/>
          <w:szCs w:val="20"/>
          <w:color w:val="auto"/>
        </w:rPr>
      </w:pPr>
      <w:r>
        <w:rPr>
          <w:rFonts w:ascii="Times New Roman" w:cs="Times New Roman" w:eastAsia="Times New Roman" w:hAnsi="Times New Roman"/>
          <w:sz w:val="17"/>
          <w:szCs w:val="17"/>
          <w:color w:val="auto"/>
        </w:rPr>
        <w:t>In the event of our company’s dissolution or liquidation, the ESPP Administrator will shorten any offering then in progress by setting a new purchase date prior to the consummation of such proposed dissolution or liquidation.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Effect of Certain Corporate Transactions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w:t>
      </w:r>
    </w:p>
    <w:p>
      <w:pPr>
        <w:spacing w:after="0" w:line="131" w:lineRule="exact"/>
        <w:rPr>
          <w:sz w:val="20"/>
          <w:szCs w:val="20"/>
          <w:color w:val="auto"/>
        </w:rPr>
      </w:pPr>
    </w:p>
    <w:p>
      <w:pPr>
        <w:ind w:left="960" w:hanging="532"/>
        <w:spacing w:after="0"/>
        <w:tabs>
          <w:tab w:leader="none" w:pos="9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all or substantially all of our company’s assets;</w:t>
      </w:r>
    </w:p>
    <w:p>
      <w:pPr>
        <w:spacing w:after="0" w:line="130" w:lineRule="exact"/>
        <w:rPr>
          <w:rFonts w:ascii="Times New Roman" w:cs="Times New Roman" w:eastAsia="Times New Roman" w:hAnsi="Times New Roman"/>
          <w:sz w:val="18"/>
          <w:szCs w:val="18"/>
          <w:color w:val="auto"/>
        </w:rPr>
      </w:pPr>
    </w:p>
    <w:p>
      <w:pPr>
        <w:ind w:left="960" w:right="840" w:hanging="532"/>
        <w:spacing w:after="0" w:line="282" w:lineRule="auto"/>
        <w:tabs>
          <w:tab w:leader="none" w:pos="9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other capital reorganization or business combination transaction of our company with or into another corporation, entity or person; or</w:t>
      </w:r>
    </w:p>
    <w:p>
      <w:pPr>
        <w:spacing w:after="0" w:line="67" w:lineRule="exact"/>
        <w:rPr>
          <w:rFonts w:ascii="Times New Roman" w:cs="Times New Roman" w:eastAsia="Times New Roman" w:hAnsi="Times New Roman"/>
          <w:sz w:val="18"/>
          <w:szCs w:val="18"/>
          <w:color w:val="auto"/>
        </w:rPr>
      </w:pPr>
    </w:p>
    <w:p>
      <w:pPr>
        <w:ind w:left="960" w:right="640" w:hanging="532"/>
        <w:spacing w:after="0" w:line="282" w:lineRule="auto"/>
        <w:tabs>
          <w:tab w:leader="none" w:pos="9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or series of related transactions, in which any person becomes the beneficial owner, directly or indirectly, of more than 50% of our then outstanding capital stock;</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then: (i) any surviving corporation or acquiring corporation (or the surviving or acquiring corporation’s parent company) may assume or continue outstanding purchase rights or may substitute similar rights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our Class A common stock prior to the corporate transaction under the outstanding purchase rights, and the purchase rights will terminate immediately after such purchase.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42" w:name="page343"/>
    <w:bookmarkEnd w:id="34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Spin-Off</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spin-off or similar transaction involving us, the ESPP Administrator may take actions deemed necessary or appropriate in connection with an ongoing offering and subject to compliance with applicable laws (including the assumption of purchase rights under an ongoing offering by the spun-off company, or shortening an offering and scheduling a new purchase date prior to the closing of such transaction). In the absence of any such action by the ESPP Administrator, a participant in an ongoing offering whose employer ceases to qualify as a related corporation as of the closing of a spin-off or similar transaction will be treated in the same manner as if the participant had terminated employment.</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Amendment, Termination or Suspension of the ESPP</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ESPP Administrator may amend the ESPP at any time in any respect the ESPP Administrator deems necessary or advisable. However, except with respect to capitalization adjustments described above, shareholder approval will be required for any amendment of the ESPP for which shareholder approval is required by applicable laws, regulations or listing requirements, including any amendment that either (i) increases the number of shares of our Class A common stock available for issuance under the ESPP, (ii) expands the class of individuals eligible to become participants and receive purchase rights, (iii) materially increases the benefits accruing to participants under the ESPP or reduces the price at which shares of our Class A common stock may be purchased under the ESPP, (iv) extends the term of the ESPP, or (v) expands the types of awards available for issuance under the ESPP, but in each case only to the extent shareholder approval is required by applicable laws.</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ESPP Administrator may suspend or terminate the ESPP at any time. No purchase rights may be granted under the ESPP while the ESPP is suspended or after it is terminated.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Bonus Plan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7, 2021, our board of directors approved the Executive Incentive Bonus Plan (the “Bonus Plan”).</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purpose of the Bonus Plan is to motivate and reward eligible officers and employees of Clover Health, including the named executive officers, for their contributions toward the achievement of certain performance goals. The Bonus Plan is administered by the compensation committee of Clover Health’s board of directors,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directors and/or officers of Clover Health.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343" w:name="page344"/>
    <w:bookmarkEnd w:id="343"/>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Targets and Performance Criteria</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may establish cash bonus targets and corporate performance metrics for a specific performance period or fiscal year pursuant to the Bonus Plan. Corporate performance goals may be based on wide-ranging criteria and metrics described in the plan. However, awards issued to participants may also take into account other factors, including subjective factors. Performance goals may differ from participant to participant, performance period to performance period, and from award to award.</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Eligibility and Clawback</w:t>
      </w:r>
    </w:p>
    <w:p>
      <w:pPr>
        <w:spacing w:after="0" w:line="11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determined by the compensation committee, a participant must be actively employed and in good standing with Clover Health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Awards granted under the Bonus Plan are subject to applicable laws and clawback policies requiring forfeiture or repayment of amounts paid under the plan. The compensation committee may require a participant to forfeit or return to and/or reimburse Clover Health for any amounts paid with respect to an award, pursuant to the terms of any Clover Health clawback policy or as necessary or appropriate to comply with applicable laws.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8" w:right="47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Report, the following describes transactions since January 1, 2018, and each currently proposed transaction in which:</w:t>
      </w:r>
    </w:p>
    <w:p>
      <w:pPr>
        <w:spacing w:after="0" w:line="67" w:lineRule="exact"/>
        <w:rPr>
          <w:sz w:val="20"/>
          <w:szCs w:val="20"/>
          <w:color w:val="auto"/>
        </w:rPr>
      </w:pPr>
    </w:p>
    <w:p>
      <w:pPr>
        <w:ind w:left="964" w:hanging="424"/>
        <w:spacing w:after="0"/>
        <w:tabs>
          <w:tab w:leader="none" w:pos="96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SCH or Clover have been or are to be a participant;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In connection with the Closing, we, the Sponsor, SCH’s independent directors, certain stockholders of Clover, including entities affiliated with 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In addition, pursuant to the terms of the Registration Rights Agreement and subject to certain requirements and customary conditions, including with respect to the shares of our common stock held by the Sponsor and certain stockholders of Clover immediately following the Closing (not including the PIPE shares issued in the PIPE Investment pursuant to the terms of the subscription agreements) (the “Lock-up Shares”), including a lock-up of such shares in each case ending on the earlier of</w:t>
      </w:r>
    </w:p>
    <w:p>
      <w:pPr>
        <w:spacing w:after="0" w:line="5" w:lineRule="exact"/>
        <w:rPr>
          <w:sz w:val="20"/>
          <w:szCs w:val="20"/>
          <w:color w:val="auto"/>
        </w:rPr>
      </w:pPr>
    </w:p>
    <w:p>
      <w:pPr>
        <w:ind w:left="4" w:right="140" w:hanging="4"/>
        <w:spacing w:after="0" w:line="251" w:lineRule="auto"/>
        <w:tabs>
          <w:tab w:leader="none" w:pos="21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180 days after the Closing Date and (ii) (a) for 33.33% of the Lock-up Shares held by each of the parties thereto (and their respective permitted transferees), the date which the last reported sale price of our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our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 The Registration Rights Agreement will terminate on the earlier of (i) the tenth anniversary of the date of the Registration Rights Agreement or (ii) with respect to any party thereto, on the date that such party no longer holds any registrable securities.</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Pre-Business Combination Related Party Transactions of Clover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 Financing</w:t>
      </w:r>
    </w:p>
    <w:p>
      <w:pPr>
        <w:spacing w:after="0" w:line="229"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In multiple closings between May 2017 and December 2018, Clover sold an aggregate of 25,547,782 shares of its Series D preferred stock at a purchase price of $9.3778 per share for an aggregate purchase price of approximately $239.6 million. The following table summarizes the Series D preferred stock purchased by beneficial owners of more than 5% of our capital stock. The terms of these purchases were the same for all purchasers of Clover’s Series D preferred stock.</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6720" w:type="dxa"/>
            <w:vAlign w:val="bottom"/>
          </w:tcPr>
          <w:p>
            <w:pPr>
              <w:spacing w:after="0"/>
              <w:rPr>
                <w:sz w:val="16"/>
                <w:szCs w:val="16"/>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 of Series 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5"/>
                <w:szCs w:val="15"/>
                <w:color w:val="auto"/>
              </w:rPr>
              <w:t>(1)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3,199,044</w:t>
            </w: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29,999,994</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03" w:lineRule="exact"/>
        <w:rPr>
          <w:sz w:val="20"/>
          <w:szCs w:val="20"/>
          <w:color w:val="auto"/>
        </w:rPr>
      </w:pPr>
    </w:p>
    <w:p>
      <w:pPr>
        <w:ind w:left="5464" w:right="4240" w:hanging="5464"/>
        <w:spacing w:after="0" w:line="454" w:lineRule="auto"/>
        <w:tabs>
          <w:tab w:leader="none" w:pos="43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Greenoaks Capital are collectively a greater than 5% stockholder. 1</w:t>
      </w:r>
    </w:p>
    <w:p>
      <w:pPr>
        <w:sectPr>
          <w:pgSz w:w="11900" w:h="16838" w:orient="portrait"/>
          <w:cols w:equalWidth="0" w:num="1">
            <w:col w:w="11024"/>
          </w:cols>
          <w:pgMar w:left="436" w:top="266" w:right="439" w:bottom="1440" w:gutter="0" w:footer="0" w:header="0"/>
        </w:sectPr>
      </w:pPr>
    </w:p>
    <w:bookmarkStart w:id="345" w:name="page346"/>
    <w:bookmarkEnd w:id="345"/>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Bridge Loan Financing</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In December 2018, Clover issued non-convertible promissory notes in an aggregate principal amount of $30.0 million to accredited investors. The non-convertible promissory notes accrued interest at a rate of 10%. All outstanding principal amount and accrued interest under the non-convertible promissory notes were cancelled in consideration for convertible securities upon the closing of Clover’s convertible securities financing in February 2019. The following table summarizes the non-convertible promissory notes purchased by our directors, executive officers and beneficial owners of more than 5% of our capital stock. The terms of these purchases were the same for all purchasers of non-convertible promissory notes.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holder</w:t>
            </w:r>
          </w:p>
        </w:tc>
        <w:tc>
          <w:tcPr>
            <w:tcW w:w="5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5"/>
                <w:szCs w:val="15"/>
                <w:color w:val="auto"/>
              </w:rPr>
              <w:t>(1)</w:t>
            </w:r>
          </w:p>
        </w:tc>
        <w:tc>
          <w:tcPr>
            <w:tcW w:w="3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 Clover, LLC</w:t>
            </w:r>
            <w:r>
              <w:rPr>
                <w:rFonts w:ascii="Times New Roman" w:cs="Times New Roman" w:eastAsia="Times New Roman" w:hAnsi="Times New Roman"/>
                <w:sz w:val="15"/>
                <w:szCs w:val="15"/>
                <w:color w:val="auto"/>
              </w:rPr>
              <w:t>(2)</w:t>
            </w:r>
          </w:p>
        </w:tc>
        <w:tc>
          <w:tcPr>
            <w:tcW w:w="35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r>
    </w:tbl>
    <w:p>
      <w:pPr>
        <w:spacing w:after="0" w:line="85" w:lineRule="exact"/>
        <w:rPr>
          <w:sz w:val="20"/>
          <w:szCs w:val="20"/>
          <w:color w:val="auto"/>
        </w:rPr>
      </w:pPr>
    </w:p>
    <w:p>
      <w:pPr>
        <w:ind w:left="424" w:hanging="424"/>
        <w:spacing w:after="0"/>
        <w:tabs>
          <w:tab w:leader="none" w:pos="42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Greenoaks Capital are collectively a greater than 5% stockholder.</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Caesar Clover, LLC, together with other entities affiliated with NJ Healthcare Investments, LLC, are a greater than 5% stockholder, and</w:t>
      </w:r>
    </w:p>
    <w:p>
      <w:pPr>
        <w:spacing w:after="0" w:line="9"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Garipalli, our Chief Executive Officer, is the sole manager of NJ Healthcare Investments, LLC, the ultimate parent of Caesar Clover, LLC.</w:t>
      </w:r>
    </w:p>
    <w:p>
      <w:pPr>
        <w:spacing w:after="0" w:line="310"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Convertible Securities Financing</w:t>
      </w:r>
    </w:p>
    <w:p>
      <w:pPr>
        <w:spacing w:after="0" w:line="121"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In February, May and August 2019, Clover issued and sold convertible securities, in an aggregate principal amount of $373.8 million to accredited investors. Until the first anniversary of the issue date, interest on the convertible securities accrued at a rate of 6.5% per annum and is compounded semi-annually in kind. Thereafter, for each successive six-month period after the first anniversary and until the third anniversary of issue date, the per annum interest rate on the convertible securities increases by 1.5%. From the third anniversary to the maturity date, interest accrues at 13.5% per annum and is compounded semi-annually in kind. The convertible securities initially mature on April 1, 2023, which may be extended under certain circumstances by Clover. At any time prior to maturity, Clover may repurchase or redeem up to 40% of the initial principal amount under the convertible securities prior to the maturity date at the redemption prices set forth in the convertible securities purchase agreement, provided that Clover also issue their holders warrants to purchase shares of Clover capital stock on the amount and on the terms set forth in the agreement. At maturity, Clover may not repay principal and accrued interest under the convertible securities in cash without providing their holders the opportunity to convert such amount into shares of Clover capital stock. Pursuant to the convertible security amendment and conversion agreement entered in to in connection with the Business Combination, the convertible securities were mandatorily converted into a number of shares of Clover Class Z common stock immediately prior to the First Merger equal to the product of (i) the outstanding principal and accrued interest balance thereunder on the date of that is at most five days prior to the date of conversion of the convertible security at a discount to the price (the “Merger Price”) obtained by multiplying the Per Share Merger Consideration (as defined in the Merger Agreement) by a fraction, the numerator of which is the Aggregate Fully Diluted Company Common Shares (as defined in the Merger Agreement) and the denominator of which is the number of shares of common stock outstanding as of immediately prior to the First Merger on an as-converted, as-exercised basis and (ii) 1.0935, which represents a factor that is intended to result in the convertible securities converting into a number of shares of Clover Class Z common stock with a relative fully diluted ownership percentage that is equivalent to the relative fully diluted ownership percentage that such convertible securities would represent upon the consummation of an initial public offering. The conversion price was calculated as the lesser of (i) the Merger Price multiplied by 28.5% for the convertible promissory securities issued in May and August of</w:t>
      </w:r>
    </w:p>
    <w:p>
      <w:pPr>
        <w:spacing w:after="0" w:line="208" w:lineRule="exact"/>
        <w:rPr>
          <w:sz w:val="20"/>
          <w:szCs w:val="20"/>
          <w:color w:val="auto"/>
        </w:rPr>
      </w:pPr>
    </w:p>
    <w:p>
      <w:pPr>
        <w:ind w:left="4" w:right="60"/>
        <w:spacing w:after="0" w:line="277" w:lineRule="auto"/>
        <w:rPr>
          <w:sz w:val="20"/>
          <w:szCs w:val="20"/>
          <w:color w:val="auto"/>
        </w:rPr>
      </w:pPr>
      <w:r>
        <w:rPr>
          <w:rFonts w:ascii="Times New Roman" w:cs="Times New Roman" w:eastAsia="Times New Roman" w:hAnsi="Times New Roman"/>
          <w:sz w:val="17"/>
          <w:szCs w:val="17"/>
          <w:color w:val="auto"/>
        </w:rPr>
        <w:t>2019 or 32% for the convertible promissory securities issued in February and March 2019 (assuming the Mergers had occurred on September 30, 2020), and (ii) a price per share equal to (x) $2.5 billion, divided by (y) the number of shares of common stock outstanding or reserved for issuance under our equity plans as of the closing of this offering on an as-converted, as-exercised basis as defined in the convertible securities purchase agreement.</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346" w:name="page347"/>
    <w:bookmarkEnd w:id="346"/>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summarizes the aggregate principal amounts and amounts outstanding as of September 30, 2020, for the contingently convertible securities purchased by our directors, executive officers and beneficial owners of more than 5% of our capital stock. The terms of these purchases were the same for all purchasers of the contingently promissory securities.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 Aggregate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44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the Closing Date</w:t>
            </w: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5"/>
                <w:szCs w:val="15"/>
                <w:color w:val="auto"/>
              </w:rPr>
              <w:t>(1)</w:t>
            </w:r>
          </w:p>
        </w:tc>
        <w:tc>
          <w:tcPr>
            <w:tcW w:w="2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338,898,889.89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383,353,794.41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 Clover, LLC</w:t>
            </w:r>
            <w:r>
              <w:rPr>
                <w:rFonts w:ascii="Times New Roman" w:cs="Times New Roman" w:eastAsia="Times New Roman" w:hAnsi="Times New Roman"/>
                <w:sz w:val="15"/>
                <w:szCs w:val="15"/>
                <w:color w:val="auto"/>
              </w:rPr>
              <w:t>(2)</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10,138,888.89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11,650,329.59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4" w:hanging="424"/>
        <w:spacing w:after="0"/>
        <w:tabs>
          <w:tab w:leader="none" w:pos="42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Greenoaks Capital are collectively a greater than 5% stockholder.</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Caesar Clover, LLC, together with other entities affiliated with NJ Healthcare Investments, LLC, are a greater than 5% stockholder, and</w:t>
      </w:r>
    </w:p>
    <w:p>
      <w:pPr>
        <w:spacing w:after="0" w:line="9" w:lineRule="exact"/>
        <w:rPr>
          <w:rFonts w:ascii="Times New Roman" w:cs="Times New Roman" w:eastAsia="Times New Roman" w:hAnsi="Times New Roman"/>
          <w:sz w:val="18"/>
          <w:szCs w:val="18"/>
          <w:color w:val="auto"/>
        </w:rPr>
      </w:pPr>
    </w:p>
    <w:p>
      <w:pPr>
        <w:ind w:left="444" w:right="300" w:hanging="8"/>
        <w:spacing w:after="0" w:line="5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Garipalli, our Chief Executive Officer, is the sole manager of NJ Healthcare Investments, LLC, the ultimate parent of Caesar Clover, LLC. As of the Closing Date, the amount outstanding under these securities have converted into 69,921,040 shares of our Class B common stock.</w:t>
      </w:r>
    </w:p>
    <w:p>
      <w:pPr>
        <w:spacing w:after="0" w:line="4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Transfers</w:t>
      </w:r>
    </w:p>
    <w:p>
      <w:pPr>
        <w:spacing w:after="0" w:line="121" w:lineRule="exact"/>
        <w:rPr>
          <w:sz w:val="20"/>
          <w:szCs w:val="20"/>
          <w:color w:val="auto"/>
        </w:rPr>
      </w:pPr>
    </w:p>
    <w:p>
      <w:pPr>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t>In July 2018, entities affiliated with Nathaniel S. Turner, a member of our board of directors, purchased an aggregate of 38,835 shares of Clover outstanding common stock from a stockholder, at a purchase price of $6.00 per share, for an aggregate purchase price of approximately $0.2 million.</w:t>
      </w:r>
    </w:p>
    <w:p>
      <w:pPr>
        <w:spacing w:after="0" w:line="14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In November 2018, entities affiliated with Mr. Garipalli and NJ Healthcare Investments, LLC purchased an aggregate of 88,102 shares of Clover outstanding common stock from three different stockholders, at a purchase price of $6.00 per share, for an aggregate purchase price of approximately $0.5 million.</w:t>
      </w:r>
    </w:p>
    <w:p>
      <w:pPr>
        <w:spacing w:after="0" w:line="176"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In August 2020, entities affiliated with Mr. Garipalli purchased an aggregate of 81,612 shares of Clover outstanding common stock from a stockholder, at a purchase price of $5.70 per share, for an aggregate purchase price of approximately $0.5 million.</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Hospital Contracts</w:t>
      </w:r>
    </w:p>
    <w:p>
      <w:pPr>
        <w:spacing w:after="0" w:line="121" w:lineRule="exact"/>
        <w:rPr>
          <w:sz w:val="20"/>
          <w:szCs w:val="20"/>
          <w:color w:val="auto"/>
        </w:rPr>
      </w:pPr>
    </w:p>
    <w:p>
      <w:pPr>
        <w:ind w:left="4" w:right="280" w:firstLine="440"/>
        <w:spacing w:after="0" w:line="255" w:lineRule="auto"/>
        <w:rPr>
          <w:sz w:val="20"/>
          <w:szCs w:val="20"/>
          <w:color w:val="auto"/>
        </w:rPr>
      </w:pPr>
      <w:r>
        <w:rPr>
          <w:rFonts w:ascii="Times New Roman" w:cs="Times New Roman" w:eastAsia="Times New Roman" w:hAnsi="Times New Roman"/>
          <w:sz w:val="18"/>
          <w:szCs w:val="18"/>
          <w:color w:val="auto"/>
        </w:rPr>
        <w:t>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and are in-network Clover providers in New Jersey. CarePoint Health System is 80% owned and controlled by entities affiliated with Mr. Garipalli, our Chief Executive Officer, and who, through his affiliated entities, owns greater than 5% of our capital stock. We have entered into contracts, similar to those with many of our other in-network hospitals, with CarePoint Health System for the provision of inpatient and hospital-based outpatient services. Expenses and fees incurred related to these contracts, recorded in net medical claims incurred, in 2018, 2019 and 2020 were $12.6 million, $9.7 million, and $11.1 million, respectively.</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contracts</w:t>
      </w:r>
    </w:p>
    <w:p>
      <w:pPr>
        <w:spacing w:after="0" w:line="121"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We have a contract with Medical Records Exchange, LLC (d/b/a ChartFast) pursuant to which we receive administrative services related to medical records via ChartFast’s electronic applications and web portal platform. ChartFast is 76% owned and controlled by entities affiliated with Mr. Garipalli, our Chief Executive Officer, and who, through his affiliated entities, owns at least 5% of the capital stock. Expenses and fees incurred related to this agreement, in 2018 and 2020, were $0.5 million and $0.1 million, respectively. The expenses and fees incurred under this agreement in 2019 were insignificant.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47" w:name="page348"/>
    <w:bookmarkEnd w:id="347"/>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various contracts with Rogue Trading, LLC pursuant to which Rogue Trading provides marketing and consulting services to us. Rogue Trading is ultimately held and controlled by Chris Toy, the brother of Andrew Toy, our President and Chief Technology Officer. Expenses and fees incurred related to this contract in 2018 and 2019 were $0.325 million and $0.1 million. There were no expenses or fees paid in 2020.</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Clover is party to the Fifth Amended and Restated Investors’ Rights Agreement, dated as of February 21, 2019, which grants registration rights and information rights, among other things, to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All of these rights terminated upon the Closing.</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certain agreements with its stockholders, including the Fifth Amended and Restated Right of First Refusal and Co-Sale Agreement, dated as of February 21, 2019 (the “ROFR Agreement”), Clover or its assignees have the right to purchase shares of Clover capital stock which certain stockholders propose to sell to other parties. Certain holders of Clover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rights of first refusal and co-sale under the ROFR Agreement. All of these rights and this agreement terminated upon the Closing.</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Clover is a party to the Fourth Amended and Restated Voting Agreement, dated as of February 21, 2019, pursuant to which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agreed to vote their shares of our capital stock on certain matters, including with respect to the election of directors. This agreement terminated upon the Closing.</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and Employment Arrangements</w:t>
      </w:r>
    </w:p>
    <w:p>
      <w:pPr>
        <w:spacing w:after="0" w:line="119"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which is incorporated by reference to this Report, of which this section is a part,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p>
    <w:p>
      <w:pPr>
        <w:spacing w:after="0" w:line="119"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Management Indemnification Agreements—Limitation of Liability and Indemnification of Directors and Officers</w:t>
      </w:r>
      <w:r>
        <w:rPr>
          <w:rFonts w:ascii="Times New Roman" w:cs="Times New Roman" w:eastAsia="Times New Roman" w:hAnsi="Times New Roman"/>
          <w:sz w:val="18"/>
          <w:szCs w:val="18"/>
          <w:color w:val="auto"/>
        </w:rPr>
        <w:t>” as set forth in the disclosure in Item 1.01 of this Report, of which this section forms a part, for information on our indemnification arrangements with our directors and executive officers.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Pre-Business Combination Related Party Transactions of SCH</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48" w:name="page349"/>
    <w:bookmarkEnd w:id="348"/>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These founder shares are identical to the SCH Class A ordinary shares included in the units sold in SCH’s initial public offering, except that</w:t>
      </w:r>
    </w:p>
    <w:p>
      <w:pPr>
        <w:spacing w:after="0" w:line="27" w:lineRule="exact"/>
        <w:rPr>
          <w:sz w:val="20"/>
          <w:szCs w:val="20"/>
          <w:color w:val="auto"/>
        </w:rPr>
      </w:pPr>
    </w:p>
    <w:p>
      <w:pPr>
        <w:ind w:left="4" w:right="80" w:hanging="4"/>
        <w:spacing w:after="0" w:line="250" w:lineRule="auto"/>
        <w:tabs>
          <w:tab w:leader="none" w:pos="21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w:t>
      </w:r>
    </w:p>
    <w:p>
      <w:pPr>
        <w:spacing w:after="0" w:line="3" w:lineRule="exact"/>
        <w:rPr>
          <w:rFonts w:ascii="Times New Roman" w:cs="Times New Roman" w:eastAsia="Times New Roman" w:hAnsi="Times New Roman"/>
          <w:sz w:val="18"/>
          <w:szCs w:val="18"/>
          <w:color w:val="auto"/>
        </w:rPr>
      </w:pPr>
    </w:p>
    <w:p>
      <w:pPr>
        <w:ind w:left="4" w:right="20" w:hanging="4"/>
        <w:spacing w:after="0" w:line="260" w:lineRule="auto"/>
        <w:tabs>
          <w:tab w:leader="none" w:pos="30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automatically convertible into SCH Class A ordinary shares at the time of the initial business combination and (v) the founder shares are entitled to registration rights.</w:t>
      </w:r>
    </w:p>
    <w:p>
      <w:pPr>
        <w:spacing w:after="0" w:line="18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upon the Domestication, 20,700,000 founder shares automatically converted, on a one-for-one basis, into a share of our Class A common stock.</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Each private placement warrant entitled the holder to purchase one SCH Class A ordinary share for $11.50 per share.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w:t>
      </w:r>
    </w:p>
    <w:p>
      <w:pPr>
        <w:spacing w:after="0" w:line="18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sold in the initial public offering of SCH except that so long as the private placement warrants are held by the Sponsor or its permitted transferees: (i) they are not redeemable by us, (ii) (2) they (including the shares issuable upon exercise of these warrants) may not, subject to certain limited exceptions, be transferred, assigned or sold by the Sponsor until 30 days after the Closing; (3) they may be exercised by the holders on a cashless basis; and (4) they (including the shares issuable upon exercise of these warrants) are entitled to registration rights.</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if any (and any SCH Class A ordinary shares issuable upon the exercise of the private placement warrants or warrants issued upon conversion of the working capital loans and upon conversion of the founder shares) are entitled to registration rights pursuant to a registration rights agreement signed April 21, 2020 requiring SCH to register such securities for resale (in the case of the founder shares, only after conversion to SCH Class A ordinary shares). The holders of these securities are entitled to make up to three demands, excluding short form demands, that SCH register such securities. In addition, the holders have certain “piggy-back” registration rights with respect to registration statements filed subsequent to the completion 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49" w:name="page350"/>
    <w:bookmarkEnd w:id="349"/>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SCH’s initial business combination and rights to require SCH to register for resale such securities pursuant to Rule 415 under the Securities Act. SCH will bear the expenses incurred in connection with the filing of any such registration statements.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registration rights agreement was amended and restated. For additional information, see the section above entitled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we entered into subscription agreements with the PIPE investors that are existing directors, officers or equityholders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PIPE Investment was consummated concurrently with the Closing.</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and Advances</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Sponsor advanced SCH an aggregate of $17,631 to cover expenses related to the initial public offering. The advances were noninterest bearing and due on demand. Advances in the aggregate amount of $17,631 were repaid in February 2020.</w:t>
      </w:r>
    </w:p>
    <w:p>
      <w:pPr>
        <w:spacing w:after="0" w:line="162"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w:t>
      </w:r>
    </w:p>
    <w:p>
      <w:pPr>
        <w:spacing w:after="0" w:line="158"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SCH entered into an agreement whereby, commencing on April 21, 2020 through the earlier of the consummation of a business combination or SCH’s liquidation, SCH will pay an affiliate of the Sponsor a monthly fee of $10,000 for office space, administrative and support services. For the three and nine months ended September 30, 2020, SCH incurred $30,000 and $50,000 of such fees. As of September 30, 2020, $50,000 is included in accrued expenses in the accompanying condensed balance sheets.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 Fees Related to Public Offering</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SCH’s initial public offering, the underwriters of SCH’s initial public offering agreed to reimburse SCH for amounts paid by SCH to Connaught (UK) Limited for financial advisory services in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50" w:name="page351"/>
    <w:bookmarkEnd w:id="350"/>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8B73F"/>
    <w:multiLevelType w:val="hybridMultilevel"/>
    <w:lvl w:ilvl="0">
      <w:lvlJc w:val="left"/>
      <w:lvlText w:val="☐"/>
      <w:numFmt w:val="bullet"/>
      <w:start w:val="1"/>
    </w:lvl>
  </w:abstractNum>
  <w:abstractNum w:abstractNumId="1">
    <w:nsid w:val="CA6B462"/>
    <w:multiLevelType w:val="hybridMultilevel"/>
    <w:lvl w:ilvl="0">
      <w:lvlJc w:val="left"/>
      <w:lvlText w:val="•"/>
      <w:numFmt w:val="bullet"/>
      <w:start w:val="1"/>
    </w:lvl>
  </w:abstractNum>
  <w:abstractNum w:abstractNumId="2">
    <w:nsid w:val="763CB680"/>
    <w:multiLevelType w:val="hybridMultilevel"/>
    <w:lvl w:ilvl="0">
      <w:lvlJc w:val="left"/>
      <w:lvlText w:val="•"/>
      <w:numFmt w:val="bullet"/>
      <w:start w:val="1"/>
    </w:lvl>
  </w:abstractNum>
  <w:abstractNum w:abstractNumId="3">
    <w:nsid w:val="15B71329"/>
    <w:multiLevelType w:val="hybridMultilevel"/>
    <w:lvl w:ilvl="0">
      <w:lvlJc w:val="left"/>
      <w:lvlText w:val="•"/>
      <w:numFmt w:val="bullet"/>
      <w:start w:val="1"/>
    </w:lvl>
  </w:abstractNum>
  <w:abstractNum w:abstractNumId="4">
    <w:nsid w:val="3DA97044"/>
    <w:multiLevelType w:val="hybridMultilevel"/>
    <w:lvl w:ilvl="0">
      <w:lvlJc w:val="left"/>
      <w:lvlText w:val="*"/>
      <w:numFmt w:val="bullet"/>
      <w:start w:val="1"/>
    </w:lvl>
  </w:abstractNum>
  <w:abstractNum w:abstractNumId="5">
    <w:nsid w:val="1CDCE2DE"/>
    <w:multiLevelType w:val="hybridMultilevel"/>
    <w:lvl w:ilvl="0">
      <w:lvlJc w:val="left"/>
      <w:lvlText w:val="**"/>
      <w:numFmt w:val="bullet"/>
      <w:start w:val="1"/>
    </w:lvl>
  </w:abstractNum>
  <w:abstractNum w:abstractNumId="6">
    <w:nsid w:val="69D3947C"/>
    <w:multiLevelType w:val="hybridMultilevel"/>
    <w:lvl w:ilvl="0">
      <w:lvlJc w:val="left"/>
      <w:lvlText w:val="(%1)"/>
      <w:numFmt w:val="decimal"/>
      <w:start w:val="1"/>
    </w:lvl>
  </w:abstractNum>
  <w:abstractNum w:abstractNumId="7">
    <w:nsid w:val="2539DFA5"/>
    <w:multiLevelType w:val="hybridMultilevel"/>
    <w:lvl w:ilvl="0">
      <w:lvlJc w:val="left"/>
      <w:lvlText w:val="(%1)"/>
      <w:numFmt w:val="decimal"/>
      <w:start w:val="3"/>
    </w:lvl>
  </w:abstractNum>
  <w:abstractNum w:abstractNumId="8">
    <w:nsid w:val="2DB88089"/>
    <w:multiLevelType w:val="hybridMultilevel"/>
    <w:lvl w:ilvl="0">
      <w:lvlJc w:val="left"/>
      <w:lvlText w:val="•"/>
      <w:numFmt w:val="bullet"/>
      <w:start w:val="1"/>
    </w:lvl>
    <w:lvl w:ilvl="1">
      <w:lvlJc w:val="left"/>
      <w:lvlText w:val="(%2)"/>
      <w:numFmt w:val="decimal"/>
      <w:start w:val="1"/>
    </w:lvl>
  </w:abstractNum>
  <w:abstractNum w:abstractNumId="9">
    <w:nsid w:val="706B674E"/>
    <w:multiLevelType w:val="hybridMultilevel"/>
    <w:lvl w:ilvl="0">
      <w:lvlJc w:val="left"/>
      <w:lvlText w:val="(%1)"/>
      <w:numFmt w:val="lowerRoman"/>
      <w:start w:val="3"/>
    </w:lvl>
  </w:abstractNum>
  <w:abstractNum w:abstractNumId="10">
    <w:nsid w:val="2C106A57"/>
    <w:multiLevelType w:val="hybridMultilevel"/>
    <w:lvl w:ilvl="0">
      <w:lvlJc w:val="left"/>
      <w:lvlText w:val="(%1)"/>
      <w:numFmt w:val="lowerRoman"/>
      <w:start w:val="2"/>
    </w:lvl>
  </w:abstractNum>
  <w:abstractNum w:abstractNumId="11">
    <w:nsid w:val="684EED59"/>
    <w:multiLevelType w:val="hybridMultilevel"/>
    <w:lvl w:ilvl="0">
      <w:lvlJc w:val="left"/>
      <w:lvlText w:val="(%1)"/>
      <w:numFmt w:val="decimal"/>
      <w:start w:val="5"/>
    </w:lvl>
  </w:abstractNum>
  <w:abstractNum w:abstractNumId="12">
    <w:nsid w:val="545EE5D3"/>
    <w:multiLevelType w:val="hybridMultilevel"/>
    <w:lvl w:ilvl="0">
      <w:lvlJc w:val="left"/>
      <w:lvlText w:val="•"/>
      <w:numFmt w:val="bullet"/>
      <w:start w:val="1"/>
    </w:lvl>
  </w:abstractNum>
  <w:abstractNum w:abstractNumId="13">
    <w:nsid w:val="4A66051"/>
    <w:multiLevelType w:val="hybridMultilevel"/>
    <w:lvl w:ilvl="0">
      <w:lvlJc w:val="left"/>
      <w:lvlText w:val="•"/>
      <w:numFmt w:val="bullet"/>
      <w:start w:val="1"/>
    </w:lvl>
  </w:abstractNum>
  <w:abstractNum w:abstractNumId="14">
    <w:nsid w:val="20F4BDAD"/>
    <w:multiLevelType w:val="hybridMultilevel"/>
    <w:lvl w:ilvl="0">
      <w:lvlJc w:val="left"/>
      <w:lvlText w:val="•"/>
      <w:numFmt w:val="bullet"/>
      <w:start w:val="1"/>
    </w:lvl>
  </w:abstractNum>
  <w:abstractNum w:abstractNumId="15">
    <w:nsid w:val="639DEFAC"/>
    <w:multiLevelType w:val="hybridMultilevel"/>
    <w:lvl w:ilvl="0">
      <w:lvlJc w:val="left"/>
      <w:lvlText w:val="†"/>
      <w:numFmt w:val="bullet"/>
      <w:start w:val="1"/>
    </w:lvl>
  </w:abstractNum>
  <w:abstractNum w:abstractNumId="16">
    <w:nsid w:val="501F9786"/>
    <w:multiLevelType w:val="hybridMultilevel"/>
    <w:lvl w:ilvl="0">
      <w:lvlJc w:val="left"/>
      <w:lvlText w:val="+"/>
      <w:numFmt w:val="bullet"/>
      <w:start w:val="1"/>
    </w:lvl>
  </w:abstractNum>
  <w:abstractNum w:abstractNumId="17">
    <w:nsid w:val="6B057295"/>
    <w:multiLevelType w:val="hybridMultilevel"/>
    <w:lvl w:ilvl="0">
      <w:lvlJc w:val="left"/>
      <w:lvlText w:val="(%1)"/>
      <w:numFmt w:val="decimal"/>
      <w:start w:val="3"/>
    </w:lvl>
  </w:abstractNum>
  <w:abstractNum w:abstractNumId="18">
    <w:nsid w:val="2771AC80"/>
    <w:multiLevelType w:val="hybridMultilevel"/>
    <w:lvl w:ilvl="0">
      <w:lvlJc w:val="left"/>
      <w:lvlText w:val="(%1)"/>
      <w:numFmt w:val="lowerRoman"/>
      <w:start w:val="1"/>
    </w:lvl>
  </w:abstractNum>
  <w:abstractNum w:abstractNumId="19">
    <w:nsid w:val="1C4A08EC"/>
    <w:multiLevelType w:val="hybridMultilevel"/>
    <w:lvl w:ilvl="0">
      <w:lvlJc w:val="left"/>
      <w:lvlText w:val="(%1)"/>
      <w:numFmt w:val="decimal"/>
      <w:start w:val="1"/>
    </w:lvl>
  </w:abstractNum>
  <w:abstractNum w:abstractNumId="20">
    <w:nsid w:val="1958BD17"/>
    <w:multiLevelType w:val="hybridMultilevel"/>
    <w:lvl w:ilvl="0">
      <w:lvlJc w:val="left"/>
      <w:lvlText w:val="(%1)"/>
      <w:numFmt w:val="lowerLetter"/>
      <w:start w:val="2"/>
    </w:lvl>
  </w:abstractNum>
  <w:abstractNum w:abstractNumId="21">
    <w:nsid w:val="4E647FE4"/>
    <w:multiLevelType w:val="hybridMultilevel"/>
    <w:lvl w:ilvl="0">
      <w:lvlJc w:val="left"/>
      <w:lvlText w:val="(%1)"/>
      <w:numFmt w:val="lowerLetter"/>
      <w:start w:val="1"/>
    </w:lvl>
  </w:abstractNum>
  <w:abstractNum w:abstractNumId="22">
    <w:nsid w:val="E0BB885"/>
    <w:multiLevelType w:val="hybridMultilevel"/>
    <w:lvl w:ilvl="0">
      <w:lvlJc w:val="left"/>
      <w:lvlText w:val="(%1)"/>
      <w:numFmt w:val="lowerLetter"/>
      <w:start w:val="2"/>
    </w:lvl>
    <w:lvl w:ilvl="1">
      <w:lvlJc w:val="left"/>
      <w:lvlText w:val="(%2)"/>
      <w:numFmt w:val="lowerRoman"/>
      <w:start w:val="1"/>
    </w:lvl>
  </w:abstractNum>
  <w:abstractNum w:abstractNumId="23">
    <w:nsid w:val="565976F1"/>
    <w:multiLevelType w:val="hybridMultilevel"/>
    <w:lvl w:ilvl="0">
      <w:lvlJc w:val="left"/>
      <w:lvlText w:val="(%1)"/>
      <w:numFmt w:val="lowerRoman"/>
      <w:start w:val="10"/>
    </w:lvl>
    <w:lvl w:ilvl="1">
      <w:lvlJc w:val="left"/>
      <w:lvlText w:val="(%2)"/>
      <w:numFmt w:val="lowerRoman"/>
      <w:start w:val="1"/>
    </w:lvl>
  </w:abstractNum>
  <w:abstractNum w:abstractNumId="24">
    <w:nsid w:val="64212B8C"/>
    <w:multiLevelType w:val="hybridMultilevel"/>
    <w:lvl w:ilvl="0">
      <w:lvlJc w:val="left"/>
      <w:lvlText w:val="%1"/>
      <w:numFmt w:val="lowerLetter"/>
      <w:start w:val="1"/>
    </w:lvl>
    <w:lvl w:ilvl="1">
      <w:lvlJc w:val="left"/>
      <w:lvlText w:val="(%2)"/>
      <w:numFmt w:val="lowerRoman"/>
      <w:start w:val="6"/>
    </w:lvl>
  </w:abstractNum>
  <w:abstractNum w:abstractNumId="25">
    <w:nsid w:val="5C17530C"/>
    <w:multiLevelType w:val="hybridMultilevel"/>
    <w:lvl w:ilvl="0">
      <w:lvlJc w:val="left"/>
      <w:lvlText w:val="(%1)"/>
      <w:numFmt w:val="lowerLetter"/>
      <w:start w:val="25"/>
    </w:lvl>
    <w:lvl w:ilvl="1">
      <w:lvlJc w:val="left"/>
      <w:lvlText w:val="(%2)"/>
      <w:numFmt w:val="lowerRoman"/>
      <w:start w:val="1"/>
    </w:lvl>
  </w:abstractNum>
  <w:abstractNum w:abstractNumId="26">
    <w:nsid w:val="19A52566"/>
    <w:multiLevelType w:val="hybridMultilevel"/>
    <w:lvl w:ilvl="0">
      <w:lvlJc w:val="left"/>
      <w:lvlText w:val="(%1)"/>
      <w:numFmt w:val="lowerRoman"/>
      <w:start w:val="6"/>
    </w:lvl>
  </w:abstractNum>
  <w:abstractNum w:abstractNumId="27">
    <w:nsid w:val="335A1DF1"/>
    <w:multiLevelType w:val="hybridMultilevel"/>
    <w:lvl w:ilvl="0">
      <w:lvlJc w:val="left"/>
      <w:lvlText w:val="(%1)"/>
      <w:numFmt w:val="lowerRoman"/>
      <w:start w:val="2"/>
    </w:lvl>
  </w:abstractNum>
  <w:abstractNum w:abstractNumId="28">
    <w:nsid w:val="28677B7C"/>
    <w:multiLevelType w:val="hybridMultilevel"/>
    <w:lvl w:ilvl="0">
      <w:lvlJc w:val="left"/>
      <w:lvlText w:val="(%1)"/>
      <w:numFmt w:val="lowerRoman"/>
      <w:start w:val="2"/>
    </w:lvl>
  </w:abstractNum>
  <w:abstractNum w:abstractNumId="29">
    <w:nsid w:val="378D97C0"/>
    <w:multiLevelType w:val="hybridMultilevel"/>
    <w:lvl w:ilvl="0">
      <w:lvlJc w:val="left"/>
      <w:lvlText w:val="(%1)"/>
      <w:numFmt w:val="lowerLetter"/>
      <w:start w:val="3"/>
    </w:lvl>
  </w:abstractNum>
  <w:abstractNum w:abstractNumId="30">
    <w:nsid w:val="1D91467C"/>
    <w:multiLevelType w:val="hybridMultilevel"/>
    <w:lvl w:ilvl="0">
      <w:lvlJc w:val="left"/>
      <w:lvlText w:val="(%1)"/>
      <w:numFmt w:val="lowerLetter"/>
      <w:start w:val="1"/>
    </w:lvl>
  </w:abstractNum>
  <w:abstractNum w:abstractNumId="31">
    <w:nsid w:val="316032BB"/>
    <w:multiLevelType w:val="hybridMultilevel"/>
    <w:lvl w:ilvl="0">
      <w:lvlJc w:val="left"/>
      <w:lvlText w:val="(%1)"/>
      <w:numFmt w:val="lowerLetter"/>
      <w:start w:val="3"/>
    </w:lvl>
    <w:lvl w:ilvl="1">
      <w:lvlJc w:val="left"/>
      <w:lvlText w:val="(%2)"/>
      <w:numFmt w:val="upperLetter"/>
      <w:start w:val="1"/>
    </w:lvl>
  </w:abstractNum>
  <w:abstractNum w:abstractNumId="32">
    <w:nsid w:val="44344C22"/>
    <w:multiLevelType w:val="hybridMultilevel"/>
    <w:lvl w:ilvl="0">
      <w:lvlJc w:val="left"/>
      <w:lvlText w:val="(%1)"/>
      <w:numFmt w:val="decimal"/>
      <w:start w:val="1"/>
    </w:lvl>
  </w:abstractNum>
  <w:abstractNum w:abstractNumId="33">
    <w:nsid w:val="13CDFCFC"/>
    <w:multiLevelType w:val="hybridMultilevel"/>
    <w:lvl w:ilvl="0">
      <w:lvlJc w:val="left"/>
      <w:lvlText w:val="(%1)"/>
      <w:numFmt w:val="upperLetter"/>
      <w:start w:val="3"/>
    </w:lvl>
  </w:abstractNum>
  <w:abstractNum w:abstractNumId="34">
    <w:nsid w:val="471745E4"/>
    <w:multiLevelType w:val="hybridMultilevel"/>
    <w:lvl w:ilvl="0">
      <w:lvlJc w:val="left"/>
      <w:lvlText w:val="(%1)"/>
      <w:numFmt w:val="lowerLetter"/>
      <w:start w:val="1"/>
    </w:lvl>
  </w:abstractNum>
  <w:abstractNum w:abstractNumId="35">
    <w:nsid w:val="1DDBC66"/>
    <w:multiLevelType w:val="hybridMultilevel"/>
    <w:lvl w:ilvl="0">
      <w:lvlJc w:val="left"/>
      <w:lvlText w:val="(%1)"/>
      <w:numFmt w:val="decimal"/>
      <w:start w:val="1"/>
    </w:lvl>
  </w:abstractNum>
  <w:abstractNum w:abstractNumId="36">
    <w:nsid w:val="30AADFDA"/>
    <w:multiLevelType w:val="hybridMultilevel"/>
    <w:lvl w:ilvl="0">
      <w:lvlJc w:val="left"/>
      <w:lvlText w:val="(%1)"/>
      <w:numFmt w:val="lowerLetter"/>
      <w:start w:val="1"/>
    </w:lvl>
  </w:abstractNum>
  <w:abstractNum w:abstractNumId="37">
    <w:nsid w:val="30EADA61"/>
    <w:multiLevelType w:val="hybridMultilevel"/>
    <w:lvl w:ilvl="0">
      <w:lvlJc w:val="left"/>
      <w:lvlText w:val="%1"/>
      <w:numFmt w:val="lowerLetter"/>
      <w:start w:val="1"/>
    </w:lvl>
    <w:lvl w:ilvl="1">
      <w:lvlJc w:val="left"/>
      <w:lvlText w:val="(%2)"/>
      <w:numFmt w:val="lowerLetter"/>
      <w:start w:val="4"/>
    </w:lvl>
  </w:abstractNum>
  <w:abstractNum w:abstractNumId="38">
    <w:nsid w:val="27179C0B"/>
    <w:multiLevelType w:val="hybridMultilevel"/>
    <w:lvl w:ilvl="0">
      <w:lvlJc w:val="left"/>
      <w:lvlText w:val="(%1)"/>
      <w:numFmt w:val="lowerLetter"/>
      <w:start w:val="35"/>
    </w:lvl>
    <w:lvl w:ilvl="1">
      <w:lvlJc w:val="left"/>
      <w:lvlText w:val="%2"/>
      <w:numFmt w:val="lowerLetter"/>
      <w:start w:val="1"/>
    </w:lvl>
  </w:abstractNum>
  <w:abstractNum w:abstractNumId="39">
    <w:nsid w:val="5E636063"/>
    <w:multiLevelType w:val="hybridMultilevel"/>
    <w:lvl w:ilvl="0">
      <w:lvlJc w:val="left"/>
      <w:lvlText w:val="(%1)"/>
      <w:numFmt w:val="lowerLetter"/>
      <w:start w:val="2"/>
    </w:lvl>
  </w:abstractNum>
  <w:abstractNum w:abstractNumId="40">
    <w:nsid w:val="215641AF"/>
    <w:multiLevelType w:val="hybridMultilevel"/>
    <w:lvl w:ilvl="0">
      <w:lvlJc w:val="left"/>
      <w:lvlText w:val="(%1)"/>
      <w:numFmt w:val="lowerLetter"/>
      <w:start w:val="2"/>
    </w:lvl>
  </w:abstractNum>
  <w:abstractNum w:abstractNumId="41">
    <w:nsid w:val="53280662"/>
    <w:multiLevelType w:val="hybridMultilevel"/>
    <w:lvl w:ilvl="0">
      <w:lvlJc w:val="left"/>
      <w:lvlText w:val="•"/>
      <w:numFmt w:val="bullet"/>
      <w:start w:val="1"/>
    </w:lvl>
  </w:abstractNum>
  <w:abstractNum w:abstractNumId="42">
    <w:nsid w:val="46B24DBC"/>
    <w:multiLevelType w:val="hybridMultilevel"/>
    <w:lvl w:ilvl="0">
      <w:lvlJc w:val="left"/>
      <w:lvlText w:val="•"/>
      <w:numFmt w:val="bullet"/>
      <w:start w:val="1"/>
    </w:lvl>
  </w:abstractNum>
  <w:abstractNum w:abstractNumId="43">
    <w:nsid w:val="75B52783"/>
    <w:multiLevelType w:val="hybridMultilevel"/>
    <w:lvl w:ilvl="0">
      <w:lvlJc w:val="left"/>
      <w:lvlText w:val="•"/>
      <w:numFmt w:val="bullet"/>
      <w:start w:val="1"/>
    </w:lvl>
  </w:abstractNum>
  <w:abstractNum w:abstractNumId="44">
    <w:nsid w:val="57CE66B4"/>
    <w:multiLevelType w:val="hybridMultilevel"/>
    <w:lvl w:ilvl="0">
      <w:lvlJc w:val="left"/>
      <w:lvlText w:val="•"/>
      <w:numFmt w:val="bullet"/>
      <w:start w:val="1"/>
    </w:lvl>
  </w:abstractNum>
  <w:abstractNum w:abstractNumId="45">
    <w:nsid w:val="67A70B69"/>
    <w:multiLevelType w:val="hybridMultilevel"/>
    <w:lvl w:ilvl="0">
      <w:lvlJc w:val="left"/>
      <w:lvlText w:val="•"/>
      <w:numFmt w:val="bullet"/>
      <w:start w:val="1"/>
    </w:lvl>
  </w:abstractNum>
  <w:abstractNum w:abstractNumId="46">
    <w:nsid w:val="5953172F"/>
    <w:multiLevelType w:val="hybridMultilevel"/>
    <w:lvl w:ilvl="0">
      <w:lvlJc w:val="left"/>
      <w:lvlText w:val="(%1)"/>
      <w:numFmt w:val="decimal"/>
      <w:start w:val="2"/>
    </w:lvl>
  </w:abstractNum>
  <w:abstractNum w:abstractNumId="47">
    <w:nsid w:val="27EDFE3A"/>
    <w:multiLevelType w:val="hybridMultilevel"/>
    <w:lvl w:ilvl="0">
      <w:lvlJc w:val="left"/>
      <w:lvlText w:val="(%1)"/>
      <w:numFmt w:val="lowerLetter"/>
      <w:start w:val="2"/>
    </w:lvl>
  </w:abstractNum>
  <w:abstractNum w:abstractNumId="48">
    <w:nsid w:val="52AC7DFF"/>
    <w:multiLevelType w:val="hybridMultilevel"/>
    <w:lvl w:ilvl="0">
      <w:lvlJc w:val="left"/>
      <w:lvlText w:val="(%1)"/>
      <w:numFmt w:val="lowerRoman"/>
      <w:start w:val="1"/>
    </w:lvl>
  </w:abstractNum>
  <w:abstractNum w:abstractNumId="49">
    <w:nsid w:val="C4C3AF"/>
    <w:multiLevelType w:val="hybridMultilevel"/>
    <w:lvl w:ilvl="0">
      <w:lvlJc w:val="left"/>
      <w:lvlText w:val="%1)"/>
      <w:numFmt w:val="decimal"/>
      <w:start w:val="144"/>
    </w:lvl>
  </w:abstractNum>
  <w:abstractNum w:abstractNumId="50">
    <w:nsid w:val="44380727"/>
    <w:multiLevelType w:val="hybridMultilevel"/>
    <w:lvl w:ilvl="0">
      <w:lvlJc w:val="left"/>
      <w:lvlText w:val="(%1)"/>
      <w:numFmt w:val="upperLetter"/>
      <w:start w:val="1"/>
    </w:lvl>
  </w:abstractNum>
  <w:abstractNum w:abstractNumId="51">
    <w:nsid w:val="6C053B16"/>
    <w:multiLevelType w:val="hybridMultilevel"/>
    <w:lvl w:ilvl="0">
      <w:lvlJc w:val="left"/>
      <w:lvlText w:val="(%1)"/>
      <w:numFmt w:val="lowerLetter"/>
      <w:start w:val="1"/>
    </w:lvl>
  </w:abstractNum>
  <w:abstractNum w:abstractNumId="52">
    <w:nsid w:val="4F294393"/>
    <w:multiLevelType w:val="hybridMultilevel"/>
    <w:lvl w:ilvl="0">
      <w:lvlJc w:val="left"/>
      <w:lvlText w:val="(%1)"/>
      <w:numFmt w:val="lowerLetter"/>
      <w:start w:val="1"/>
    </w:lvl>
  </w:abstractNum>
  <w:abstractNum w:abstractNumId="53">
    <w:nsid w:val="5243BFAC"/>
    <w:multiLevelType w:val="hybridMultilevel"/>
    <w:lvl w:ilvl="0">
      <w:lvlJc w:val="left"/>
      <w:lvlText w:val="%1."/>
      <w:numFmt w:val="decimal"/>
      <w:start w:val="1"/>
    </w:lvl>
    <w:lvl w:ilvl="1">
      <w:lvlJc w:val="left"/>
      <w:lvlText w:val="(%2)"/>
      <w:numFmt w:val="lowerLetter"/>
      <w:start w:val="1"/>
    </w:lvl>
  </w:abstractNum>
  <w:abstractNum w:abstractNumId="54">
    <w:nsid w:val="425EB207"/>
    <w:multiLevelType w:val="hybridMultilevel"/>
    <w:lvl w:ilvl="0">
      <w:lvlJc w:val="left"/>
      <w:lvlText w:val="%1"/>
      <w:numFmt w:val="decimal"/>
      <w:start w:val="1"/>
    </w:lvl>
    <w:lvl w:ilvl="1">
      <w:lvlJc w:val="left"/>
      <w:lvlText w:val="(%2)"/>
      <w:numFmt w:val="lowerLetter"/>
      <w:start w:val="3"/>
    </w:lvl>
  </w:abstractNum>
  <w:abstractNum w:abstractNumId="55">
    <w:nsid w:val="334A6F1F"/>
    <w:multiLevelType w:val="hybridMultilevel"/>
    <w:lvl w:ilvl="0">
      <w:lvlJc w:val="left"/>
      <w:lvlText w:val="%1."/>
      <w:numFmt w:val="decimal"/>
      <w:start w:val="2"/>
    </w:lvl>
    <w:lvl w:ilvl="1">
      <w:lvlJc w:val="left"/>
      <w:lvlText w:val="(%2)"/>
      <w:numFmt w:val="lowerLetter"/>
      <w:start w:val="1"/>
    </w:lvl>
  </w:abstractNum>
  <w:abstractNum w:abstractNumId="56">
    <w:nsid w:val="2E5B12B8"/>
    <w:multiLevelType w:val="hybridMultilevel"/>
    <w:lvl w:ilvl="0">
      <w:lvlJc w:val="left"/>
      <w:lvlText w:val="(%1)"/>
      <w:numFmt w:val="lowerLetter"/>
      <w:start w:val="2"/>
    </w:lvl>
    <w:lvl w:ilvl="1">
      <w:lvlJc w:val="left"/>
      <w:lvlText w:val="(%2)"/>
      <w:numFmt w:val="lowerRoman"/>
      <w:start w:val="1"/>
    </w:lvl>
  </w:abstractNum>
  <w:abstractNum w:abstractNumId="57">
    <w:nsid w:val="5C03D76D"/>
    <w:multiLevelType w:val="hybridMultilevel"/>
    <w:lvl w:ilvl="0">
      <w:lvlJc w:val="left"/>
      <w:lvlText w:val="%1"/>
      <w:numFmt w:val="upperLetter"/>
      <w:start w:val="1"/>
    </w:lvl>
    <w:lvl w:ilvl="1">
      <w:lvlJc w:val="left"/>
      <w:lvlText w:val="(%2)"/>
      <w:numFmt w:val="lowerLetter"/>
      <w:start w:val="4"/>
    </w:lvl>
  </w:abstractNum>
  <w:abstractNum w:abstractNumId="58">
    <w:nsid w:val="66A48D11"/>
    <w:multiLevelType w:val="hybridMultilevel"/>
    <w:lvl w:ilvl="0">
      <w:lvlJc w:val="left"/>
      <w:lvlText w:val="(%1)"/>
      <w:numFmt w:val="upperLetter"/>
      <w:start w:val="2"/>
    </w:lvl>
    <w:lvl w:ilvl="1">
      <w:lvlJc w:val="left"/>
      <w:lvlText w:val="%2"/>
      <w:numFmt w:val="lowerLetter"/>
      <w:start w:val="1"/>
    </w:lvl>
  </w:abstractNum>
  <w:abstractNum w:abstractNumId="59">
    <w:nsid w:val="56C28E3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0">
    <w:nsid w:val="13916F2D"/>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61">
    <w:nsid w:val="435D38D"/>
    <w:multiLevelType w:val="hybridMultilevel"/>
    <w:lvl w:ilvl="0">
      <w:lvlJc w:val="left"/>
      <w:lvlText w:val="%1"/>
      <w:numFmt w:val="decimal"/>
      <w:start w:val="1"/>
    </w:lvl>
    <w:lvl w:ilvl="1">
      <w:lvlJc w:val="left"/>
      <w:lvlText w:val="(%2)"/>
      <w:numFmt w:val="lowerLetter"/>
      <w:start w:val="4"/>
    </w:lvl>
  </w:abstractNum>
  <w:abstractNum w:abstractNumId="62">
    <w:nsid w:val="822C0EF"/>
    <w:multiLevelType w:val="hybridMultilevel"/>
    <w:lvl w:ilvl="0">
      <w:lvlJc w:val="left"/>
      <w:lvlText w:val="%1."/>
      <w:numFmt w:val="decimal"/>
      <w:start w:val="4"/>
    </w:lvl>
    <w:lvl w:ilvl="1">
      <w:lvlJc w:val="left"/>
      <w:lvlText w:val="(%2)"/>
      <w:numFmt w:val="lowerLetter"/>
      <w:start w:val="1"/>
    </w:lvl>
  </w:abstractNum>
  <w:abstractNum w:abstractNumId="63">
    <w:nsid w:val="57C5BB4F"/>
    <w:multiLevelType w:val="hybridMultilevel"/>
    <w:lvl w:ilvl="0">
      <w:lvlJc w:val="left"/>
      <w:lvlText w:val="%1"/>
      <w:numFmt w:val="decimal"/>
      <w:start w:val="1"/>
    </w:lvl>
    <w:lvl w:ilvl="1">
      <w:lvlJc w:val="left"/>
      <w:lvlText w:val="(%2)"/>
      <w:numFmt w:val="lowerLetter"/>
      <w:start w:val="2"/>
    </w:lvl>
  </w:abstractNum>
  <w:abstractNum w:abstractNumId="64">
    <w:nsid w:val="1803D089"/>
    <w:multiLevelType w:val="hybridMultilevel"/>
    <w:lvl w:ilvl="0">
      <w:lvlJc w:val="left"/>
      <w:lvlText w:val="%1."/>
      <w:numFmt w:val="decimal"/>
      <w:start w:val="6"/>
    </w:lvl>
    <w:lvl w:ilvl="1">
      <w:lvlJc w:val="left"/>
      <w:lvlText w:val="(%2)"/>
      <w:numFmt w:val="lowerLetter"/>
      <w:start w:val="1"/>
    </w:lvl>
  </w:abstractNum>
  <w:abstractNum w:abstractNumId="65">
    <w:nsid w:val="4F3A06D4"/>
    <w:multiLevelType w:val="hybridMultilevel"/>
    <w:lvl w:ilvl="0">
      <w:lvlJc w:val="left"/>
      <w:lvlText w:val="%1"/>
      <w:numFmt w:val="decimal"/>
      <w:start w:val="1"/>
    </w:lvl>
    <w:lvl w:ilvl="1">
      <w:lvlJc w:val="left"/>
      <w:lvlText w:val="(%2)"/>
      <w:numFmt w:val="lowerLetter"/>
      <w:start w:val="5"/>
    </w:lvl>
  </w:abstractNum>
  <w:abstractNum w:abstractNumId="66">
    <w:nsid w:val="59A377B6"/>
    <w:multiLevelType w:val="hybridMultilevel"/>
    <w:lvl w:ilvl="0">
      <w:lvlJc w:val="left"/>
      <w:lvlText w:val="%1."/>
      <w:numFmt w:val="decimal"/>
      <w:start w:val="8"/>
    </w:lvl>
    <w:lvl w:ilvl="1">
      <w:lvlJc w:val="left"/>
      <w:lvlText w:val="(%2)"/>
      <w:numFmt w:val="lowerLetter"/>
      <w:start w:val="1"/>
    </w:lvl>
  </w:abstractNum>
  <w:abstractNum w:abstractNumId="67">
    <w:nsid w:val="48AEB063"/>
    <w:multiLevelType w:val="hybridMultilevel"/>
    <w:lvl w:ilvl="0">
      <w:lvlJc w:val="left"/>
      <w:lvlText w:val="%1"/>
      <w:numFmt w:val="decimal"/>
      <w:start w:val="1"/>
    </w:lvl>
    <w:lvl w:ilvl="1">
      <w:lvlJc w:val="left"/>
      <w:lvlText w:val="(%2)"/>
      <w:numFmt w:val="lowerLetter"/>
      <w:start w:val="3"/>
    </w:lvl>
  </w:abstractNum>
  <w:abstractNum w:abstractNumId="68">
    <w:nsid w:val="24E135"/>
    <w:multiLevelType w:val="hybridMultilevel"/>
    <w:lvl w:ilvl="0">
      <w:lvlJc w:val="left"/>
      <w:lvlText w:val="%1."/>
      <w:numFmt w:val="decimal"/>
      <w:start w:val="9"/>
    </w:lvl>
    <w:lvl w:ilvl="1">
      <w:lvlJc w:val="left"/>
      <w:lvlText w:val="(%2)"/>
      <w:numFmt w:val="lowerLetter"/>
      <w:start w:val="1"/>
    </w:lvl>
  </w:abstractNum>
  <w:abstractNum w:abstractNumId="69">
    <w:nsid w:val="BB13C1"/>
    <w:multiLevelType w:val="hybridMultilevel"/>
    <w:lvl w:ilvl="0">
      <w:lvlJc w:val="left"/>
      <w:lvlText w:val="%1"/>
      <w:numFmt w:val="decimal"/>
      <w:start w:val="1"/>
    </w:lvl>
    <w:lvl w:ilvl="1">
      <w:lvlJc w:val="left"/>
      <w:lvlText w:val="(%2)"/>
      <w:numFmt w:val="lowerRoman"/>
      <w:start w:val="1"/>
    </w:lvl>
  </w:abstractNum>
  <w:abstractNum w:abstractNumId="70">
    <w:nsid w:val="271210C7"/>
    <w:multiLevelType w:val="hybridMultilevel"/>
    <w:lvl w:ilvl="0">
      <w:lvlJc w:val="left"/>
      <w:lvlText w:val="(%1)"/>
      <w:numFmt w:val="decimal"/>
      <w:start w:val="3"/>
    </w:lvl>
    <w:lvl w:ilvl="1">
      <w:lvlJc w:val="left"/>
      <w:lvlText w:val="(%2)"/>
      <w:numFmt w:val="lowerRoman"/>
      <w:start w:val="4"/>
    </w:lvl>
  </w:abstractNum>
  <w:abstractNum w:abstractNumId="71">
    <w:nsid w:val="217B22E4"/>
    <w:multiLevelType w:val="hybridMultilevel"/>
    <w:lvl w:ilvl="0">
      <w:lvlJc w:val="left"/>
      <w:lvlText w:val="%1"/>
      <w:numFmt w:val="lowerRoman"/>
      <w:start w:val="1"/>
    </w:lvl>
    <w:lvl w:ilvl="1">
      <w:lvlJc w:val="left"/>
      <w:lvlText w:val="(%2)"/>
      <w:numFmt w:val="lowerLetter"/>
      <w:start w:val="3"/>
    </w:lvl>
  </w:abstractNum>
  <w:abstractNum w:abstractNumId="72">
    <w:nsid w:val="53E31A24"/>
    <w:multiLevelType w:val="hybridMultilevel"/>
    <w:lvl w:ilvl="0">
      <w:lvlJc w:val="left"/>
      <w:lvlText w:val="(%1)"/>
      <w:numFmt w:val="lowerRoman"/>
      <w:start w:val="4"/>
    </w:lvl>
    <w:lvl w:ilvl="1">
      <w:lvlJc w:val="left"/>
      <w:lvlText w:val="%2"/>
      <w:numFmt w:val="lowerLetter"/>
      <w:start w:val="1"/>
    </w:lvl>
  </w:abstractNum>
  <w:abstractNum w:abstractNumId="73">
    <w:nsid w:val="6DC45E83"/>
    <w:multiLevelType w:val="hybridMultilevel"/>
    <w:lvl w:ilvl="0">
      <w:lvlJc w:val="left"/>
      <w:lvlText w:val="%1"/>
      <w:numFmt w:val="decimal"/>
      <w:start w:val="1"/>
    </w:lvl>
    <w:lvl w:ilvl="1">
      <w:lvlJc w:val="left"/>
      <w:lvlText w:val="(%2)"/>
      <w:numFmt w:val="lowerLetter"/>
      <w:start w:val="9"/>
    </w:lvl>
  </w:abstractNum>
  <w:abstractNum w:abstractNumId="74">
    <w:nsid w:val="17304A67"/>
    <w:multiLevelType w:val="hybridMultilevel"/>
    <w:lvl w:ilvl="0">
      <w:lvlJc w:val="left"/>
      <w:lvlText w:val="%1."/>
      <w:numFmt w:val="decimal"/>
      <w:start w:val="12"/>
    </w:lvl>
    <w:lvl w:ilvl="1">
      <w:lvlJc w:val="left"/>
      <w:lvlText w:val="%2"/>
      <w:numFmt w:val="lowerLetter"/>
      <w:start w:val="1"/>
    </w:lvl>
  </w:abstractNum>
  <w:abstractNum w:abstractNumId="75">
    <w:nsid w:val="2BB180D8"/>
    <w:multiLevelType w:val="hybridMultilevel"/>
    <w:lvl w:ilvl="0">
      <w:lvlJc w:val="left"/>
      <w:lvlText w:val="%1."/>
      <w:numFmt w:val="decimal"/>
      <w:start w:val="13"/>
    </w:lvl>
    <w:lvl w:ilvl="1">
      <w:lvlJc w:val="left"/>
      <w:lvlText w:val="(%2)"/>
      <w:numFmt w:val="lowerLetter"/>
      <w:start w:val="1"/>
    </w:lvl>
  </w:abstractNum>
  <w:abstractNum w:abstractNumId="76">
    <w:nsid w:val="556B69ED"/>
    <w:multiLevelType w:val="hybridMultilevel"/>
    <w:lvl w:ilvl="0">
      <w:lvlJc w:val="left"/>
      <w:lvlText w:val="(%1)"/>
      <w:numFmt w:val="lowerLetter"/>
      <w:start w:val="7"/>
    </w:lvl>
  </w:abstractNum>
  <w:abstractNum w:abstractNumId="77">
    <w:nsid w:val="70836196"/>
    <w:multiLevelType w:val="hybridMultilevel"/>
    <w:lvl w:ilvl="0">
      <w:lvlJc w:val="left"/>
      <w:lvlText w:val="(%1)"/>
      <w:numFmt w:val="lowerLetter"/>
      <w:start w:val="1"/>
    </w:lvl>
  </w:abstractNum>
  <w:abstractNum w:abstractNumId="78">
    <w:nsid w:val="539F7F12"/>
    <w:multiLevelType w:val="hybridMultilevel"/>
    <w:lvl w:ilvl="0">
      <w:lvlJc w:val="left"/>
      <w:lvlText w:val="%1"/>
      <w:numFmt w:val="lowerLetter"/>
      <w:start w:val="1"/>
    </w:lvl>
    <w:lvl w:ilvl="1">
      <w:lvlJc w:val="left"/>
      <w:lvlText w:val="(%2)"/>
      <w:numFmt w:val="lowerLetter"/>
      <w:start w:val="7"/>
    </w:lvl>
  </w:abstractNum>
  <w:abstractNum w:abstractNumId="79">
    <w:nsid w:val="2817E7EC"/>
    <w:multiLevelType w:val="hybridMultilevel"/>
    <w:lvl w:ilvl="0">
      <w:lvlJc w:val="left"/>
      <w:lvlText w:val="(%1)"/>
      <w:numFmt w:val="lowerLetter"/>
      <w:start w:val="14"/>
    </w:lvl>
    <w:lvl w:ilvl="1">
      <w:lvlJc w:val="left"/>
      <w:lvlText w:val="(%2)"/>
      <w:numFmt w:val="lowerLetter"/>
      <w:start w:val="15"/>
    </w:lvl>
  </w:abstractNum>
  <w:abstractNum w:abstractNumId="80">
    <w:nsid w:val="71482545"/>
    <w:multiLevelType w:val="hybridMultilevel"/>
    <w:lvl w:ilvl="0">
      <w:lvlJc w:val="left"/>
      <w:lvlText w:val="(%1)"/>
      <w:numFmt w:val="lowerLetter"/>
      <w:start w:val="25"/>
    </w:lvl>
  </w:abstractNum>
  <w:abstractNum w:abstractNumId="81">
    <w:nsid w:val="17D78639"/>
    <w:multiLevelType w:val="hybridMultilevel"/>
    <w:lvl w:ilvl="0">
      <w:lvlJc w:val="left"/>
      <w:lvlText w:val="(%1)"/>
      <w:numFmt w:val="lowerLetter"/>
      <w:start w:val="27"/>
    </w:lvl>
  </w:abstractNum>
  <w:abstractNum w:abstractNumId="82">
    <w:nsid w:val="141D2302"/>
    <w:multiLevelType w:val="hybridMultilevel"/>
    <w:lvl w:ilvl="0">
      <w:lvlJc w:val="left"/>
      <w:lvlText w:val="(%1)"/>
      <w:numFmt w:val="lowerLetter"/>
      <w:start w:val="1"/>
    </w:lvl>
    <w:lvl w:ilvl="1">
      <w:lvlJc w:val="left"/>
      <w:lvlText w:val="(%2)"/>
      <w:numFmt w:val="lowerRoman"/>
      <w:start w:val="1"/>
    </w:lvl>
  </w:abstractNum>
  <w:abstractNum w:abstractNumId="83">
    <w:nsid w:val="407168D8"/>
    <w:multiLevelType w:val="hybridMultilevel"/>
    <w:lvl w:ilvl="0">
      <w:lvlJc w:val="left"/>
      <w:lvlText w:val="%1"/>
      <w:numFmt w:val="lowerLetter"/>
      <w:start w:val="1"/>
    </w:lvl>
    <w:lvl w:ilvl="1">
      <w:lvlJc w:val="left"/>
      <w:lvlText w:val="(%2)"/>
      <w:numFmt w:val="lowerRoman"/>
      <w:start w:val="6"/>
    </w:lvl>
  </w:abstractNum>
  <w:abstractNum w:abstractNumId="84">
    <w:nsid w:val="6A1B45E5"/>
    <w:multiLevelType w:val="hybridMultilevel"/>
    <w:lvl w:ilvl="0">
      <w:lvlJc w:val="left"/>
      <w:lvlText w:val="(%1)"/>
      <w:numFmt w:val="lowerLetter"/>
      <w:start w:val="5"/>
    </w:lvl>
    <w:lvl w:ilvl="1">
      <w:lvlJc w:val="left"/>
      <w:lvlText w:val="%2"/>
      <w:numFmt w:val="lowerRoman"/>
      <w:start w:val="1"/>
    </w:lvl>
  </w:abstractNum>
  <w:abstractNum w:abstractNumId="85">
    <w:nsid w:val="567BD50A"/>
    <w:multiLevelType w:val="hybridMultilevel"/>
    <w:lvl w:ilvl="0">
      <w:lvlJc w:val="left"/>
      <w:lvlText w:val="(%1)"/>
      <w:numFmt w:val="lowerLetter"/>
      <w:start w:val="1"/>
    </w:lvl>
  </w:abstractNum>
  <w:abstractNum w:abstractNumId="86">
    <w:nsid w:val="73BBD7F8"/>
    <w:multiLevelType w:val="hybridMultilevel"/>
    <w:lvl w:ilvl="0">
      <w:lvlJc w:val="left"/>
      <w:lvlText w:val="%1"/>
      <w:numFmt w:val="lowerRoman"/>
      <w:start w:val="1"/>
    </w:lvl>
    <w:lvl w:ilvl="1">
      <w:lvlJc w:val="left"/>
      <w:lvlText w:val="(%2)"/>
      <w:numFmt w:val="lowerLetter"/>
      <w:start w:val="4"/>
    </w:lvl>
  </w:abstractNum>
  <w:abstractNum w:abstractNumId="87">
    <w:nsid w:val="1876589D"/>
    <w:multiLevelType w:val="hybridMultilevel"/>
    <w:lvl w:ilvl="0">
      <w:lvlJc w:val="left"/>
      <w:lvlText w:val="(%1)"/>
      <w:numFmt w:val="lowerRoman"/>
      <w:start w:val="7"/>
    </w:lvl>
    <w:lvl w:ilvl="1">
      <w:lvlJc w:val="left"/>
      <w:lvlText w:val="(%2)"/>
      <w:numFmt w:val="lowerLetter"/>
      <w:start w:val="5"/>
    </w:lvl>
  </w:abstractNum>
  <w:abstractNum w:abstractNumId="88">
    <w:nsid w:val="327FAC77"/>
    <w:multiLevelType w:val="hybridMultilevel"/>
    <w:lvl w:ilvl="0">
      <w:lvlJc w:val="left"/>
      <w:lvlText w:val="(%1)"/>
      <w:numFmt w:val="lowerLetter"/>
      <w:start w:val="1"/>
    </w:lvl>
  </w:abstractNum>
  <w:abstractNum w:abstractNumId="89">
    <w:nsid w:val="5A606509"/>
    <w:multiLevelType w:val="hybridMultilevel"/>
    <w:lvl w:ilvl="0">
      <w:lvlJc w:val="left"/>
      <w:lvlText w:val="(%1)"/>
      <w:numFmt w:val="lowerLetter"/>
      <w:start w:val="2"/>
    </w:lvl>
    <w:lvl w:ilvl="1">
      <w:lvlJc w:val="left"/>
      <w:lvlText w:val="(%2)"/>
      <w:numFmt w:val="lowerRoman"/>
      <w:start w:val="1"/>
    </w:lvl>
  </w:abstractNum>
  <w:abstractNum w:abstractNumId="90">
    <w:nsid w:val="6F38E6D1"/>
    <w:multiLevelType w:val="hybridMultilevel"/>
    <w:lvl w:ilvl="0">
      <w:lvlJc w:val="left"/>
      <w:lvlText w:val="(%1)"/>
      <w:numFmt w:val="lowerRoman"/>
      <w:start w:val="8"/>
    </w:lvl>
  </w:abstractNum>
  <w:abstractNum w:abstractNumId="91">
    <w:nsid w:val="46111BA5"/>
    <w:multiLevelType w:val="hybridMultilevel"/>
    <w:lvl w:ilvl="0">
      <w:lvlJc w:val="left"/>
      <w:lvlText w:val="%1"/>
      <w:numFmt w:val="lowerLetter"/>
      <w:start w:val="1"/>
    </w:lvl>
    <w:lvl w:ilvl="1">
      <w:lvlJc w:val="left"/>
      <w:lvlText w:val="(%2)"/>
      <w:numFmt w:val="lowerLetter"/>
      <w:start w:val="1"/>
    </w:lvl>
  </w:abstractNum>
  <w:abstractNum w:abstractNumId="92">
    <w:nsid w:val="5E963896"/>
    <w:multiLevelType w:val="hybridMultilevel"/>
    <w:lvl w:ilvl="0">
      <w:lvlJc w:val="left"/>
      <w:lvlText w:val="(%1)"/>
      <w:numFmt w:val="lowerLetter"/>
      <w:start w:val="61"/>
    </w:lvl>
    <w:lvl w:ilvl="1">
      <w:lvlJc w:val="left"/>
      <w:lvlText w:val="(%2)"/>
      <w:numFmt w:val="lowerLetter"/>
      <w:start w:val="3"/>
    </w:lvl>
  </w:abstractNum>
  <w:abstractNum w:abstractNumId="93">
    <w:nsid w:val="775BA7C1"/>
    <w:multiLevelType w:val="hybridMultilevel"/>
    <w:lvl w:ilvl="0">
      <w:lvlJc w:val="left"/>
      <w:lvlText w:val="(%1)"/>
      <w:numFmt w:val="lowerLetter"/>
      <w:start w:val="1"/>
    </w:lvl>
  </w:abstractNum>
  <w:abstractNum w:abstractNumId="94">
    <w:nsid w:val="1DD6D6F4"/>
    <w:multiLevelType w:val="hybridMultilevel"/>
    <w:lvl w:ilvl="0">
      <w:lvlJc w:val="left"/>
      <w:lvlText w:val="(%1)"/>
      <w:numFmt w:val="lowerRoman"/>
      <w:start w:val="1"/>
    </w:lvl>
  </w:abstractNum>
  <w:abstractNum w:abstractNumId="95">
    <w:nsid w:val="769A091F"/>
    <w:multiLevelType w:val="hybridMultilevel"/>
    <w:lvl w:ilvl="0">
      <w:lvlJc w:val="left"/>
      <w:lvlText w:val="(%1)"/>
      <w:numFmt w:val="lowerRoman"/>
      <w:start w:val="3"/>
    </w:lvl>
  </w:abstractNum>
  <w:abstractNum w:abstractNumId="96">
    <w:nsid w:val="4695AE95"/>
    <w:multiLevelType w:val="hybridMultilevel"/>
    <w:lvl w:ilvl="0">
      <w:lvlJc w:val="left"/>
      <w:lvlText w:val="(%1)"/>
      <w:numFmt w:val="lowerRoman"/>
      <w:start w:val="1"/>
    </w:lvl>
  </w:abstractNum>
  <w:abstractNum w:abstractNumId="97">
    <w:nsid w:val="777A4EAA"/>
    <w:multiLevelType w:val="hybridMultilevel"/>
    <w:lvl w:ilvl="0">
      <w:lvlJc w:val="left"/>
      <w:lvlText w:val="(%1)"/>
      <w:numFmt w:val="lowerLetter"/>
      <w:start w:val="1"/>
    </w:lvl>
  </w:abstractNum>
  <w:abstractNum w:abstractNumId="98">
    <w:nsid w:val="3F48B982"/>
    <w:multiLevelType w:val="hybridMultilevel"/>
    <w:lvl w:ilvl="0">
      <w:lvlJc w:val="left"/>
      <w:lvlText w:val="(%1)"/>
      <w:numFmt w:val="lowerLetter"/>
      <w:start w:val="2"/>
    </w:lvl>
  </w:abstractNum>
  <w:abstractNum w:abstractNumId="99">
    <w:nsid w:val="46BA8FCA"/>
    <w:multiLevelType w:val="hybridMultilevel"/>
    <w:lvl w:ilvl="0">
      <w:lvlJc w:val="left"/>
      <w:lvlText w:val="(%1)"/>
      <w:numFmt w:val="lowerLetter"/>
      <w:start w:val="1"/>
    </w:lvl>
  </w:abstractNum>
  <w:abstractNum w:abstractNumId="100">
    <w:nsid w:val="7835626C"/>
    <w:multiLevelType w:val="hybridMultilevel"/>
    <w:lvl w:ilvl="0">
      <w:lvlJc w:val="left"/>
      <w:lvlText w:val="(%1)"/>
      <w:numFmt w:val="lowerLetter"/>
      <w:start w:val="1"/>
    </w:lvl>
  </w:abstractNum>
  <w:abstractNum w:abstractNumId="101">
    <w:nsid w:val="665ACA49"/>
    <w:multiLevelType w:val="hybridMultilevel"/>
    <w:lvl w:ilvl="0">
      <w:lvlJc w:val="left"/>
      <w:lvlText w:val="%1."/>
      <w:numFmt w:val="upperLetter"/>
      <w:start w:val="3"/>
    </w:lvl>
  </w:abstractNum>
  <w:abstractNum w:abstractNumId="102">
    <w:nsid w:val="6835B2AE"/>
    <w:multiLevelType w:val="hybridMultilevel"/>
    <w:lvl w:ilvl="0">
      <w:lvlJc w:val="left"/>
      <w:lvlText w:val="%1."/>
      <w:numFmt w:val="upperLetter"/>
      <w:start w:val="4"/>
    </w:lvl>
  </w:abstractNum>
  <w:abstractNum w:abstractNumId="103">
    <w:nsid w:val="4C187C90"/>
    <w:multiLevelType w:val="hybridMultilevel"/>
    <w:lvl w:ilvl="0">
      <w:lvlJc w:val="left"/>
      <w:lvlText w:val="%1."/>
      <w:numFmt w:val="decimal"/>
      <w:start w:val="1"/>
    </w:lvl>
  </w:abstractNum>
  <w:abstractNum w:abstractNumId="104">
    <w:nsid w:val="541F28CD"/>
    <w:multiLevelType w:val="hybridMultilevel"/>
    <w:lvl w:ilvl="0">
      <w:lvlJc w:val="left"/>
      <w:lvlText w:val="%1."/>
      <w:numFmt w:val="decimal"/>
      <w:start w:val="1"/>
    </w:lvl>
    <w:lvl w:ilvl="1">
      <w:lvlJc w:val="left"/>
      <w:lvlText w:val="(%2)"/>
      <w:numFmt w:val="lowerLetter"/>
      <w:start w:val="1"/>
    </w:lvl>
  </w:abstractNum>
  <w:abstractNum w:abstractNumId="105">
    <w:nsid w:val="7F65FD1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06">
    <w:nsid w:val="77C9FD68"/>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07">
    <w:nsid w:val="298A92BA"/>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108">
    <w:nsid w:val="6FE95EAC"/>
    <w:multiLevelType w:val="hybridMultilevel"/>
    <w:lvl w:ilvl="0">
      <w:lvlJc w:val="left"/>
      <w:lvlText w:val="%1."/>
      <w:numFmt w:val="decimal"/>
      <w:start w:val="2"/>
    </w:lvl>
  </w:abstractNum>
  <w:abstractNum w:abstractNumId="109">
    <w:nsid w:val="4B697C7A"/>
    <w:multiLevelType w:val="hybridMultilevel"/>
    <w:lvl w:ilvl="0">
      <w:lvlJc w:val="left"/>
      <w:lvlText w:val="%1."/>
      <w:numFmt w:val="decimal"/>
      <w:start w:val="1"/>
    </w:lvl>
    <w:lvl w:ilvl="1">
      <w:lvlJc w:val="left"/>
      <w:lvlText w:val="(%2)"/>
      <w:numFmt w:val="lowerLetter"/>
      <w:start w:val="1"/>
    </w:lvl>
  </w:abstractNum>
  <w:abstractNum w:abstractNumId="110">
    <w:nsid w:val="51A27AA6"/>
    <w:multiLevelType w:val="hybridMultilevel"/>
    <w:lvl w:ilvl="0">
      <w:lvlJc w:val="left"/>
      <w:lvlText w:val="(%1)"/>
      <w:numFmt w:val="lowerLetter"/>
      <w:start w:val="5"/>
    </w:lvl>
    <w:lvl w:ilvl="1">
      <w:lvlJc w:val="left"/>
      <w:lvlText w:val="(%2)"/>
      <w:numFmt w:val="lowerRoman"/>
      <w:start w:val="1"/>
    </w:lvl>
  </w:abstractNum>
  <w:abstractNum w:abstractNumId="111">
    <w:nsid w:val="613183F2"/>
    <w:multiLevelType w:val="hybridMultilevel"/>
    <w:lvl w:ilvl="0">
      <w:lvlJc w:val="left"/>
      <w:lvlText w:val="%1"/>
      <w:numFmt w:val="decimal"/>
      <w:start w:val="1"/>
    </w:lvl>
    <w:lvl w:ilvl="1">
      <w:lvlJc w:val="left"/>
      <w:lvlText w:val="(%2)"/>
      <w:numFmt w:val="lowerLetter"/>
      <w:start w:val="6"/>
    </w:lvl>
  </w:abstractNum>
  <w:abstractNum w:abstractNumId="112">
    <w:nsid w:val="634102B4"/>
    <w:multiLevelType w:val="hybridMultilevel"/>
    <w:lvl w:ilvl="0">
      <w:lvlJc w:val="left"/>
      <w:lvlText w:val="%1."/>
      <w:numFmt w:val="decimal"/>
      <w:start w:val="3"/>
    </w:lvl>
    <w:lvl w:ilvl="1">
      <w:lvlJc w:val="left"/>
      <w:lvlText w:val="(%2)"/>
      <w:numFmt w:val="lowerLetter"/>
      <w:start w:val="1"/>
    </w:lvl>
  </w:abstractNum>
  <w:abstractNum w:abstractNumId="113">
    <w:nsid w:val="65BF9DA8"/>
    <w:multiLevelType w:val="hybridMultilevel"/>
    <w:lvl w:ilvl="0">
      <w:lvlJc w:val="left"/>
      <w:lvlText w:val="(%1)"/>
      <w:numFmt w:val="lowerLetter"/>
      <w:start w:val="3"/>
    </w:lvl>
  </w:abstractNum>
  <w:abstractNum w:abstractNumId="114">
    <w:nsid w:val="21A2ECCA"/>
    <w:multiLevelType w:val="hybridMultilevel"/>
    <w:lvl w:ilvl="0">
      <w:lvlJc w:val="left"/>
      <w:lvlText w:val="%1"/>
      <w:numFmt w:val="decimal"/>
      <w:start w:val="1"/>
    </w:lvl>
    <w:lvl w:ilvl="1">
      <w:lvlJc w:val="left"/>
      <w:lvlText w:val="(%2)"/>
      <w:numFmt w:val="lowerLetter"/>
      <w:start w:val="4"/>
    </w:lvl>
  </w:abstractNum>
  <w:abstractNum w:abstractNumId="115">
    <w:nsid w:val="4D5C4899"/>
    <w:multiLevelType w:val="hybridMultilevel"/>
    <w:lvl w:ilvl="0">
      <w:lvlJc w:val="left"/>
      <w:lvlText w:val="%1."/>
      <w:numFmt w:val="decimal"/>
      <w:start w:val="4"/>
    </w:lvl>
    <w:lvl w:ilvl="1">
      <w:lvlJc w:val="left"/>
      <w:lvlText w:val="(%2)"/>
      <w:numFmt w:val="lowerLetter"/>
      <w:start w:val="1"/>
    </w:lvl>
  </w:abstractNum>
  <w:abstractNum w:abstractNumId="116">
    <w:nsid w:val="3C3B72B2"/>
    <w:multiLevelType w:val="hybridMultilevel"/>
    <w:lvl w:ilvl="0">
      <w:lvlJc w:val="left"/>
      <w:lvlText w:val="%1"/>
      <w:numFmt w:val="decimal"/>
      <w:start w:val="1"/>
    </w:lvl>
    <w:lvl w:ilvl="1">
      <w:lvlJc w:val="left"/>
      <w:lvlText w:val="(%2)"/>
      <w:numFmt w:val="lowerLetter"/>
      <w:start w:val="2"/>
    </w:lvl>
  </w:abstractNum>
  <w:abstractNum w:abstractNumId="117">
    <w:nsid w:val="155EC4C2"/>
    <w:multiLevelType w:val="hybridMultilevel"/>
    <w:lvl w:ilvl="0">
      <w:lvlJc w:val="left"/>
      <w:lvlText w:val="%1."/>
      <w:numFmt w:val="decimal"/>
      <w:start w:val="6"/>
    </w:lvl>
    <w:lvl w:ilvl="1">
      <w:lvlJc w:val="left"/>
      <w:lvlText w:val="%2"/>
      <w:numFmt w:val="lowerLetter"/>
      <w:start w:val="1"/>
    </w:lvl>
  </w:abstractNum>
  <w:abstractNum w:abstractNumId="118">
    <w:nsid w:val="65D2A137"/>
    <w:multiLevelType w:val="hybridMultilevel"/>
    <w:lvl w:ilvl="0">
      <w:lvlJc w:val="left"/>
      <w:lvlText w:val="%1."/>
      <w:numFmt w:val="decimal"/>
      <w:start w:val="7"/>
    </w:lvl>
    <w:lvl w:ilvl="1">
      <w:lvlJc w:val="left"/>
      <w:lvlText w:val="(%2)"/>
      <w:numFmt w:val="lowerLetter"/>
      <w:start w:val="1"/>
    </w:lvl>
  </w:abstractNum>
  <w:abstractNum w:abstractNumId="119">
    <w:nsid w:val="6EBB1F2A"/>
    <w:multiLevelType w:val="hybridMultilevel"/>
    <w:lvl w:ilvl="0">
      <w:lvlJc w:val="left"/>
      <w:lvlText w:val="%1"/>
      <w:numFmt w:val="decimal"/>
      <w:start w:val="1"/>
    </w:lvl>
    <w:lvl w:ilvl="1">
      <w:lvlJc w:val="left"/>
      <w:lvlText w:val="(%2)"/>
      <w:numFmt w:val="lowerLetter"/>
      <w:start w:val="2"/>
    </w:lvl>
  </w:abstractNum>
  <w:abstractNum w:abstractNumId="120">
    <w:nsid w:val="6FBF29CB"/>
    <w:multiLevelType w:val="hybridMultilevel"/>
    <w:lvl w:ilvl="0">
      <w:lvlJc w:val="left"/>
      <w:lvlText w:val="%1."/>
      <w:numFmt w:val="decimal"/>
      <w:start w:val="8"/>
    </w:lvl>
    <w:lvl w:ilvl="1">
      <w:lvlJc w:val="left"/>
      <w:lvlText w:val="(%2)"/>
      <w:numFmt w:val="lowerLetter"/>
      <w:start w:val="1"/>
    </w:lvl>
  </w:abstractNum>
  <w:abstractNum w:abstractNumId="121">
    <w:nsid w:val="550B8808"/>
    <w:multiLevelType w:val="hybridMultilevel"/>
    <w:lvl w:ilvl="0">
      <w:lvlJc w:val="left"/>
      <w:lvlText w:val="%1."/>
      <w:numFmt w:val="decimal"/>
      <w:start w:val="12"/>
    </w:lvl>
  </w:abstractNum>
  <w:abstractNum w:abstractNumId="122">
    <w:nsid w:val="34CC3ACF"/>
    <w:multiLevelType w:val="hybridMultilevel"/>
    <w:lvl w:ilvl="0">
      <w:lvlJc w:val="left"/>
      <w:lvlText w:val="%1."/>
      <w:numFmt w:val="decimal"/>
      <w:start w:val="2"/>
    </w:lvl>
  </w:abstractNum>
  <w:abstractNum w:abstractNumId="123">
    <w:nsid w:val="4E556261"/>
    <w:multiLevelType w:val="hybridMultilevel"/>
    <w:lvl w:ilvl="0">
      <w:lvlJc w:val="left"/>
      <w:lvlText w:val="%1."/>
      <w:numFmt w:val="decimal"/>
      <w:start w:val="5"/>
    </w:lvl>
  </w:abstractNum>
  <w:abstractNum w:abstractNumId="124">
    <w:nsid w:val="4C672FC9"/>
    <w:multiLevelType w:val="hybridMultilevel"/>
    <w:lvl w:ilvl="0">
      <w:lvlJc w:val="left"/>
      <w:lvlText w:val="%1."/>
      <w:numFmt w:val="decimal"/>
      <w:start w:val="1"/>
    </w:lvl>
  </w:abstractNum>
  <w:abstractNum w:abstractNumId="125">
    <w:nsid w:val="52A311C3"/>
    <w:multiLevelType w:val="hybridMultilevel"/>
    <w:lvl w:ilvl="0">
      <w:lvlJc w:val="left"/>
      <w:lvlText w:val="%1."/>
      <w:numFmt w:val="decimal"/>
      <w:start w:val="1"/>
    </w:lvl>
  </w:abstractNum>
  <w:abstractNum w:abstractNumId="126">
    <w:nsid w:val="44EF6B80"/>
    <w:multiLevelType w:val="hybridMultilevel"/>
    <w:lvl w:ilvl="0">
      <w:lvlJc w:val="left"/>
      <w:lvlText w:val="%1."/>
      <w:numFmt w:val="decimal"/>
      <w:start w:val="1"/>
    </w:lvl>
  </w:abstractNum>
  <w:abstractNum w:abstractNumId="127">
    <w:nsid w:val="12FCDE5E"/>
    <w:multiLevelType w:val="hybridMultilevel"/>
    <w:lvl w:ilvl="0">
      <w:lvlJc w:val="left"/>
      <w:lvlText w:val="%1."/>
      <w:numFmt w:val="decimal"/>
      <w:start w:val="1"/>
    </w:lvl>
  </w:abstractNum>
  <w:abstractNum w:abstractNumId="128">
    <w:nsid w:val="4A1D606E"/>
    <w:multiLevelType w:val="hybridMultilevel"/>
    <w:lvl w:ilvl="0">
      <w:lvlJc w:val="left"/>
      <w:lvlText w:val="%1."/>
      <w:numFmt w:val="decimal"/>
      <w:start w:val="5"/>
    </w:lvl>
  </w:abstractNum>
  <w:abstractNum w:abstractNumId="129">
    <w:nsid w:val="4382503"/>
    <w:multiLevelType w:val="hybridMultilevel"/>
    <w:lvl w:ilvl="0">
      <w:lvlJc w:val="left"/>
      <w:lvlText w:val="%1."/>
      <w:numFmt w:val="decimal"/>
      <w:start w:val="8"/>
    </w:lvl>
  </w:abstractNum>
  <w:abstractNum w:abstractNumId="130">
    <w:nsid w:val="59B76E28"/>
    <w:multiLevelType w:val="hybridMultilevel"/>
    <w:lvl w:ilvl="0">
      <w:lvlJc w:val="left"/>
      <w:lvlText w:val="%1."/>
      <w:numFmt w:val="decimal"/>
      <w:start w:val="10"/>
    </w:lvl>
  </w:abstractNum>
  <w:abstractNum w:abstractNumId="131">
    <w:nsid w:val="4252C2DA"/>
    <w:multiLevelType w:val="hybridMultilevel"/>
    <w:lvl w:ilvl="0">
      <w:lvlJc w:val="left"/>
      <w:lvlText w:val="%1."/>
      <w:numFmt w:val="decimal"/>
      <w:start w:val="14"/>
    </w:lvl>
  </w:abstractNum>
  <w:abstractNum w:abstractNumId="132">
    <w:nsid w:val="6A92EF4C"/>
    <w:multiLevelType w:val="hybridMultilevel"/>
    <w:lvl w:ilvl="0">
      <w:lvlJc w:val="left"/>
      <w:lvlText w:val="%1."/>
      <w:numFmt w:val="decimal"/>
      <w:start w:val="20"/>
    </w:lvl>
  </w:abstractNum>
  <w:abstractNum w:abstractNumId="133">
    <w:nsid w:val="41ED20D7"/>
    <w:multiLevelType w:val="hybridMultilevel"/>
    <w:lvl w:ilvl="0">
      <w:lvlJc w:val="left"/>
      <w:lvlText w:val="%1."/>
      <w:numFmt w:val="decimal"/>
      <w:start w:val="22"/>
    </w:lvl>
  </w:abstractNum>
  <w:abstractNum w:abstractNumId="134">
    <w:nsid w:val="E6B3F6A"/>
    <w:multiLevelType w:val="hybridMultilevel"/>
    <w:lvl w:ilvl="0">
      <w:lvlJc w:val="left"/>
      <w:lvlText w:val="%1."/>
      <w:numFmt w:val="decimal"/>
      <w:start w:val="23"/>
    </w:lvl>
  </w:abstractNum>
  <w:abstractNum w:abstractNumId="135">
    <w:nsid w:val="3EB21819"/>
    <w:multiLevelType w:val="hybridMultilevel"/>
    <w:lvl w:ilvl="0">
      <w:lvlJc w:val="left"/>
      <w:lvlText w:val="%1."/>
      <w:numFmt w:val="decimal"/>
      <w:start w:val="1"/>
    </w:lvl>
  </w:abstractNum>
  <w:abstractNum w:abstractNumId="136">
    <w:nsid w:val="41531DED"/>
    <w:multiLevelType w:val="hybridMultilevel"/>
    <w:lvl w:ilvl="0">
      <w:lvlJc w:val="left"/>
      <w:lvlText w:val="%1."/>
      <w:numFmt w:val="decimal"/>
      <w:start w:val="2"/>
    </w:lvl>
    <w:lvl w:ilvl="1">
      <w:lvlJc w:val="left"/>
      <w:lvlText w:val="(%2)"/>
      <w:numFmt w:val="lowerLetter"/>
      <w:start w:val="1"/>
    </w:lvl>
  </w:abstractNum>
  <w:abstractNum w:abstractNumId="137">
    <w:nsid w:val="6353CD2"/>
    <w:multiLevelType w:val="hybridMultilevel"/>
    <w:lvl w:ilvl="0">
      <w:lvlJc w:val="left"/>
      <w:lvlText w:val="(%1)"/>
      <w:numFmt w:val="lowerLetter"/>
      <w:start w:val="2"/>
    </w:lvl>
  </w:abstractNum>
  <w:abstractNum w:abstractNumId="138">
    <w:nsid w:val="683CAAD3"/>
    <w:multiLevelType w:val="hybridMultilevel"/>
    <w:lvl w:ilvl="0">
      <w:lvlJc w:val="left"/>
      <w:lvlText w:val="(%1)"/>
      <w:numFmt w:val="upperLetter"/>
      <w:start w:val="8"/>
    </w:lvl>
    <w:lvl w:ilvl="1">
      <w:lvlJc w:val="left"/>
      <w:lvlText w:val="(%2)"/>
      <w:numFmt w:val="lowerRoman"/>
      <w:start w:val="1"/>
    </w:lvl>
    <w:lvl w:ilvl="2">
      <w:lvlJc w:val="left"/>
      <w:lvlText w:val="(%3)"/>
      <w:numFmt w:val="lowerRoman"/>
      <w:start w:val="1"/>
    </w:lvl>
  </w:abstractNum>
  <w:abstractNum w:abstractNumId="139">
    <w:nsid w:val="313C7C99"/>
    <w:multiLevelType w:val="hybridMultilevel"/>
    <w:lvl w:ilvl="0">
      <w:lvlJc w:val="left"/>
      <w:lvlText w:val="(%1)"/>
      <w:numFmt w:val="decimal"/>
      <w:start w:val="1"/>
    </w:lvl>
  </w:abstractNum>
  <w:abstractNum w:abstractNumId="140">
    <w:nsid w:val="519EB94C"/>
    <w:multiLevelType w:val="hybridMultilevel"/>
    <w:lvl w:ilvl="0">
      <w:lvlJc w:val="left"/>
      <w:lvlText w:val="(%1)"/>
      <w:numFmt w:val="decimal"/>
      <w:start w:val="4"/>
    </w:lvl>
  </w:abstractNum>
  <w:abstractNum w:abstractNumId="141">
    <w:nsid w:val="39DF2579"/>
    <w:multiLevelType w:val="hybridMultilevel"/>
    <w:lvl w:ilvl="0">
      <w:lvlJc w:val="left"/>
      <w:lvlText w:val="%1"/>
      <w:numFmt w:val="lowerLetter"/>
      <w:start w:val="1"/>
    </w:lvl>
    <w:lvl w:ilvl="1">
      <w:lvlJc w:val="left"/>
      <w:lvlText w:val="(%2)"/>
      <w:numFmt w:val="lowerLetter"/>
      <w:start w:val="10"/>
    </w:lvl>
  </w:abstractNum>
  <w:abstractNum w:abstractNumId="142">
    <w:nsid w:val="126E008B"/>
    <w:multiLevelType w:val="hybridMultilevel"/>
    <w:lvl w:ilvl="0">
      <w:lvlJc w:val="left"/>
      <w:lvlText w:val="(%1)"/>
      <w:numFmt w:val="lowerLetter"/>
      <w:start w:val="9"/>
    </w:lvl>
    <w:lvl w:ilvl="1">
      <w:lvlJc w:val="left"/>
      <w:lvlText w:val="%2"/>
      <w:numFmt w:val="lowerLetter"/>
      <w:start w:val="1"/>
    </w:lvl>
  </w:abstractNum>
  <w:abstractNum w:abstractNumId="143">
    <w:nsid w:val="34DFBC00"/>
    <w:multiLevelType w:val="hybridMultilevel"/>
    <w:lvl w:ilvl="0">
      <w:lvlJc w:val="left"/>
      <w:lvlText w:val="(%1)"/>
      <w:numFmt w:val="lowerLetter"/>
      <w:start w:val="21"/>
    </w:lvl>
    <w:lvl w:ilvl="1">
      <w:lvlJc w:val="left"/>
      <w:lvlText w:val="(%2)"/>
      <w:numFmt w:val="lowerRoman"/>
      <w:start w:val="1"/>
    </w:lvl>
  </w:abstractNum>
  <w:abstractNum w:abstractNumId="144">
    <w:nsid w:val="1F9EC322"/>
    <w:multiLevelType w:val="hybridMultilevel"/>
    <w:lvl w:ilvl="0">
      <w:lvlJc w:val="left"/>
      <w:lvlText w:val="(%1)"/>
      <w:numFmt w:val="lowerLetter"/>
      <w:start w:val="28"/>
    </w:lvl>
  </w:abstractNum>
  <w:abstractNum w:abstractNumId="145">
    <w:nsid w:val="3410ED56"/>
    <w:multiLevelType w:val="hybridMultilevel"/>
    <w:lvl w:ilvl="0">
      <w:lvlJc w:val="left"/>
      <w:lvlText w:val="(%1)"/>
      <w:numFmt w:val="decimal"/>
      <w:start w:val="4"/>
    </w:lvl>
    <w:lvl w:ilvl="1">
      <w:lvlJc w:val="left"/>
      <w:lvlText w:val="%2"/>
      <w:numFmt w:val="lowerLetter"/>
      <w:start w:val="1"/>
    </w:lvl>
  </w:abstractNum>
  <w:abstractNum w:abstractNumId="146">
    <w:nsid w:val="23C049A"/>
    <w:multiLevelType w:val="hybridMultilevel"/>
    <w:lvl w:ilvl="0">
      <w:lvlJc w:val="left"/>
      <w:lvlText w:val="(%1)"/>
      <w:numFmt w:val="decimal"/>
      <w:start w:val="10"/>
    </w:lvl>
    <w:lvl w:ilvl="1">
      <w:lvlJc w:val="left"/>
      <w:lvlText w:val="%2"/>
      <w:numFmt w:val="lowerLetter"/>
      <w:start w:val="1"/>
    </w:lvl>
  </w:abstractNum>
  <w:abstractNum w:abstractNumId="147">
    <w:nsid w:val="5BDA35D4"/>
    <w:multiLevelType w:val="hybridMultilevel"/>
    <w:lvl w:ilvl="0">
      <w:lvlJc w:val="left"/>
      <w:lvlText w:val="(%1)"/>
      <w:numFmt w:val="decimal"/>
      <w:start w:val="15"/>
    </w:lvl>
    <w:lvl w:ilvl="1">
      <w:lvlJc w:val="left"/>
      <w:lvlText w:val="%2"/>
      <w:numFmt w:val="lowerLetter"/>
      <w:start w:val="1"/>
    </w:lvl>
  </w:abstractNum>
  <w:abstractNum w:abstractNumId="148">
    <w:nsid w:val="496FB218"/>
    <w:multiLevelType w:val="hybridMultilevel"/>
    <w:lvl w:ilvl="0">
      <w:lvlJc w:val="left"/>
      <w:lvlText w:val="(%1)"/>
      <w:numFmt w:val="decimal"/>
      <w:start w:val="20"/>
    </w:lvl>
    <w:lvl w:ilvl="1">
      <w:lvlJc w:val="left"/>
      <w:lvlText w:val="%2"/>
      <w:numFmt w:val="lowerLetter"/>
      <w:start w:val="1"/>
    </w:lvl>
  </w:abstractNum>
  <w:abstractNum w:abstractNumId="149">
    <w:nsid w:val="680EA5D1"/>
    <w:multiLevelType w:val="hybridMultilevel"/>
    <w:lvl w:ilvl="0">
      <w:lvlJc w:val="left"/>
      <w:lvlText w:val="(%1)"/>
      <w:numFmt w:val="decimal"/>
      <w:start w:val="25"/>
    </w:lvl>
    <w:lvl w:ilvl="1">
      <w:lvlJc w:val="left"/>
      <w:lvlText w:val="%2"/>
      <w:numFmt w:val="lowerLetter"/>
      <w:start w:val="1"/>
    </w:lvl>
  </w:abstractNum>
  <w:abstractNum w:abstractNumId="150">
    <w:nsid w:val="4A9554FE"/>
    <w:multiLevelType w:val="hybridMultilevel"/>
    <w:lvl w:ilvl="0">
      <w:lvlJc w:val="left"/>
      <w:lvlText w:val="(%1)"/>
      <w:numFmt w:val="decimal"/>
      <w:start w:val="27"/>
    </w:lvl>
    <w:lvl w:ilvl="1">
      <w:lvlJc w:val="left"/>
      <w:lvlText w:val="(%2)"/>
      <w:numFmt w:val="lowerLetter"/>
      <w:start w:val="34"/>
    </w:lvl>
  </w:abstractNum>
  <w:abstractNum w:abstractNumId="151">
    <w:nsid w:val="392EDBE4"/>
    <w:multiLevelType w:val="hybridMultilevel"/>
    <w:lvl w:ilvl="0">
      <w:lvlJc w:val="left"/>
      <w:lvlText w:val="%1"/>
      <w:numFmt w:val="decimal"/>
      <w:start w:val="1"/>
    </w:lvl>
    <w:lvl w:ilvl="1">
      <w:lvlJc w:val="left"/>
      <w:lvlText w:val="(%2)"/>
      <w:numFmt w:val="lowerLetter"/>
      <w:start w:val="42"/>
    </w:lvl>
  </w:abstractNum>
  <w:abstractNum w:abstractNumId="152">
    <w:nsid w:val="3D1A2DD9"/>
    <w:multiLevelType w:val="hybridMultilevel"/>
    <w:lvl w:ilvl="0">
      <w:lvlJc w:val="left"/>
      <w:lvlText w:val="%1."/>
      <w:numFmt w:val="decimal"/>
      <w:start w:val="3"/>
    </w:lvl>
    <w:lvl w:ilvl="1">
      <w:lvlJc w:val="left"/>
      <w:lvlText w:val="(%2)"/>
      <w:numFmt w:val="lowerLetter"/>
      <w:start w:val="1"/>
    </w:lvl>
  </w:abstractNum>
  <w:abstractNum w:abstractNumId="153">
    <w:nsid w:val="7F618F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54">
    <w:nsid w:val="7843E4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55">
    <w:nsid w:val="9815DA3"/>
    <w:multiLevelType w:val="hybridMultilevel"/>
    <w:lvl w:ilvl="0">
      <w:lvlJc w:val="left"/>
      <w:lvlText w:val="%1"/>
      <w:numFmt w:val="lowerLetter"/>
      <w:start w:val="1"/>
    </w:lvl>
    <w:lvl w:ilvl="1">
      <w:lvlJc w:val="left"/>
      <w:lvlText w:val="(%2)"/>
      <w:numFmt w:val="lowerRoman"/>
      <w:start w:val="9"/>
    </w:lvl>
  </w:abstractNum>
  <w:abstractNum w:abstractNumId="156">
    <w:nsid w:val="5204A191"/>
    <w:multiLevelType w:val="hybridMultilevel"/>
    <w:lvl w:ilvl="0">
      <w:lvlJc w:val="left"/>
      <w:lvlText w:val="(%1)"/>
      <w:numFmt w:val="lowerLetter"/>
      <w:start w:val="3"/>
    </w:lvl>
    <w:lvl w:ilvl="1">
      <w:lvlJc w:val="left"/>
      <w:lvlText w:val="%2"/>
      <w:numFmt w:val="lowerRoman"/>
      <w:start w:val="1"/>
    </w:lvl>
  </w:abstractNum>
  <w:abstractNum w:abstractNumId="157">
    <w:nsid w:val="4C73A9C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58">
    <w:nsid w:val="1C7E3C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59">
    <w:nsid w:val="1C220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60">
    <w:nsid w:val="50ABCE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161">
    <w:nsid w:val="7635AA2A"/>
    <w:multiLevelType w:val="hybridMultilevel"/>
    <w:lvl w:ilvl="0">
      <w:lvlJc w:val="left"/>
      <w:lvlText w:val="(%1)"/>
      <w:numFmt w:val="decimal"/>
      <w:start w:val="7"/>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162">
    <w:nsid w:val="5E74C4D9"/>
    <w:multiLevelType w:val="hybridMultilevel"/>
    <w:lvl w:ilvl="0">
      <w:lvlJc w:val="left"/>
      <w:lvlText w:val="(%1)"/>
      <w:numFmt w:val="lowerRoman"/>
      <w:start w:val="2"/>
    </w:lvl>
  </w:abstractNum>
  <w:abstractNum w:abstractNumId="163">
    <w:nsid w:val="3B3EBE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4">
    <w:nsid w:val="3822CB0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5">
    <w:nsid w:val="6CE00443"/>
    <w:multiLevelType w:val="hybridMultilevel"/>
    <w:lvl w:ilvl="0">
      <w:lvlJc w:val="left"/>
      <w:lvlText w:val="%1"/>
      <w:numFmt w:val="decimal"/>
      <w:start w:val="1"/>
    </w:lvl>
    <w:lvl w:ilvl="1">
      <w:lvlJc w:val="left"/>
      <w:lvlText w:val="(%2)"/>
      <w:numFmt w:val="lowerLetter"/>
      <w:start w:val="3"/>
    </w:lvl>
  </w:abstractNum>
  <w:abstractNum w:abstractNumId="166">
    <w:nsid w:val="79F0D62F"/>
    <w:multiLevelType w:val="hybridMultilevel"/>
    <w:lvl w:ilvl="0">
      <w:lvlJc w:val="left"/>
      <w:lvlText w:val="%1."/>
      <w:numFmt w:val="decimal"/>
      <w:start w:val="8"/>
    </w:lvl>
    <w:lvl w:ilvl="1">
      <w:lvlJc w:val="left"/>
      <w:lvlText w:val="(%2)"/>
      <w:numFmt w:val="lowerLetter"/>
      <w:start w:val="1"/>
    </w:lvl>
  </w:abstractNum>
  <w:abstractNum w:abstractNumId="167">
    <w:nsid w:val="7975E8E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68">
    <w:nsid w:val="731541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9">
    <w:nsid w:val="622D8102"/>
    <w:multiLevelType w:val="hybridMultilevel"/>
    <w:lvl w:ilvl="0">
      <w:lvlJc w:val="left"/>
      <w:lvlText w:val="%1."/>
      <w:numFmt w:val="decimal"/>
      <w:start w:val="10"/>
    </w:lvl>
    <w:lvl w:ilvl="1">
      <w:lvlJc w:val="left"/>
      <w:lvlText w:val="(%2)"/>
      <w:numFmt w:val="lowerLetter"/>
      <w:start w:val="1"/>
    </w:lvl>
  </w:abstractNum>
  <w:abstractNum w:abstractNumId="170">
    <w:nsid w:val="2AB265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1">
    <w:nsid w:val="44B3FA61"/>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72">
    <w:nsid w:val="1C0CA67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73">
    <w:nsid w:val="3D206613"/>
    <w:multiLevelType w:val="hybridMultilevel"/>
    <w:lvl w:ilvl="0">
      <w:lvlJc w:val="left"/>
      <w:lvlText w:val="%1."/>
      <w:numFmt w:val="decimal"/>
      <w:start w:val="13"/>
    </w:lvl>
    <w:lvl w:ilvl="1">
      <w:lvlJc w:val="left"/>
      <w:lvlText w:val="(%2)"/>
      <w:numFmt w:val="lowerLetter"/>
      <w:start w:val="1"/>
    </w:lvl>
  </w:abstractNum>
  <w:abstractNum w:abstractNumId="174">
    <w:nsid w:val="7993B662"/>
    <w:multiLevelType w:val="hybridMultilevel"/>
    <w:lvl w:ilvl="0">
      <w:lvlJc w:val="left"/>
      <w:lvlText w:val="%1"/>
      <w:numFmt w:val="decimal"/>
      <w:start w:val="1"/>
    </w:lvl>
    <w:lvl w:ilvl="1">
      <w:lvlJc w:val="left"/>
      <w:lvlText w:val="(%2)"/>
      <w:numFmt w:val="lowerLetter"/>
      <w:start w:val="2"/>
    </w:lvl>
  </w:abstractNum>
  <w:abstractNum w:abstractNumId="175">
    <w:nsid w:val="3BAB699E"/>
    <w:multiLevelType w:val="hybridMultilevel"/>
    <w:lvl w:ilvl="0">
      <w:lvlJc w:val="left"/>
      <w:lvlText w:val="%1."/>
      <w:numFmt w:val="decimal"/>
      <w:start w:val="16"/>
    </w:lvl>
    <w:lvl w:ilvl="1">
      <w:lvlJc w:val="left"/>
      <w:lvlText w:val="(%2)"/>
      <w:numFmt w:val="lowerLetter"/>
      <w:start w:val="1"/>
    </w:lvl>
  </w:abstractNum>
  <w:abstractNum w:abstractNumId="176">
    <w:nsid w:val="71315369"/>
    <w:multiLevelType w:val="hybridMultilevel"/>
    <w:lvl w:ilvl="0">
      <w:lvlJc w:val="left"/>
      <w:lvlText w:val="%1"/>
      <w:numFmt w:val="decimal"/>
      <w:start w:val="1"/>
    </w:lvl>
    <w:lvl w:ilvl="1">
      <w:lvlJc w:val="left"/>
      <w:lvlText w:val="(%2)"/>
      <w:numFmt w:val="lowerLetter"/>
      <w:start w:val="2"/>
    </w:lvl>
  </w:abstractNum>
  <w:abstractNum w:abstractNumId="177">
    <w:nsid w:val="7BCFBAFC"/>
    <w:multiLevelType w:val="hybridMultilevel"/>
    <w:lvl w:ilvl="0">
      <w:lvlJc w:val="left"/>
      <w:lvlText w:val="%1."/>
      <w:numFmt w:val="decimal"/>
      <w:start w:val="17"/>
    </w:lvl>
    <w:lvl w:ilvl="1">
      <w:lvlJc w:val="left"/>
      <w:lvlText w:val="%2"/>
      <w:numFmt w:val="lowerLetter"/>
      <w:start w:val="1"/>
    </w:lvl>
  </w:abstractNum>
  <w:abstractNum w:abstractNumId="178">
    <w:nsid w:val="17859F72"/>
    <w:multiLevelType w:val="hybridMultilevel"/>
    <w:lvl w:ilvl="0">
      <w:lvlJc w:val="left"/>
      <w:lvlText w:val="%1."/>
      <w:numFmt w:val="decimal"/>
      <w:start w:val="21"/>
    </w:lvl>
    <w:lvl w:ilvl="1">
      <w:lvlJc w:val="left"/>
      <w:lvlText w:val="(%2)"/>
      <w:numFmt w:val="lowerLetter"/>
      <w:start w:val="1"/>
    </w:lvl>
  </w:abstractNum>
  <w:abstractNum w:abstractNumId="179">
    <w:nsid w:val="3AA10581"/>
    <w:multiLevelType w:val="hybridMultilevel"/>
    <w:lvl w:ilvl="0">
      <w:lvlJc w:val="left"/>
      <w:lvlText w:val="%1."/>
      <w:numFmt w:val="decimal"/>
      <w:start w:val="1"/>
    </w:lvl>
  </w:abstractNum>
  <w:abstractNum w:abstractNumId="180">
    <w:nsid w:val="63DE60CD"/>
    <w:multiLevelType w:val="hybridMultilevel"/>
    <w:lvl w:ilvl="0">
      <w:lvlJc w:val="left"/>
      <w:lvlText w:val="%1."/>
      <w:numFmt w:val="decimal"/>
      <w:start w:val="1"/>
    </w:lvl>
  </w:abstractNum>
  <w:abstractNum w:abstractNumId="181">
    <w:nsid w:val="621AF471"/>
    <w:multiLevelType w:val="hybridMultilevel"/>
    <w:lvl w:ilvl="0">
      <w:lvlJc w:val="left"/>
      <w:lvlText w:val="%1."/>
      <w:numFmt w:val="decimal"/>
      <w:start w:val="2"/>
    </w:lvl>
    <w:lvl w:ilvl="1">
      <w:lvlJc w:val="left"/>
      <w:lvlText w:val="(%2)"/>
      <w:numFmt w:val="lowerLetter"/>
      <w:start w:val="1"/>
    </w:lvl>
  </w:abstractNum>
  <w:abstractNum w:abstractNumId="182">
    <w:nsid w:val="73CFE165"/>
    <w:multiLevelType w:val="hybridMultilevel"/>
    <w:lvl w:ilvl="0">
      <w:lvlJc w:val="left"/>
      <w:lvlText w:val="%1."/>
      <w:numFmt w:val="decimal"/>
      <w:start w:val="4"/>
    </w:lvl>
    <w:lvl w:ilvl="1">
      <w:lvlJc w:val="left"/>
      <w:lvlText w:val="(%2)"/>
      <w:numFmt w:val="lowerLetter"/>
      <w:start w:val="1"/>
    </w:lvl>
  </w:abstractNum>
  <w:abstractNum w:abstractNumId="183">
    <w:nsid w:val="20F88EA6"/>
    <w:multiLevelType w:val="hybridMultilevel"/>
    <w:lvl w:ilvl="0">
      <w:lvlJc w:val="left"/>
      <w:lvlText w:val="%1."/>
      <w:numFmt w:val="decimal"/>
      <w:start w:val="5"/>
    </w:lvl>
    <w:lvl w:ilvl="1">
      <w:lvlJc w:val="left"/>
      <w:lvlText w:val="(%2)"/>
      <w:numFmt w:val="lowerLetter"/>
      <w:start w:val="1"/>
    </w:lvl>
  </w:abstractNum>
  <w:abstractNum w:abstractNumId="184">
    <w:nsid w:val="617C843E"/>
    <w:multiLevelType w:val="hybridMultilevel"/>
    <w:lvl w:ilvl="0">
      <w:lvlJc w:val="left"/>
      <w:lvlText w:val="(%1)"/>
      <w:numFmt w:val="lowerLetter"/>
      <w:start w:val="2"/>
    </w:lvl>
    <w:lvl w:ilvl="1">
      <w:lvlJc w:val="left"/>
      <w:lvlText w:val="(%2)"/>
      <w:numFmt w:val="lowerRoman"/>
      <w:start w:val="1"/>
    </w:lvl>
  </w:abstractNum>
  <w:abstractNum w:abstractNumId="185">
    <w:nsid w:val="7B541FAB"/>
    <w:multiLevelType w:val="hybridMultilevel"/>
    <w:lvl w:ilvl="0">
      <w:lvlJc w:val="left"/>
      <w:lvlText w:val="(%1)"/>
      <w:numFmt w:val="lowerLetter"/>
      <w:start w:val="3"/>
    </w:lvl>
  </w:abstractNum>
  <w:abstractNum w:abstractNumId="186">
    <w:nsid w:val="2A79EC49"/>
    <w:multiLevelType w:val="hybridMultilevel"/>
    <w:lvl w:ilvl="0">
      <w:lvlJc w:val="left"/>
      <w:lvlText w:val="%1"/>
      <w:numFmt w:val="decimal"/>
      <w:start w:val="1"/>
    </w:lvl>
    <w:lvl w:ilvl="1">
      <w:lvlJc w:val="left"/>
      <w:lvlText w:val="(%2)"/>
      <w:numFmt w:val="lowerLetter"/>
      <w:start w:val="4"/>
    </w:lvl>
  </w:abstractNum>
  <w:abstractNum w:abstractNumId="187">
    <w:nsid w:val="338125CF"/>
    <w:multiLevelType w:val="hybridMultilevel"/>
    <w:lvl w:ilvl="0">
      <w:lvlJc w:val="left"/>
      <w:lvlText w:val="%1."/>
      <w:numFmt w:val="decimal"/>
      <w:start w:val="6"/>
    </w:lvl>
    <w:lvl w:ilvl="1">
      <w:lvlJc w:val="left"/>
      <w:lvlText w:val="(%2)"/>
      <w:numFmt w:val="lowerLetter"/>
      <w:start w:val="1"/>
    </w:lvl>
  </w:abstractNum>
  <w:abstractNum w:abstractNumId="188">
    <w:nsid w:val="47C7C971"/>
    <w:multiLevelType w:val="hybridMultilevel"/>
    <w:lvl w:ilvl="0">
      <w:lvlJc w:val="left"/>
      <w:lvlText w:val="%1"/>
      <w:numFmt w:val="decimal"/>
      <w:start w:val="1"/>
    </w:lvl>
    <w:lvl w:ilvl="1">
      <w:lvlJc w:val="left"/>
      <w:lvlText w:val="(%2)"/>
      <w:numFmt w:val="lowerLetter"/>
      <w:start w:val="4"/>
    </w:lvl>
  </w:abstractNum>
  <w:abstractNum w:abstractNumId="189">
    <w:nsid w:val="46F8284B"/>
    <w:multiLevelType w:val="hybridMultilevel"/>
    <w:lvl w:ilvl="0">
      <w:lvlJc w:val="left"/>
      <w:lvlText w:val="%1."/>
      <w:numFmt w:val="decimal"/>
      <w:start w:val="9"/>
    </w:lvl>
    <w:lvl w:ilvl="1">
      <w:lvlJc w:val="left"/>
      <w:lvlText w:val="%2"/>
      <w:numFmt w:val="lowerLetter"/>
      <w:start w:val="1"/>
    </w:lvl>
  </w:abstractNum>
  <w:abstractNum w:abstractNumId="190">
    <w:nsid w:val="4FA327CE"/>
    <w:multiLevelType w:val="hybridMultilevel"/>
    <w:lvl w:ilvl="0">
      <w:lvlJc w:val="left"/>
      <w:lvlText w:val="%1."/>
      <w:numFmt w:val="decimal"/>
      <w:start w:val="11"/>
    </w:lvl>
  </w:abstractNum>
  <w:abstractNum w:abstractNumId="191">
    <w:nsid w:val="1873983A"/>
    <w:multiLevelType w:val="hybridMultilevel"/>
    <w:lvl w:ilvl="0">
      <w:lvlJc w:val="left"/>
      <w:lvlText w:val="%1."/>
      <w:numFmt w:val="decimal"/>
      <w:start w:val="16"/>
    </w:lvl>
  </w:abstractNum>
  <w:abstractNum w:abstractNumId="192">
    <w:nsid w:val="3D2DD275"/>
    <w:multiLevelType w:val="hybridMultilevel"/>
    <w:lvl w:ilvl="0">
      <w:lvlJc w:val="left"/>
      <w:lvlText w:val="%1."/>
      <w:numFmt w:val="decimal"/>
      <w:start w:val="22"/>
    </w:lvl>
  </w:abstractNum>
  <w:abstractNum w:abstractNumId="193">
    <w:nsid w:val="2E17ECA7"/>
    <w:multiLevelType w:val="hybridMultilevel"/>
    <w:lvl w:ilvl="0">
      <w:lvlJc w:val="left"/>
      <w:lvlText w:val="%1."/>
      <w:numFmt w:val="decimal"/>
      <w:start w:val="2"/>
    </w:lvl>
  </w:abstractNum>
  <w:abstractNum w:abstractNumId="194">
    <w:nsid w:val="53B2564F"/>
    <w:multiLevelType w:val="hybridMultilevel"/>
    <w:lvl w:ilvl="0">
      <w:lvlJc w:val="left"/>
      <w:lvlText w:val="%1."/>
      <w:numFmt w:val="decimal"/>
      <w:start w:val="1"/>
    </w:lvl>
  </w:abstractNum>
  <w:abstractNum w:abstractNumId="195">
    <w:nsid w:val="75509D76"/>
    <w:multiLevelType w:val="hybridMultilevel"/>
    <w:lvl w:ilvl="0">
      <w:lvlJc w:val="left"/>
      <w:lvlText w:val="%1"/>
      <w:numFmt w:val="lowerLetter"/>
      <w:start w:val="1"/>
    </w:lvl>
    <w:lvl w:ilvl="1">
      <w:lvlJc w:val="left"/>
      <w:lvlText w:val="%2."/>
      <w:numFmt w:val="decimal"/>
      <w:start w:val="1"/>
    </w:lvl>
  </w:abstractNum>
  <w:abstractNum w:abstractNumId="196">
    <w:nsid w:val="1AF7F0EA"/>
    <w:multiLevelType w:val="hybridMultilevel"/>
    <w:lvl w:ilvl="0">
      <w:lvlJc w:val="left"/>
      <w:lvlText w:val="(%1)"/>
      <w:numFmt w:val="lowerLetter"/>
      <w:start w:val="25"/>
    </w:lvl>
    <w:lvl w:ilvl="1">
      <w:lvlJc w:val="left"/>
      <w:lvlText w:val="%2"/>
      <w:numFmt w:val="decimal"/>
      <w:start w:val="1"/>
    </w:lvl>
  </w:abstractNum>
  <w:abstractNum w:abstractNumId="197">
    <w:nsid w:val="4DA32C7E"/>
    <w:multiLevelType w:val="hybridMultilevel"/>
    <w:lvl w:ilvl="0">
      <w:lvlJc w:val="left"/>
      <w:lvlText w:val="(%1)"/>
      <w:numFmt w:val="decimal"/>
      <w:start w:val="1"/>
    </w:lvl>
    <w:lvl w:ilvl="1">
      <w:lvlJc w:val="left"/>
      <w:lvlText w:val="%2."/>
      <w:numFmt w:val="decimal"/>
      <w:start w:val="5"/>
    </w:lvl>
  </w:abstractNum>
  <w:abstractNum w:abstractNumId="198">
    <w:nsid w:val="6EC68664"/>
    <w:multiLevelType w:val="hybridMultilevel"/>
    <w:lvl w:ilvl="0">
      <w:lvlJc w:val="left"/>
      <w:lvlText w:val="%1."/>
      <w:numFmt w:val="decimal"/>
      <w:start w:val="8"/>
    </w:lvl>
  </w:abstractNum>
  <w:abstractNum w:abstractNumId="199">
    <w:nsid w:val="E0D31FF"/>
    <w:multiLevelType w:val="hybridMultilevel"/>
    <w:lvl w:ilvl="0">
      <w:lvlJc w:val="left"/>
      <w:lvlText w:val="%1."/>
      <w:numFmt w:val="decimal"/>
      <w:start w:val="10"/>
    </w:lvl>
  </w:abstractNum>
  <w:abstractNum w:abstractNumId="200">
    <w:nsid w:val="2FD0AD81"/>
    <w:multiLevelType w:val="hybridMultilevel"/>
    <w:lvl w:ilvl="0">
      <w:lvlJc w:val="left"/>
      <w:lvlText w:val="%1."/>
      <w:numFmt w:val="decimal"/>
      <w:start w:val="14"/>
    </w:lvl>
  </w:abstractNum>
  <w:abstractNum w:abstractNumId="201">
    <w:nsid w:val="1978EBEB"/>
    <w:multiLevelType w:val="hybridMultilevel"/>
    <w:lvl w:ilvl="0">
      <w:lvlJc w:val="left"/>
      <w:lvlText w:val="%1."/>
      <w:numFmt w:val="decimal"/>
      <w:start w:val="17"/>
    </w:lvl>
  </w:abstractNum>
  <w:abstractNum w:abstractNumId="202">
    <w:nsid w:val="52C12C61"/>
    <w:multiLevelType w:val="hybridMultilevel"/>
    <w:lvl w:ilvl="0">
      <w:lvlJc w:val="left"/>
      <w:lvlText w:val="%1."/>
      <w:numFmt w:val="decimal"/>
      <w:start w:val="22"/>
    </w:lvl>
  </w:abstractNum>
  <w:abstractNum w:abstractNumId="203">
    <w:nsid w:val="4BDD53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4">
    <w:nsid w:val="569951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05">
    <w:nsid w:val="4C54E2C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6">
    <w:nsid w:val="788BD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7">
    <w:nsid w:val="47CAA567"/>
    <w:multiLevelType w:val="hybridMultilevel"/>
    <w:lvl w:ilvl="0">
      <w:lvlJc w:val="left"/>
      <w:lvlText w:val="%1"/>
      <w:numFmt w:val="decimal"/>
      <w:start w:val="1"/>
    </w:lvl>
    <w:lvl w:ilvl="1">
      <w:lvlJc w:val="left"/>
      <w:lvlText w:val="(%2)"/>
      <w:numFmt w:val="lowerLetter"/>
      <w:start w:val="2"/>
    </w:lvl>
  </w:abstractNum>
  <w:abstractNum w:abstractNumId="208">
    <w:nsid w:val="48249DBF"/>
    <w:multiLevelType w:val="hybridMultilevel"/>
    <w:lvl w:ilvl="0">
      <w:lvlJc w:val="left"/>
      <w:lvlText w:val="%1."/>
      <w:numFmt w:val="decimal"/>
      <w:start w:val="4"/>
    </w:lvl>
    <w:lvl w:ilvl="1">
      <w:lvlJc w:val="left"/>
      <w:lvlText w:val="(%2)"/>
      <w:numFmt w:val="lowerLetter"/>
      <w:start w:val="1"/>
    </w:lvl>
  </w:abstractNum>
  <w:abstractNum w:abstractNumId="209">
    <w:nsid w:val="1F0E5D0D"/>
    <w:multiLevelType w:val="hybridMultilevel"/>
    <w:lvl w:ilvl="0">
      <w:lvlJc w:val="left"/>
      <w:lvlText w:val="%1"/>
      <w:numFmt w:val="decimal"/>
      <w:start w:val="1"/>
    </w:lvl>
    <w:lvl w:ilvl="1">
      <w:lvlJc w:val="left"/>
      <w:lvlText w:val="(%2)"/>
      <w:numFmt w:val="lowerLetter"/>
      <w:start w:val="2"/>
    </w:lvl>
  </w:abstractNum>
  <w:abstractNum w:abstractNumId="210">
    <w:nsid w:val="26BAAE9"/>
    <w:multiLevelType w:val="hybridMultilevel"/>
    <w:lvl w:ilvl="0">
      <w:lvlJc w:val="left"/>
      <w:lvlText w:val="%1."/>
      <w:numFmt w:val="decimal"/>
      <w:start w:val="6"/>
    </w:lvl>
    <w:lvl w:ilvl="1">
      <w:lvlJc w:val="left"/>
      <w:lvlText w:val="(%2)"/>
      <w:numFmt w:val="lowerLetter"/>
      <w:start w:val="1"/>
    </w:lvl>
  </w:abstractNum>
  <w:abstractNum w:abstractNumId="211">
    <w:nsid w:val="2C02FE8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2">
    <w:nsid w:val="129517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3">
    <w:nsid w:val="763B8C4E"/>
    <w:multiLevelType w:val="hybridMultilevel"/>
    <w:lvl w:ilvl="0">
      <w:lvlJc w:val="left"/>
      <w:lvlText w:val="%1"/>
      <w:numFmt w:val="decimal"/>
      <w:start w:val="1"/>
    </w:lvl>
    <w:lvl w:ilvl="1">
      <w:lvlJc w:val="left"/>
      <w:lvlText w:val="(%2)"/>
      <w:numFmt w:val="lowerLetter"/>
      <w:start w:val="5"/>
    </w:lvl>
  </w:abstractNum>
  <w:abstractNum w:abstractNumId="214">
    <w:nsid w:val="4CFB8D32"/>
    <w:multiLevelType w:val="hybridMultilevel"/>
    <w:lvl w:ilvl="0">
      <w:lvlJc w:val="left"/>
      <w:lvlText w:val="%1."/>
      <w:numFmt w:val="decimal"/>
      <w:start w:val="8"/>
    </w:lvl>
    <w:lvl w:ilvl="1">
      <w:lvlJc w:val="left"/>
      <w:lvlText w:val="(%2)"/>
      <w:numFmt w:val="lowerLetter"/>
      <w:start w:val="1"/>
    </w:lvl>
  </w:abstractNum>
  <w:abstractNum w:abstractNumId="215">
    <w:nsid w:val="62A5D5BD"/>
    <w:multiLevelType w:val="hybridMultilevel"/>
    <w:lvl w:ilvl="0">
      <w:lvlJc w:val="left"/>
      <w:lvlText w:val="%1."/>
      <w:numFmt w:val="decimal"/>
      <w:start w:val="10"/>
    </w:lvl>
    <w:lvl w:ilvl="1">
      <w:lvlJc w:val="left"/>
      <w:lvlText w:val="(%2)"/>
      <w:numFmt w:val="lowerLetter"/>
      <w:start w:val="1"/>
    </w:lvl>
  </w:abstractNum>
  <w:abstractNum w:abstractNumId="216">
    <w:nsid w:val="718FABF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217">
    <w:nsid w:val="7775797C"/>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218">
    <w:nsid w:val="1626FB8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219">
    <w:nsid w:val="3957756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220">
    <w:nsid w:val="3E6DA1C7"/>
    <w:multiLevelType w:val="hybridMultilevel"/>
    <w:lvl w:ilvl="0">
      <w:lvlJc w:val="left"/>
      <w:lvlText w:val="(%1)"/>
      <w:numFmt w:val="lowerLetter"/>
      <w:start w:val="9"/>
    </w:lvl>
    <w:lvl w:ilvl="1">
      <w:lvlJc w:val="left"/>
      <w:lvlText w:val="%2."/>
      <w:numFmt w:val="decimal"/>
      <w:start w:val="13"/>
    </w:lvl>
    <w:lvl w:ilvl="2">
      <w:lvlJc w:val="left"/>
      <w:lvlText w:val="(%3)"/>
      <w:numFmt w:val="lowerLetter"/>
      <w:start w:val="1"/>
    </w:lvl>
  </w:abstractNum>
  <w:abstractNum w:abstractNumId="221">
    <w:nsid w:val="65CA235B"/>
    <w:multiLevelType w:val="hybridMultilevel"/>
    <w:lvl w:ilvl="0">
      <w:lvlJc w:val="left"/>
      <w:lvlText w:val="%1"/>
      <w:numFmt w:val="decimal"/>
      <w:start w:val="1"/>
    </w:lvl>
    <w:lvl w:ilvl="1">
      <w:lvlJc w:val="left"/>
      <w:lvlText w:val="(%2)"/>
      <w:numFmt w:val="lowerLetter"/>
      <w:start w:val="2"/>
    </w:lvl>
  </w:abstractNum>
  <w:abstractNum w:abstractNumId="222">
    <w:nsid w:val="51CB0DA4"/>
    <w:multiLevelType w:val="hybridMultilevel"/>
    <w:lvl w:ilvl="0">
      <w:lvlJc w:val="left"/>
      <w:lvlText w:val="%1."/>
      <w:numFmt w:val="decimal"/>
      <w:start w:val="14"/>
    </w:lvl>
    <w:lvl w:ilvl="1">
      <w:lvlJc w:val="left"/>
      <w:lvlText w:val="(%2)"/>
      <w:numFmt w:val="lowerLetter"/>
      <w:start w:val="1"/>
    </w:lvl>
  </w:abstractNum>
  <w:abstractNum w:abstractNumId="223">
    <w:nsid w:val="7B9B743C"/>
    <w:multiLevelType w:val="hybridMultilevel"/>
    <w:lvl w:ilvl="0">
      <w:lvlJc w:val="left"/>
      <w:lvlText w:val="%1"/>
      <w:numFmt w:val="decimal"/>
      <w:start w:val="1"/>
    </w:lvl>
    <w:lvl w:ilvl="1">
      <w:lvlJc w:val="left"/>
      <w:lvlText w:val="(%2)"/>
      <w:numFmt w:val="lowerLetter"/>
      <w:start w:val="4"/>
    </w:lvl>
  </w:abstractNum>
  <w:abstractNum w:abstractNumId="224">
    <w:nsid w:val="13E21002"/>
    <w:multiLevelType w:val="hybridMultilevel"/>
    <w:lvl w:ilvl="0">
      <w:lvlJc w:val="left"/>
      <w:lvlText w:val="%1."/>
      <w:numFmt w:val="decimal"/>
      <w:start w:val="17"/>
    </w:lvl>
    <w:lvl w:ilvl="1">
      <w:lvlJc w:val="left"/>
      <w:lvlText w:val="(%2)"/>
      <w:numFmt w:val="lowerLetter"/>
      <w:start w:val="1"/>
    </w:lvl>
  </w:abstractNum>
  <w:abstractNum w:abstractNumId="225">
    <w:nsid w:val="257D63F4"/>
    <w:multiLevelType w:val="hybridMultilevel"/>
    <w:lvl w:ilvl="0">
      <w:lvlJc w:val="left"/>
      <w:lvlText w:val="(%1)"/>
      <w:numFmt w:val="lowerLetter"/>
      <w:start w:val="9"/>
    </w:lvl>
    <w:lvl w:ilvl="1">
      <w:lvlJc w:val="left"/>
      <w:lvlText w:val="(%2)"/>
      <w:numFmt w:val="lowerRoman"/>
      <w:start w:val="1"/>
    </w:lvl>
  </w:abstractNum>
  <w:abstractNum w:abstractNumId="226">
    <w:nsid w:val="70EC11B2"/>
    <w:multiLevelType w:val="hybridMultilevel"/>
    <w:lvl w:ilvl="0">
      <w:lvlJc w:val="left"/>
      <w:lvlText w:val="(%1)"/>
      <w:numFmt w:val="lowerLetter"/>
      <w:start w:val="12"/>
    </w:lvl>
  </w:abstractNum>
  <w:abstractNum w:abstractNumId="227">
    <w:nsid w:val="2EDA00ED"/>
    <w:multiLevelType w:val="hybridMultilevel"/>
    <w:lvl w:ilvl="0">
      <w:lvlJc w:val="left"/>
      <w:lvlText w:val="(%1)"/>
      <w:numFmt w:val="lowerLetter"/>
      <w:start w:val="15"/>
    </w:lvl>
  </w:abstractNum>
  <w:abstractNum w:abstractNumId="228">
    <w:nsid w:val="73209072"/>
    <w:multiLevelType w:val="hybridMultilevel"/>
    <w:lvl w:ilvl="0">
      <w:lvlJc w:val="left"/>
      <w:lvlText w:val="(%1)"/>
      <w:numFmt w:val="lowerLetter"/>
      <w:start w:val="20"/>
    </w:lvl>
    <w:lvl w:ilvl="1">
      <w:lvlJc w:val="left"/>
      <w:lvlText w:val="(%2)"/>
      <w:numFmt w:val="lowerRoman"/>
      <w:start w:val="1"/>
    </w:lvl>
  </w:abstractNum>
  <w:abstractNum w:abstractNumId="229">
    <w:nsid w:val="5FB29816"/>
    <w:multiLevelType w:val="hybridMultilevel"/>
    <w:lvl w:ilvl="0">
      <w:lvlJc w:val="left"/>
      <w:lvlText w:val="(%1)"/>
      <w:numFmt w:val="lowerLetter"/>
      <w:start w:val="27"/>
    </w:lvl>
  </w:abstractNum>
  <w:abstractNum w:abstractNumId="230">
    <w:nsid w:val="3CE732EC"/>
    <w:multiLevelType w:val="hybridMultilevel"/>
    <w:lvl w:ilvl="0">
      <w:lvlJc w:val="left"/>
      <w:lvlText w:val="(%1)"/>
      <w:numFmt w:val="lowerLetter"/>
      <w:start w:val="32"/>
    </w:lvl>
  </w:abstractNum>
  <w:abstractNum w:abstractNumId="231">
    <w:nsid w:val="22F13DF3"/>
    <w:multiLevelType w:val="hybridMultilevel"/>
    <w:lvl w:ilvl="0">
      <w:lvlJc w:val="left"/>
      <w:lvlText w:val="(%1)"/>
      <w:numFmt w:val="lowerLetter"/>
      <w:start w:val="33"/>
    </w:lvl>
  </w:abstractNum>
  <w:abstractNum w:abstractNumId="232">
    <w:nsid w:val="792B8401"/>
    <w:multiLevelType w:val="hybridMultilevel"/>
    <w:lvl w:ilvl="0">
      <w:lvlJc w:val="left"/>
      <w:lvlText w:val="%1."/>
      <w:numFmt w:val="decimal"/>
      <w:start w:val="1"/>
    </w:lvl>
  </w:abstractNum>
  <w:abstractNum w:abstractNumId="233">
    <w:nsid w:val="FA85F4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4">
    <w:nsid w:val="6ECE91F0"/>
    <w:multiLevelType w:val="hybridMultilevel"/>
    <w:lvl w:ilvl="0">
      <w:lvlJc w:val="left"/>
      <w:lvlText w:val="(%1)"/>
      <w:numFmt w:val="lowerRoman"/>
      <w:start w:val="4"/>
    </w:lvl>
    <w:lvl w:ilvl="1">
      <w:lvlJc w:val="left"/>
      <w:lvlText w:val="(%2)"/>
      <w:numFmt w:val="decimal"/>
      <w:start w:val="1"/>
    </w:lvl>
  </w:abstractNum>
  <w:abstractNum w:abstractNumId="235">
    <w:nsid w:val="4FC4D600"/>
    <w:multiLevelType w:val="hybridMultilevel"/>
    <w:lvl w:ilvl="0">
      <w:lvlJc w:val="left"/>
      <w:lvlText w:val="(%1)"/>
      <w:numFmt w:val="lowerLetter"/>
      <w:start w:val="8"/>
    </w:lvl>
  </w:abstractNum>
  <w:abstractNum w:abstractNumId="236">
    <w:nsid w:val="5BFD4210"/>
    <w:multiLevelType w:val="hybridMultilevel"/>
    <w:lvl w:ilvl="0">
      <w:lvlJc w:val="left"/>
      <w:lvlText w:val="(%1)"/>
      <w:numFmt w:val="lowerLetter"/>
      <w:start w:val="17"/>
    </w:lvl>
    <w:lvl w:ilvl="1">
      <w:lvlJc w:val="left"/>
      <w:lvlText w:val="(%2)"/>
      <w:numFmt w:val="lowerRoman"/>
      <w:start w:val="1"/>
    </w:lvl>
  </w:abstractNum>
  <w:abstractNum w:abstractNumId="237">
    <w:nsid w:val="76574F8B"/>
    <w:multiLevelType w:val="hybridMultilevel"/>
    <w:lvl w:ilvl="0">
      <w:lvlJc w:val="left"/>
      <w:lvlText w:val="(%1)"/>
      <w:numFmt w:val="lowerLetter"/>
      <w:start w:val="27"/>
    </w:lvl>
  </w:abstractNum>
  <w:abstractNum w:abstractNumId="238">
    <w:nsid w:val="178F7B67"/>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lvl w:ilvl="3">
      <w:lvlJc w:val="left"/>
      <w:lvlText w:val="%4"/>
      <w:numFmt w:val="lowerRoman"/>
      <w:start w:val="1"/>
    </w:lvl>
  </w:abstractNum>
  <w:abstractNum w:abstractNumId="239">
    <w:nsid w:val="2421DFC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240">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41">
    <w:nsid w:val="19FB265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2">
    <w:nsid w:val="5024DE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3">
    <w:nsid w:val="168EFE17"/>
    <w:multiLevelType w:val="hybridMultilevel"/>
    <w:lvl w:ilvl="0">
      <w:lvlJc w:val="left"/>
      <w:lvlText w:val="%1"/>
      <w:numFmt w:val="decimal"/>
      <w:start w:val="1"/>
    </w:lvl>
    <w:lvl w:ilvl="1">
      <w:lvlJc w:val="left"/>
      <w:lvlText w:val="(%2)"/>
      <w:numFmt w:val="lowerLetter"/>
      <w:start w:val="6"/>
    </w:lvl>
  </w:abstractNum>
  <w:abstractNum w:abstractNumId="244">
    <w:nsid w:val="1036B29F"/>
    <w:multiLevelType w:val="hybridMultilevel"/>
    <w:lvl w:ilvl="0">
      <w:lvlJc w:val="left"/>
      <w:lvlText w:val="%1."/>
      <w:numFmt w:val="decimal"/>
      <w:start w:val="7"/>
    </w:lvl>
    <w:lvl w:ilvl="1">
      <w:lvlJc w:val="left"/>
      <w:lvlText w:val="(%2)"/>
      <w:numFmt w:val="lowerLetter"/>
      <w:start w:val="1"/>
    </w:lvl>
  </w:abstractNum>
  <w:abstractNum w:abstractNumId="245">
    <w:nsid w:val="1D206B8E"/>
    <w:multiLevelType w:val="hybridMultilevel"/>
    <w:lvl w:ilvl="0">
      <w:lvlJc w:val="left"/>
      <w:lvlText w:val="%1"/>
      <w:numFmt w:val="decimal"/>
      <w:start w:val="1"/>
    </w:lvl>
    <w:lvl w:ilvl="1">
      <w:lvlJc w:val="left"/>
      <w:lvlText w:val="(%2)"/>
      <w:numFmt w:val="lowerLetter"/>
      <w:start w:val="4"/>
    </w:lvl>
  </w:abstractNum>
  <w:abstractNum w:abstractNumId="246">
    <w:nsid w:val="7934D3D4"/>
    <w:multiLevelType w:val="hybridMultilevel"/>
    <w:lvl w:ilvl="0">
      <w:lvlJc w:val="left"/>
      <w:lvlText w:val="%1."/>
      <w:numFmt w:val="decimal"/>
      <w:start w:val="10"/>
    </w:lvl>
    <w:lvl w:ilvl="1">
      <w:lvlJc w:val="left"/>
      <w:lvlText w:val="(%2)"/>
      <w:numFmt w:val="lowerLetter"/>
      <w:start w:val="1"/>
    </w:lvl>
  </w:abstractNum>
  <w:abstractNum w:abstractNumId="247">
    <w:nsid w:val="1C65E98"/>
    <w:multiLevelType w:val="hybridMultilevel"/>
    <w:lvl w:ilvl="0">
      <w:lvlJc w:val="left"/>
      <w:lvlText w:val="%1."/>
      <w:numFmt w:val="decimal"/>
      <w:start w:val="14"/>
    </w:lvl>
    <w:lvl w:ilvl="1">
      <w:lvlJc w:val="left"/>
      <w:lvlText w:val="(%2)"/>
      <w:numFmt w:val="lowerLetter"/>
      <w:start w:val="1"/>
    </w:lvl>
  </w:abstractNum>
  <w:abstractNum w:abstractNumId="248">
    <w:nsid w:val="1495E50A"/>
    <w:multiLevelType w:val="hybridMultilevel"/>
    <w:lvl w:ilvl="0">
      <w:lvlJc w:val="left"/>
      <w:lvlText w:val="%1."/>
      <w:numFmt w:val="decimal"/>
      <w:start w:val="1"/>
    </w:lvl>
    <w:lvl w:ilvl="1">
      <w:lvlJc w:val="left"/>
      <w:lvlText w:val="•"/>
      <w:numFmt w:val="bullet"/>
      <w:start w:val="1"/>
    </w:lvl>
  </w:abstractNum>
  <w:abstractNum w:abstractNumId="249">
    <w:nsid w:val="F5BCF61"/>
    <w:multiLevelType w:val="hybridMultilevel"/>
    <w:lvl w:ilvl="0">
      <w:lvlJc w:val="left"/>
      <w:lvlText w:val="•"/>
      <w:numFmt w:val="bullet"/>
      <w:start w:val="1"/>
    </w:lvl>
  </w:abstractNum>
  <w:abstractNum w:abstractNumId="250">
    <w:nsid w:val="3B1DD403"/>
    <w:multiLevelType w:val="hybridMultilevel"/>
    <w:lvl w:ilvl="0">
      <w:lvlJc w:val="left"/>
      <w:lvlText w:val="%1."/>
      <w:numFmt w:val="decimal"/>
      <w:start w:val="4"/>
    </w:lvl>
    <w:lvl w:ilvl="1">
      <w:lvlJc w:val="left"/>
      <w:lvlText w:val="•"/>
      <w:numFmt w:val="bullet"/>
      <w:start w:val="1"/>
    </w:lvl>
  </w:abstractNum>
  <w:abstractNum w:abstractNumId="251">
    <w:nsid w:val="530386D1"/>
    <w:multiLevelType w:val="hybridMultilevel"/>
    <w:lvl w:ilvl="0">
      <w:lvlJc w:val="left"/>
      <w:lvlText w:val="%1."/>
      <w:numFmt w:val="decimal"/>
      <w:start w:val="1"/>
    </w:lvl>
  </w:abstractNum>
  <w:abstractNum w:abstractNumId="252">
    <w:nsid w:val="7525F2BC"/>
    <w:multiLevelType w:val="hybridMultilevel"/>
    <w:lvl w:ilvl="0">
      <w:lvlJc w:val="left"/>
      <w:lvlText w:val="%1"/>
      <w:numFmt w:val="lowerLetter"/>
      <w:start w:val="1"/>
    </w:lvl>
    <w:lvl w:ilvl="1">
      <w:lvlJc w:val="left"/>
      <w:lvlText w:val="%2."/>
      <w:numFmt w:val="decimal"/>
      <w:start w:val="1"/>
    </w:lvl>
  </w:abstractNum>
  <w:abstractNum w:abstractNumId="253">
    <w:nsid w:val="CE8E1A7"/>
    <w:multiLevelType w:val="hybridMultilevel"/>
    <w:lvl w:ilvl="0">
      <w:lvlJc w:val="left"/>
      <w:lvlText w:val="(%1)"/>
      <w:numFmt w:val="lowerLetter"/>
      <w:start w:val="25"/>
    </w:lvl>
    <w:lvl w:ilvl="1">
      <w:lvlJc w:val="left"/>
      <w:lvlText w:val="%2"/>
      <w:numFmt w:val="decimal"/>
      <w:start w:val="1"/>
    </w:lvl>
  </w:abstractNum>
  <w:abstractNum w:abstractNumId="254">
    <w:nsid w:val="4E9EFB0D"/>
    <w:multiLevelType w:val="hybridMultilevel"/>
    <w:lvl w:ilvl="0">
      <w:lvlJc w:val="left"/>
      <w:lvlText w:val="%1."/>
      <w:numFmt w:val="decimal"/>
      <w:start w:val="5"/>
    </w:lvl>
  </w:abstractNum>
  <w:abstractNum w:abstractNumId="255">
    <w:nsid w:val="90802BE"/>
    <w:multiLevelType w:val="hybridMultilevel"/>
    <w:lvl w:ilvl="0">
      <w:lvlJc w:val="left"/>
      <w:lvlText w:val="%1."/>
      <w:numFmt w:val="decimal"/>
      <w:start w:val="8"/>
    </w:lvl>
  </w:abstractNum>
  <w:abstractNum w:abstractNumId="256">
    <w:nsid w:val="3266459B"/>
    <w:multiLevelType w:val="hybridMultilevel"/>
    <w:lvl w:ilvl="0">
      <w:lvlJc w:val="left"/>
      <w:lvlText w:val="%1."/>
      <w:numFmt w:val="decimal"/>
      <w:start w:val="10"/>
    </w:lvl>
  </w:abstractNum>
  <w:abstractNum w:abstractNumId="257">
    <w:nsid w:val="3F8B0CBF"/>
    <w:multiLevelType w:val="hybridMultilevel"/>
    <w:lvl w:ilvl="0">
      <w:lvlJc w:val="left"/>
      <w:lvlText w:val="%1."/>
      <w:numFmt w:val="decimal"/>
      <w:start w:val="14"/>
    </w:lvl>
  </w:abstractNum>
  <w:abstractNum w:abstractNumId="258">
    <w:nsid w:val="37E203AB"/>
    <w:multiLevelType w:val="hybridMultilevel"/>
    <w:lvl w:ilvl="0">
      <w:lvlJc w:val="left"/>
      <w:lvlText w:val="%1."/>
      <w:numFmt w:val="decimal"/>
      <w:start w:val="19"/>
    </w:lvl>
  </w:abstractNum>
  <w:abstractNum w:abstractNumId="259">
    <w:nsid w:val="2586D60E"/>
    <w:multiLevelType w:val="hybridMultilevel"/>
    <w:lvl w:ilvl="0">
      <w:lvlJc w:val="left"/>
      <w:lvlText w:val="%1."/>
      <w:numFmt w:val="decimal"/>
      <w:start w:val="22"/>
    </w:lvl>
  </w:abstractNum>
  <w:abstractNum w:abstractNumId="260">
    <w:nsid w:val="1F3DA4D5"/>
    <w:multiLevelType w:val="hybridMultilevel"/>
    <w:lvl w:ilvl="0">
      <w:lvlJc w:val="left"/>
      <w:lvlText w:val="%1."/>
      <w:numFmt w:val="decimal"/>
      <w:start w:val="23"/>
    </w:lvl>
  </w:abstractNum>
  <w:abstractNum w:abstractNumId="261">
    <w:nsid w:val="74C93698"/>
    <w:multiLevelType w:val="hybridMultilevel"/>
    <w:lvl w:ilvl="0">
      <w:lvlJc w:val="left"/>
      <w:lvlText w:val="%1."/>
      <w:numFmt w:val="decimal"/>
      <w:start w:val="1"/>
    </w:lvl>
  </w:abstractNum>
  <w:abstractNum w:abstractNumId="262">
    <w:nsid w:val="48781401"/>
    <w:multiLevelType w:val="hybridMultilevel"/>
    <w:lvl w:ilvl="0">
      <w:lvlJc w:val="left"/>
      <w:lvlText w:val="%1."/>
      <w:numFmt w:val="decimal"/>
      <w:start w:val="2"/>
    </w:lvl>
    <w:lvl w:ilvl="1">
      <w:lvlJc w:val="left"/>
      <w:lvlText w:val="(%2)"/>
      <w:numFmt w:val="lowerLetter"/>
      <w:start w:val="1"/>
    </w:lvl>
  </w:abstractNum>
  <w:abstractNum w:abstractNumId="263">
    <w:nsid w:val="186928D6"/>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264">
    <w:nsid w:val="47195E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65">
    <w:nsid w:val="3746A5F2"/>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266">
    <w:nsid w:val="682DFED6"/>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267">
    <w:nsid w:val="606ED7F6"/>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268">
    <w:nsid w:val="2D9DF57D"/>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269">
    <w:nsid w:val="7FBD7A3E"/>
    <w:multiLevelType w:val="hybridMultilevel"/>
    <w:lvl w:ilvl="0">
      <w:lvlJc w:val="left"/>
      <w:lvlText w:val="(%1)"/>
      <w:numFmt w:val="decimal"/>
      <w:start w:val="37"/>
    </w:lvl>
    <w:lvl w:ilvl="1">
      <w:lvlJc w:val="left"/>
      <w:lvlText w:val="(%2)"/>
      <w:numFmt w:val="lowerLetter"/>
      <w:start w:val="10"/>
    </w:lvl>
    <w:lvl w:ilvl="2">
      <w:lvlJc w:val="left"/>
      <w:lvlText w:val="-"/>
      <w:numFmt w:val="bullet"/>
      <w:start w:val="1"/>
    </w:lvl>
  </w:abstractNum>
  <w:abstractNum w:abstractNumId="270">
    <w:nsid w:val="490B7C5"/>
    <w:multiLevelType w:val="hybridMultilevel"/>
    <w:lvl w:ilvl="0">
      <w:lvlJc w:val="left"/>
      <w:lvlText w:val="%1"/>
      <w:numFmt w:val="decimal"/>
      <w:start w:val="1"/>
    </w:lvl>
    <w:lvl w:ilvl="1">
      <w:lvlJc w:val="left"/>
      <w:lvlText w:val="(%2)"/>
      <w:numFmt w:val="lowerLetter"/>
      <w:start w:val="11"/>
    </w:lvl>
  </w:abstractNum>
  <w:abstractNum w:abstractNumId="271">
    <w:nsid w:val="4303A216"/>
    <w:multiLevelType w:val="hybridMultilevel"/>
    <w:lvl w:ilvl="0">
      <w:lvlJc w:val="left"/>
      <w:lvlText w:val="%1."/>
      <w:numFmt w:val="decimal"/>
      <w:start w:val="3"/>
    </w:lvl>
    <w:lvl w:ilvl="1">
      <w:lvlJc w:val="left"/>
      <w:lvlText w:val="%2"/>
      <w:numFmt w:val="lowerLetter"/>
      <w:start w:val="1"/>
    </w:lvl>
  </w:abstractNum>
  <w:abstractNum w:abstractNumId="272">
    <w:nsid w:val="19B8A08E"/>
    <w:multiLevelType w:val="hybridMultilevel"/>
    <w:lvl w:ilvl="0">
      <w:lvlJc w:val="left"/>
      <w:lvlText w:val="%1."/>
      <w:numFmt w:val="decimal"/>
      <w:start w:val="4"/>
    </w:lvl>
  </w:abstractNum>
  <w:abstractNum w:abstractNumId="273">
    <w:nsid w:val="54B59621"/>
    <w:multiLevelType w:val="hybridMultilevel"/>
    <w:lvl w:ilvl="0">
      <w:lvlJc w:val="left"/>
      <w:lvlText w:val="%1"/>
      <w:numFmt w:val="decimal"/>
      <w:start w:val="1"/>
    </w:lvl>
    <w:lvl w:ilvl="1">
      <w:lvlJc w:val="left"/>
      <w:lvlText w:val="(%2)"/>
      <w:numFmt w:val="lowerLetter"/>
      <w:start w:val="1"/>
    </w:lvl>
  </w:abstractNum>
  <w:abstractNum w:abstractNumId="274">
    <w:nsid w:val="5992A02E"/>
    <w:multiLevelType w:val="hybridMultilevel"/>
    <w:lvl w:ilvl="0">
      <w:lvlJc w:val="left"/>
      <w:lvlText w:val="%1."/>
      <w:numFmt w:val="decimal"/>
      <w:start w:val="5"/>
    </w:lvl>
    <w:lvl w:ilvl="1">
      <w:lvlJc w:val="left"/>
      <w:lvlText w:val="%2"/>
      <w:numFmt w:val="lowerLetter"/>
      <w:start w:val="1"/>
    </w:lvl>
  </w:abstractNum>
  <w:abstractNum w:abstractNumId="275">
    <w:nsid w:val="29EF532D"/>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76">
    <w:nsid w:val="71D601AF"/>
    <w:multiLevelType w:val="hybridMultilevel"/>
    <w:lvl w:ilvl="0">
      <w:lvlJc w:val="left"/>
      <w:lvlText w:val="(%1)"/>
      <w:numFmt w:val="lowerLetter"/>
      <w:start w:val="4"/>
    </w:lvl>
    <w:lvl w:ilvl="1">
      <w:lvlJc w:val="left"/>
      <w:lvlText w:val="-"/>
      <w:numFmt w:val="bullet"/>
      <w:start w:val="1"/>
    </w:lvl>
  </w:abstractNum>
  <w:abstractNum w:abstractNumId="277">
    <w:nsid w:val="52C77402"/>
    <w:multiLevelType w:val="hybridMultilevel"/>
    <w:lvl w:ilvl="0">
      <w:lvlJc w:val="left"/>
      <w:lvlText w:val="(%1)"/>
      <w:numFmt w:val="lowerLetter"/>
      <w:start w:val="9"/>
    </w:lvl>
    <w:lvl w:ilvl="1">
      <w:lvlJc w:val="left"/>
      <w:lvlText w:val="-"/>
      <w:numFmt w:val="bullet"/>
      <w:start w:val="1"/>
    </w:lvl>
  </w:abstractNum>
  <w:abstractNum w:abstractNumId="278">
    <w:nsid w:val="2BB5B1C6"/>
    <w:multiLevelType w:val="hybridMultilevel"/>
    <w:lvl w:ilvl="0">
      <w:lvlJc w:val="left"/>
      <w:lvlText w:val="%1."/>
      <w:numFmt w:val="decimal"/>
      <w:start w:val="1"/>
    </w:lvl>
    <w:lvl w:ilvl="1">
      <w:lvlJc w:val="left"/>
      <w:lvlText w:val="%2."/>
      <w:numFmt w:val="lowerLetter"/>
      <w:start w:val="1"/>
    </w:lvl>
  </w:abstractNum>
  <w:abstractNum w:abstractNumId="279">
    <w:nsid w:val="66BE6B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0">
    <w:nsid w:val="6223436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81">
    <w:nsid w:val="66D385C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82">
    <w:nsid w:val="596F6D8A"/>
    <w:multiLevelType w:val="hybridMultilevel"/>
    <w:lvl w:ilvl="0">
      <w:lvlJc w:val="left"/>
      <w:lvlText w:val="%1."/>
      <w:numFmt w:val="decimal"/>
      <w:start w:val="5"/>
    </w:lvl>
  </w:abstractNum>
  <w:abstractNum w:abstractNumId="283">
    <w:nsid w:val="5749361F"/>
    <w:multiLevelType w:val="hybridMultilevel"/>
    <w:lvl w:ilvl="0">
      <w:lvlJc w:val="left"/>
      <w:lvlText w:val="%1."/>
      <w:numFmt w:val="decimal"/>
      <w:start w:val="1"/>
    </w:lvl>
    <w:lvl w:ilvl="1">
      <w:lvlJc w:val="left"/>
      <w:lvlText w:val="(%2)"/>
      <w:numFmt w:val="lowerLetter"/>
      <w:start w:val="1"/>
    </w:lvl>
  </w:abstractNum>
  <w:abstractNum w:abstractNumId="284">
    <w:nsid w:val="73BC67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5">
    <w:nsid w:val="280E6897"/>
    <w:multiLevelType w:val="hybridMultilevel"/>
    <w:lvl w:ilvl="0">
      <w:lvlJc w:val="left"/>
      <w:lvlText w:val="(%1)"/>
      <w:numFmt w:val="lowerRoman"/>
      <w:start w:val="2"/>
    </w:lvl>
  </w:abstractNum>
  <w:abstractNum w:abstractNumId="286">
    <w:nsid w:val="605138DE"/>
    <w:multiLevelType w:val="hybridMultilevel"/>
    <w:lvl w:ilvl="0">
      <w:lvlJc w:val="left"/>
      <w:lvlText w:val="(%1)"/>
      <w:numFmt w:val="upperLetter"/>
      <w:start w:val="1"/>
    </w:lvl>
  </w:abstractNum>
  <w:abstractNum w:abstractNumId="287">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88">
    <w:nsid w:val="6799755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89">
    <w:nsid w:val="18333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0">
    <w:nsid w:val="4BA983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abstractNum>
  <w:abstractNum w:abstractNumId="291">
    <w:nsid w:val="6D71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2">
    <w:nsid w:val="CFC732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3">
    <w:nsid w:val="1421971B"/>
    <w:multiLevelType w:val="hybridMultilevel"/>
    <w:lvl w:ilvl="0">
      <w:lvlJc w:val="left"/>
      <w:lvlText w:val="%1"/>
      <w:numFmt w:val="lowerLetter"/>
      <w:start w:val="1"/>
    </w:lvl>
    <w:lvl w:ilvl="1">
      <w:lvlJc w:val="left"/>
      <w:lvlText w:val="(%2)"/>
      <w:numFmt w:val="lowerRoman"/>
      <w:start w:val="6"/>
    </w:lvl>
  </w:abstractNum>
  <w:abstractNum w:abstractNumId="294">
    <w:nsid w:val="1F404301"/>
    <w:multiLevelType w:val="hybridMultilevel"/>
    <w:lvl w:ilvl="0">
      <w:lvlJc w:val="left"/>
      <w:lvlText w:val="(%1)"/>
      <w:numFmt w:val="lowerLetter"/>
      <w:start w:val="2"/>
    </w:lvl>
    <w:lvl w:ilvl="1">
      <w:lvlJc w:val="left"/>
      <w:lvlText w:val="(%2)"/>
      <w:numFmt w:val="lowerRoman"/>
      <w:start w:val="1"/>
    </w:lvl>
  </w:abstractNum>
  <w:abstractNum w:abstractNumId="295">
    <w:nsid w:val="116E09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296">
    <w:nsid w:val="4B683D0D"/>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297">
    <w:nsid w:val="76E41D8"/>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298">
    <w:nsid w:val="71DCE0FD"/>
    <w:multiLevelType w:val="hybridMultilevel"/>
    <w:lvl w:ilvl="0">
      <w:lvlJc w:val="left"/>
      <w:lvlText w:val="%1"/>
      <w:numFmt w:val="decimal"/>
      <w:start w:val="1"/>
    </w:lvl>
    <w:lvl w:ilvl="1">
      <w:lvlJc w:val="left"/>
      <w:lvlText w:val="(%2)"/>
      <w:numFmt w:val="lowerLetter"/>
      <w:start w:val="2"/>
    </w:lvl>
  </w:abstractNum>
  <w:abstractNum w:abstractNumId="299">
    <w:nsid w:val="7906328B"/>
    <w:multiLevelType w:val="hybridMultilevel"/>
    <w:lvl w:ilvl="0">
      <w:lvlJc w:val="left"/>
      <w:lvlText w:val="%1."/>
      <w:numFmt w:val="decimal"/>
      <w:start w:val="7"/>
    </w:lvl>
    <w:lvl w:ilvl="1">
      <w:lvlJc w:val="left"/>
      <w:lvlText w:val="%2"/>
      <w:numFmt w:val="lowerLetter"/>
      <w:start w:val="1"/>
    </w:lvl>
  </w:abstractNum>
  <w:abstractNum w:abstractNumId="300">
    <w:nsid w:val="72BBC16"/>
    <w:multiLevelType w:val="hybridMultilevel"/>
    <w:lvl w:ilvl="0">
      <w:lvlJc w:val="left"/>
      <w:lvlText w:val="%1."/>
      <w:numFmt w:val="decimal"/>
      <w:start w:val="8"/>
    </w:lvl>
    <w:lvl w:ilvl="1">
      <w:lvlJc w:val="left"/>
      <w:lvlText w:val="(%2)"/>
      <w:numFmt w:val="lowerLetter"/>
      <w:start w:val="1"/>
    </w:lvl>
  </w:abstractNum>
  <w:abstractNum w:abstractNumId="301">
    <w:nsid w:val="766D98C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02">
    <w:nsid w:val="3C09D4A1"/>
    <w:multiLevelType w:val="hybridMultilevel"/>
    <w:lvl w:ilvl="0">
      <w:lvlJc w:val="left"/>
      <w:lvlText w:val="(%1)"/>
      <w:numFmt w:val="lowerLetter"/>
      <w:start w:val="6"/>
    </w:lvl>
  </w:abstractNum>
  <w:abstractNum w:abstractNumId="303">
    <w:nsid w:val="20E45CA4"/>
    <w:multiLevelType w:val="hybridMultilevel"/>
    <w:lvl w:ilvl="0">
      <w:lvlJc w:val="left"/>
      <w:lvlText w:val="%1."/>
      <w:numFmt w:val="decimal"/>
      <w:start w:val="1"/>
    </w:lvl>
  </w:abstractNum>
  <w:abstractNum w:abstractNumId="304">
    <w:nsid w:val="4B232EE3"/>
    <w:multiLevelType w:val="hybridMultilevel"/>
    <w:lvl w:ilvl="0">
      <w:lvlJc w:val="left"/>
      <w:lvlText w:val="%1"/>
      <w:numFmt w:val="lowerLetter"/>
      <w:start w:val="1"/>
    </w:lvl>
    <w:lvl w:ilvl="1">
      <w:lvlJc w:val="left"/>
      <w:lvlText w:val="%2."/>
      <w:numFmt w:val="decimal"/>
      <w:start w:val="2"/>
    </w:lvl>
  </w:abstractNum>
  <w:abstractNum w:abstractNumId="305">
    <w:nsid w:val="159C74CF"/>
    <w:multiLevelType w:val="hybridMultilevel"/>
    <w:lvl w:ilvl="0">
      <w:lvlJc w:val="left"/>
      <w:lvlText w:val="(%1)"/>
      <w:numFmt w:val="lowerLetter"/>
      <w:start w:val="5"/>
    </w:lvl>
    <w:lvl w:ilvl="1">
      <w:lvlJc w:val="left"/>
      <w:lvlText w:val="%2."/>
      <w:numFmt w:val="decimal"/>
      <w:start w:val="3"/>
    </w:lvl>
  </w:abstractNum>
  <w:abstractNum w:abstractNumId="306">
    <w:nsid w:val="4AD3AFD2"/>
    <w:multiLevelType w:val="hybridMultilevel"/>
    <w:lvl w:ilvl="0">
      <w:lvlJc w:val="left"/>
      <w:lvlText w:val="%1."/>
      <w:numFmt w:val="decimal"/>
      <w:start w:val="4"/>
    </w:lvl>
  </w:abstractNum>
  <w:abstractNum w:abstractNumId="307">
    <w:nsid w:val="3CF93092"/>
    <w:multiLevelType w:val="hybridMultilevel"/>
    <w:lvl w:ilvl="0">
      <w:lvlJc w:val="left"/>
      <w:lvlText w:val="%1."/>
      <w:numFmt w:val="decimal"/>
      <w:start w:val="10"/>
    </w:lvl>
  </w:abstractNum>
  <w:abstractNum w:abstractNumId="308">
    <w:nsid w:val="6863E8D2"/>
    <w:multiLevelType w:val="hybridMultilevel"/>
    <w:lvl w:ilvl="0">
      <w:lvlJc w:val="left"/>
      <w:lvlText w:val="%1."/>
      <w:numFmt w:val="decimal"/>
      <w:start w:val="1"/>
    </w:lvl>
    <w:lvl w:ilvl="1">
      <w:lvlJc w:val="left"/>
      <w:lvlText w:val="%2."/>
      <w:numFmt w:val="lowerLetter"/>
      <w:start w:val="1"/>
    </w:lvl>
  </w:abstractNum>
  <w:abstractNum w:abstractNumId="309">
    <w:nsid w:val="76896198"/>
    <w:multiLevelType w:val="hybridMultilevel"/>
    <w:lvl w:ilvl="0">
      <w:lvlJc w:val="left"/>
      <w:lvlText w:val="%1"/>
      <w:numFmt w:val="decimal"/>
      <w:start w:val="1"/>
    </w:lvl>
    <w:lvl w:ilvl="1">
      <w:lvlJc w:val="left"/>
      <w:lvlText w:val="%2."/>
      <w:numFmt w:val="lowerLetter"/>
      <w:start w:val="3"/>
    </w:lvl>
  </w:abstractNum>
  <w:abstractNum w:abstractNumId="310">
    <w:nsid w:val="4365174B"/>
    <w:multiLevelType w:val="hybridMultilevel"/>
    <w:lvl w:ilvl="0">
      <w:lvlJc w:val="left"/>
      <w:lvlText w:val="%1."/>
      <w:numFmt w:val="decimal"/>
      <w:start w:val="2"/>
    </w:lvl>
    <w:lvl w:ilvl="1">
      <w:lvlJc w:val="left"/>
      <w:lvlText w:val="%2."/>
      <w:numFmt w:val="lowerLetter"/>
      <w:start w:val="1"/>
    </w:lvl>
  </w:abstractNum>
  <w:abstractNum w:abstractNumId="311">
    <w:nsid w:val="4A872C35"/>
    <w:multiLevelType w:val="hybridMultilevel"/>
    <w:lvl w:ilvl="0">
      <w:lvlJc w:val="left"/>
      <w:lvlText w:val="%1"/>
      <w:numFmt w:val="decimal"/>
      <w:start w:val="1"/>
    </w:lvl>
    <w:lvl w:ilvl="1">
      <w:lvlJc w:val="left"/>
      <w:lvlText w:val="%2."/>
      <w:numFmt w:val="lowerLetter"/>
      <w:start w:val="3"/>
    </w:lvl>
  </w:abstractNum>
  <w:abstractNum w:abstractNumId="312">
    <w:nsid w:val="5D5CE761"/>
    <w:multiLevelType w:val="hybridMultilevel"/>
    <w:lvl w:ilvl="0">
      <w:lvlJc w:val="left"/>
      <w:lvlText w:val="%1."/>
      <w:numFmt w:val="decimal"/>
      <w:start w:val="3"/>
    </w:lvl>
    <w:lvl w:ilvl="1">
      <w:lvlJc w:val="left"/>
      <w:lvlText w:val="%2."/>
      <w:numFmt w:val="lowerLetter"/>
      <w:start w:val="1"/>
    </w:lvl>
  </w:abstractNum>
  <w:abstractNum w:abstractNumId="313">
    <w:nsid w:val="1CD484D5"/>
    <w:multiLevelType w:val="hybridMultilevel"/>
    <w:lvl w:ilvl="0">
      <w:lvlJc w:val="left"/>
      <w:lvlText w:val="%1."/>
      <w:numFmt w:val="lowerLetter"/>
      <w:start w:val="2"/>
    </w:lvl>
  </w:abstractNum>
  <w:abstractNum w:abstractNumId="314">
    <w:nsid w:val="21D06255"/>
    <w:multiLevelType w:val="hybridMultilevel"/>
    <w:lvl w:ilvl="0">
      <w:lvlJc w:val="left"/>
      <w:lvlText w:val="%1."/>
      <w:numFmt w:val="decimal"/>
      <w:start w:val="4"/>
    </w:lvl>
    <w:lvl w:ilvl="1">
      <w:lvlJc w:val="left"/>
      <w:lvlText w:val="%2."/>
      <w:numFmt w:val="lowerLetter"/>
      <w:start w:val="1"/>
    </w:lvl>
  </w:abstractNum>
  <w:abstractNum w:abstractNumId="315">
    <w:nsid w:val="51194ED1"/>
    <w:multiLevelType w:val="hybridMultilevel"/>
    <w:lvl w:ilvl="0">
      <w:lvlJc w:val="left"/>
      <w:lvlText w:val="1"/>
      <w:numFmt w:val="bullet"/>
      <w:start w:val="1"/>
    </w:lvl>
  </w:abstractNum>
  <w:abstractNum w:abstractNumId="316">
    <w:nsid w:val="44E2ED6C"/>
    <w:multiLevelType w:val="hybridMultilevel"/>
    <w:lvl w:ilvl="0">
      <w:lvlJc w:val="left"/>
      <w:lvlText w:val="%1."/>
      <w:numFmt w:val="lowerLetter"/>
      <w:start w:val="3"/>
    </w:lvl>
  </w:abstractNum>
  <w:abstractNum w:abstractNumId="317">
    <w:nsid w:val="2219B33"/>
    <w:multiLevelType w:val="hybridMultilevel"/>
    <w:lvl w:ilvl="0">
      <w:lvlJc w:val="left"/>
      <w:lvlText w:val="%1."/>
      <w:numFmt w:val="lowerLetter"/>
      <w:start w:val="11"/>
    </w:lvl>
  </w:abstractNum>
  <w:abstractNum w:abstractNumId="318">
    <w:nsid w:val="773BFBDD"/>
    <w:multiLevelType w:val="hybridMultilevel"/>
    <w:lvl w:ilvl="0">
      <w:lvlJc w:val="left"/>
      <w:lvlText w:val="%1."/>
      <w:numFmt w:val="decimal"/>
      <w:start w:val="1"/>
    </w:lvl>
    <w:lvl w:ilvl="1">
      <w:lvlJc w:val="left"/>
      <w:lvlText w:val="(%2)"/>
      <w:numFmt w:val="lowerLetter"/>
      <w:start w:val="1"/>
    </w:lvl>
  </w:abstractNum>
  <w:abstractNum w:abstractNumId="319">
    <w:nsid w:val="2C7C62C2"/>
    <w:multiLevelType w:val="hybridMultilevel"/>
    <w:lvl w:ilvl="0">
      <w:lvlJc w:val="left"/>
      <w:lvlText w:val="%1"/>
      <w:numFmt w:val="decimal"/>
      <w:start w:val="1"/>
    </w:lvl>
    <w:lvl w:ilvl="1">
      <w:lvlJc w:val="left"/>
      <w:lvlText w:val="(%2)"/>
      <w:numFmt w:val="lowerLetter"/>
      <w:start w:val="4"/>
    </w:lvl>
  </w:abstractNum>
  <w:abstractNum w:abstractNumId="320">
    <w:nsid w:val="1A54D7BC"/>
    <w:multiLevelType w:val="hybridMultilevel"/>
    <w:lvl w:ilvl="0">
      <w:lvlJc w:val="left"/>
      <w:lvlText w:val="%1."/>
      <w:numFmt w:val="decimal"/>
      <w:start w:val="2"/>
    </w:lvl>
    <w:lvl w:ilvl="1">
      <w:lvlJc w:val="left"/>
      <w:lvlText w:val="(%2)"/>
      <w:numFmt w:val="lowerLetter"/>
      <w:start w:val="1"/>
    </w:lvl>
  </w:abstractNum>
  <w:abstractNum w:abstractNumId="321">
    <w:nsid w:val="42E57EF7"/>
    <w:multiLevelType w:val="hybridMultilevel"/>
    <w:lvl w:ilvl="0">
      <w:lvlJc w:val="left"/>
      <w:lvlText w:val="(%1)"/>
      <w:numFmt w:val="lowerLetter"/>
      <w:start w:val="2"/>
    </w:lvl>
  </w:abstractNum>
  <w:abstractNum w:abstractNumId="322">
    <w:nsid w:val="33537CE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3">
    <w:nsid w:val="27514ADE"/>
    <w:multiLevelType w:val="hybridMultilevel"/>
    <w:lvl w:ilvl="0">
      <w:lvlJc w:val="left"/>
      <w:lvlText w:val="(%1)"/>
      <w:numFmt w:val="lowerRoman"/>
      <w:start w:val="2"/>
    </w:lvl>
  </w:abstractNum>
  <w:abstractNum w:abstractNumId="324">
    <w:nsid w:val="57071613"/>
    <w:multiLevelType w:val="hybridMultilevel"/>
    <w:lvl w:ilvl="0">
      <w:lvlJc w:val="left"/>
      <w:lvlText w:val="%1"/>
      <w:numFmt w:val="decimal"/>
      <w:start w:val="1"/>
    </w:lvl>
    <w:lvl w:ilvl="1">
      <w:lvlJc w:val="left"/>
      <w:lvlText w:val="(%2)"/>
      <w:numFmt w:val="upperLetter"/>
      <w:start w:val="1"/>
    </w:lvl>
  </w:abstractNum>
  <w:abstractNum w:abstractNumId="325">
    <w:nsid w:val="5293BFEF"/>
    <w:multiLevelType w:val="hybridMultilevel"/>
    <w:lvl w:ilvl="0">
      <w:lvlJc w:val="left"/>
      <w:lvlText w:val="(%1)"/>
      <w:numFmt w:val="decimal"/>
      <w:start w:val="5"/>
    </w:lvl>
    <w:lvl w:ilvl="1">
      <w:lvlJc w:val="left"/>
      <w:lvlText w:val="(%2)"/>
      <w:numFmt w:val="upperLetter"/>
      <w:start w:val="2"/>
    </w:lvl>
  </w:abstractNum>
  <w:abstractNum w:abstractNumId="326">
    <w:nsid w:val="38BF53E5"/>
    <w:multiLevelType w:val="hybridMultilevel"/>
    <w:lvl w:ilvl="0">
      <w:lvlJc w:val="left"/>
      <w:lvlText w:val="%1"/>
      <w:numFmt w:val="decimal"/>
      <w:start w:val="1"/>
    </w:lvl>
    <w:lvl w:ilvl="1">
      <w:lvlJc w:val="left"/>
      <w:lvlText w:val="(%2)"/>
      <w:numFmt w:val="lowerRoman"/>
      <w:start w:val="3"/>
    </w:lvl>
  </w:abstractNum>
  <w:abstractNum w:abstractNumId="327">
    <w:nsid w:val="226F5320"/>
    <w:multiLevelType w:val="hybridMultilevel"/>
    <w:lvl w:ilvl="0">
      <w:lvlJc w:val="left"/>
      <w:lvlText w:val="%1."/>
      <w:numFmt w:val="decimal"/>
      <w:start w:val="3"/>
    </w:lvl>
    <w:lvl w:ilvl="1">
      <w:lvlJc w:val="left"/>
      <w:lvlText w:val="%2"/>
      <w:numFmt w:val="lowerRoman"/>
      <w:start w:val="1"/>
    </w:lvl>
  </w:abstractNum>
  <w:abstractNum w:abstractNumId="328">
    <w:nsid w:val="5A0201C7"/>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29">
    <w:nsid w:val="2A9C34E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0">
    <w:nsid w:val="1B7585AB"/>
    <w:multiLevelType w:val="hybridMultilevel"/>
    <w:lvl w:ilvl="0">
      <w:lvlJc w:val="left"/>
      <w:lvlText w:val="%1"/>
      <w:numFmt w:val="lowerLetter"/>
      <w:start w:val="1"/>
    </w:lvl>
    <w:lvl w:ilvl="1">
      <w:lvlJc w:val="left"/>
      <w:lvlText w:val="(%2)"/>
      <w:numFmt w:val="lowerRoman"/>
      <w:start w:val="4"/>
    </w:lvl>
  </w:abstractNum>
  <w:abstractNum w:abstractNumId="331">
    <w:nsid w:val="612DBDDD"/>
    <w:multiLevelType w:val="hybridMultilevel"/>
    <w:lvl w:ilvl="0">
      <w:lvlJc w:val="left"/>
      <w:lvlText w:val="(%1)"/>
      <w:numFmt w:val="lowerLetter"/>
      <w:start w:val="2"/>
    </w:lvl>
    <w:lvl w:ilvl="1">
      <w:lvlJc w:val="left"/>
      <w:lvlText w:val="(%2)"/>
      <w:numFmt w:val="lowerRoman"/>
      <w:start w:val="1"/>
    </w:lvl>
  </w:abstractNum>
  <w:abstractNum w:abstractNumId="332">
    <w:nsid w:val="2109CDA4"/>
    <w:multiLevelType w:val="hybridMultilevel"/>
    <w:lvl w:ilvl="0">
      <w:lvlJc w:val="left"/>
      <w:lvlText w:val="%1"/>
      <w:numFmt w:val="decimal"/>
      <w:start w:val="1"/>
    </w:lvl>
    <w:lvl w:ilvl="1">
      <w:lvlJc w:val="left"/>
      <w:lvlText w:val="(%2)"/>
      <w:numFmt w:val="lowerLetter"/>
      <w:start w:val="3"/>
    </w:lvl>
  </w:abstractNum>
  <w:abstractNum w:abstractNumId="333">
    <w:nsid w:val="577F5A4D"/>
    <w:multiLevelType w:val="hybridMultilevel"/>
    <w:lvl w:ilvl="0">
      <w:lvlJc w:val="left"/>
      <w:lvlText w:val="%1."/>
      <w:numFmt w:val="decimal"/>
      <w:start w:val="7"/>
    </w:lvl>
    <w:lvl w:ilvl="1">
      <w:lvlJc w:val="left"/>
      <w:lvlText w:val="(%2)"/>
      <w:numFmt w:val="lowerLetter"/>
      <w:start w:val="1"/>
    </w:lvl>
  </w:abstractNum>
  <w:abstractNum w:abstractNumId="334">
    <w:nsid w:val="2121A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5">
    <w:nsid w:val="6C2CFC8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abstractNum>
  <w:abstractNum w:abstractNumId="336">
    <w:nsid w:val="6D1BCF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37">
    <w:nsid w:val="4CE5CA5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8">
    <w:nsid w:val="29262D1A"/>
    <w:multiLevelType w:val="hybridMultilevel"/>
    <w:lvl w:ilvl="0">
      <w:lvlJc w:val="left"/>
      <w:lvlText w:val="(%1)"/>
      <w:numFmt w:val="lowerLetter"/>
      <w:start w:val="3"/>
    </w:lvl>
    <w:lvl w:ilvl="1">
      <w:lvlJc w:val="left"/>
      <w:lvlText w:val="(%2)"/>
      <w:numFmt w:val="lowerRoman"/>
      <w:start w:val="1"/>
    </w:lvl>
  </w:abstractNum>
  <w:abstractNum w:abstractNumId="339">
    <w:nsid w:val="557FB7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40">
    <w:nsid w:val="436F2BEB"/>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341">
    <w:nsid w:val="6C8B4466"/>
    <w:multiLevelType w:val="hybridMultilevel"/>
    <w:lvl w:ilvl="0">
      <w:lvlJc w:val="left"/>
      <w:lvlText w:val="%1"/>
      <w:numFmt w:val="decimal"/>
      <w:start w:val="1"/>
    </w:lvl>
    <w:lvl w:ilvl="1">
      <w:lvlJc w:val="left"/>
      <w:lvlText w:val="(%2)"/>
      <w:numFmt w:val="lowerLetter"/>
      <w:start w:val="2"/>
    </w:lvl>
  </w:abstractNum>
  <w:abstractNum w:abstractNumId="342">
    <w:nsid w:val="2006E424"/>
    <w:multiLevelType w:val="hybridMultilevel"/>
    <w:lvl w:ilvl="0">
      <w:lvlJc w:val="left"/>
      <w:lvlText w:val="%1."/>
      <w:numFmt w:val="decimal"/>
      <w:start w:val="10"/>
    </w:lvl>
    <w:lvl w:ilvl="1">
      <w:lvlJc w:val="left"/>
      <w:lvlText w:val="%2"/>
      <w:numFmt w:val="lowerLetter"/>
      <w:start w:val="1"/>
    </w:lvl>
  </w:abstractNum>
  <w:abstractNum w:abstractNumId="343">
    <w:nsid w:val="20CC134C"/>
    <w:multiLevelType w:val="hybridMultilevel"/>
    <w:lvl w:ilvl="0">
      <w:lvlJc w:val="left"/>
      <w:lvlText w:val="%1."/>
      <w:numFmt w:val="decimal"/>
      <w:start w:val="11"/>
    </w:lvl>
    <w:lvl w:ilvl="1">
      <w:lvlJc w:val="left"/>
      <w:lvlText w:val="(%2)"/>
      <w:numFmt w:val="lowerLetter"/>
      <w:start w:val="1"/>
    </w:lvl>
  </w:abstractNum>
  <w:abstractNum w:abstractNumId="344">
    <w:nsid w:val="95FC9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5">
    <w:nsid w:val="41D7467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46">
    <w:nsid w:val="71E5621E"/>
    <w:multiLevelType w:val="hybridMultilevel"/>
    <w:lvl w:ilvl="0">
      <w:lvlJc w:val="left"/>
      <w:lvlText w:val="(%1)"/>
      <w:numFmt w:val="lowerLetter"/>
      <w:start w:val="5"/>
    </w:lvl>
  </w:abstractNum>
  <w:abstractNum w:abstractNumId="347">
    <w:nsid w:val="4E42B6A8"/>
    <w:multiLevelType w:val="hybridMultilevel"/>
    <w:lvl w:ilvl="0">
      <w:lvlJc w:val="left"/>
      <w:lvlText w:val="%1."/>
      <w:numFmt w:val="decimal"/>
      <w:start w:val="1"/>
    </w:lvl>
  </w:abstractNum>
  <w:abstractNum w:abstractNumId="348">
    <w:nsid w:val="43F8E1AC"/>
    <w:multiLevelType w:val="hybridMultilevel"/>
    <w:lvl w:ilvl="0">
      <w:lvlJc w:val="left"/>
      <w:lvlText w:val="%1"/>
      <w:numFmt w:val="lowerLetter"/>
      <w:start w:val="1"/>
    </w:lvl>
    <w:lvl w:ilvl="1">
      <w:lvlJc w:val="left"/>
      <w:lvlText w:val="%2."/>
      <w:numFmt w:val="decimal"/>
      <w:start w:val="2"/>
    </w:lvl>
  </w:abstractNum>
  <w:abstractNum w:abstractNumId="349">
    <w:nsid w:val="69215DFB"/>
    <w:multiLevelType w:val="hybridMultilevel"/>
    <w:lvl w:ilvl="0">
      <w:lvlJc w:val="left"/>
      <w:lvlText w:val="(%1)"/>
      <w:numFmt w:val="lowerLetter"/>
      <w:start w:val="5"/>
    </w:lvl>
    <w:lvl w:ilvl="1">
      <w:lvlJc w:val="left"/>
      <w:lvlText w:val="%2."/>
      <w:numFmt w:val="decimal"/>
      <w:start w:val="3"/>
    </w:lvl>
  </w:abstractNum>
  <w:abstractNum w:abstractNumId="350">
    <w:nsid w:val="7ABF196A"/>
    <w:multiLevelType w:val="hybridMultilevel"/>
    <w:lvl w:ilvl="0">
      <w:lvlJc w:val="left"/>
      <w:lvlText w:val="%1."/>
      <w:numFmt w:val="decimal"/>
      <w:start w:val="4"/>
    </w:lvl>
  </w:abstractNum>
  <w:abstractNum w:abstractNumId="351">
    <w:nsid w:val="5E4DB968"/>
    <w:multiLevelType w:val="hybridMultilevel"/>
    <w:lvl w:ilvl="0">
      <w:lvlJc w:val="left"/>
      <w:lvlText w:val="%1."/>
      <w:numFmt w:val="decimal"/>
      <w:start w:val="5"/>
    </w:lvl>
  </w:abstractNum>
  <w:abstractNum w:abstractNumId="352">
    <w:nsid w:val="2C06DCF3"/>
    <w:multiLevelType w:val="hybridMultilevel"/>
    <w:lvl w:ilvl="0">
      <w:lvlJc w:val="left"/>
      <w:lvlText w:val="%1."/>
      <w:numFmt w:val="decimal"/>
      <w:start w:val="11"/>
    </w:lvl>
  </w:abstractNum>
  <w:abstractNum w:abstractNumId="353">
    <w:nsid w:val="2E129658"/>
    <w:multiLevelType w:val="hybridMultilevel"/>
    <w:lvl w:ilvl="0">
      <w:lvlJc w:val="left"/>
      <w:lvlText w:val="%1."/>
      <w:numFmt w:val="decimal"/>
      <w:start w:val="1"/>
    </w:lvl>
  </w:abstractNum>
  <w:abstractNum w:abstractNumId="354">
    <w:nsid w:val="59F0446"/>
    <w:multiLevelType w:val="hybridMultilevel"/>
    <w:lvl w:ilvl="0">
      <w:lvlJc w:val="left"/>
      <w:lvlText w:val="(%1)"/>
      <w:numFmt w:val="lowerLetter"/>
      <w:start w:val="1"/>
    </w:lvl>
  </w:abstractNum>
  <w:abstractNum w:abstractNumId="355">
    <w:nsid w:val="30DF306"/>
    <w:multiLevelType w:val="hybridMultilevel"/>
    <w:lvl w:ilvl="0">
      <w:lvlJc w:val="left"/>
      <w:lvlText w:val="(%1)"/>
      <w:numFmt w:val="lowerLetter"/>
      <w:start w:val="2"/>
    </w:lvl>
  </w:abstractNum>
  <w:abstractNum w:abstractNumId="356">
    <w:nsid w:val="A65647"/>
    <w:multiLevelType w:val="hybridMultilevel"/>
    <w:lvl w:ilvl="0">
      <w:lvlJc w:val="left"/>
      <w:lvlText w:val="%1."/>
      <w:numFmt w:val="decimal"/>
      <w:start w:val="2"/>
    </w:lvl>
  </w:abstractNum>
  <w:abstractNum w:abstractNumId="357">
    <w:nsid w:val="3E5E582B"/>
    <w:multiLevelType w:val="hybridMultilevel"/>
    <w:lvl w:ilvl="0">
      <w:lvlJc w:val="left"/>
      <w:lvlText w:val="(%1)"/>
      <w:numFmt w:val="lowerLetter"/>
      <w:start w:val="1"/>
    </w:lvl>
  </w:abstractNum>
  <w:abstractNum w:abstractNumId="358">
    <w:nsid w:val="257D4626"/>
    <w:multiLevelType w:val="hybridMultilevel"/>
    <w:lvl w:ilvl="0">
      <w:lvlJc w:val="left"/>
      <w:lvlText w:val="(%1)"/>
      <w:numFmt w:val="lowerLetter"/>
      <w:start w:val="3"/>
    </w:lvl>
  </w:abstractNum>
  <w:abstractNum w:abstractNumId="359">
    <w:nsid w:val="5AA8580E"/>
    <w:multiLevelType w:val="hybridMultilevel"/>
    <w:lvl w:ilvl="0">
      <w:lvlJc w:val="left"/>
      <w:lvlText w:val="%1."/>
      <w:numFmt w:val="decimal"/>
      <w:start w:val="3"/>
    </w:lvl>
  </w:abstractNum>
  <w:abstractNum w:abstractNumId="360">
    <w:nsid w:val="68FA8D0D"/>
    <w:multiLevelType w:val="hybridMultilevel"/>
    <w:lvl w:ilvl="0">
      <w:lvlJc w:val="left"/>
      <w:lvlText w:val="%1."/>
      <w:numFmt w:val="decimal"/>
      <w:start w:val="4"/>
    </w:lvl>
  </w:abstractNum>
  <w:abstractNum w:abstractNumId="361">
    <w:nsid w:val="40F2CBD2"/>
    <w:multiLevelType w:val="hybridMultilevel"/>
    <w:lvl w:ilvl="0">
      <w:lvlJc w:val="left"/>
      <w:lvlText w:val="%1."/>
      <w:numFmt w:val="decimal"/>
      <w:start w:val="5"/>
    </w:lvl>
  </w:abstractNum>
  <w:abstractNum w:abstractNumId="362">
    <w:nsid w:val="3BD615EB"/>
    <w:multiLevelType w:val="hybridMultilevel"/>
    <w:lvl w:ilvl="0">
      <w:lvlJc w:val="left"/>
      <w:lvlText w:val="(%1)"/>
      <w:numFmt w:val="lowerLetter"/>
      <w:start w:val="1"/>
    </w:lvl>
  </w:abstractNum>
  <w:abstractNum w:abstractNumId="363">
    <w:nsid w:val="A045AB2"/>
    <w:multiLevelType w:val="hybridMultilevel"/>
    <w:lvl w:ilvl="0">
      <w:lvlJc w:val="left"/>
      <w:lvlText w:val="(%1)"/>
      <w:numFmt w:val="lowerLetter"/>
      <w:start w:val="4"/>
    </w:lvl>
  </w:abstractNum>
  <w:abstractNum w:abstractNumId="364">
    <w:nsid w:val="1872261F"/>
    <w:multiLevelType w:val="hybridMultilevel"/>
    <w:lvl w:ilvl="0">
      <w:lvlJc w:val="left"/>
      <w:lvlText w:val="1"/>
      <w:numFmt w:val="bullet"/>
      <w:start w:val="1"/>
    </w:lvl>
  </w:abstractNum>
  <w:abstractNum w:abstractNumId="365">
    <w:nsid w:val="3DE8306C"/>
    <w:multiLevelType w:val="hybridMultilevel"/>
    <w:lvl w:ilvl="0">
      <w:lvlJc w:val="left"/>
      <w:lvlText w:val="2"/>
      <w:numFmt w:val="bullet"/>
      <w:start w:val="1"/>
    </w:lvl>
  </w:abstractNum>
  <w:abstractNum w:abstractNumId="366">
    <w:nsid w:val="7631573A"/>
    <w:multiLevelType w:val="hybridMultilevel"/>
    <w:lvl w:ilvl="0">
      <w:lvlJc w:val="left"/>
      <w:lvlText w:val="3"/>
      <w:numFmt w:val="bullet"/>
      <w:start w:val="1"/>
    </w:lvl>
  </w:abstractNum>
  <w:abstractNum w:abstractNumId="367">
    <w:nsid w:val="58DF53B"/>
    <w:multiLevelType w:val="hybridMultilevel"/>
    <w:lvl w:ilvl="0">
      <w:lvlJc w:val="left"/>
      <w:lvlText w:val="4"/>
      <w:numFmt w:val="bullet"/>
      <w:start w:val="1"/>
    </w:lvl>
  </w:abstractNum>
  <w:abstractNum w:abstractNumId="368">
    <w:nsid w:val="ACDFAC0"/>
    <w:multiLevelType w:val="hybridMultilevel"/>
    <w:lvl w:ilvl="0">
      <w:lvlJc w:val="left"/>
      <w:lvlText w:val="5"/>
      <w:numFmt w:val="bullet"/>
      <w:start w:val="1"/>
    </w:lvl>
  </w:abstractNum>
  <w:abstractNum w:abstractNumId="369">
    <w:nsid w:val="1F578454"/>
    <w:multiLevelType w:val="hybridMultilevel"/>
    <w:lvl w:ilvl="0">
      <w:lvlJc w:val="left"/>
      <w:lvlText w:val="6"/>
      <w:numFmt w:val="bullet"/>
      <w:start w:val="1"/>
    </w:lvl>
  </w:abstractNum>
  <w:abstractNum w:abstractNumId="370">
    <w:nsid w:val="5B0DAD2A"/>
    <w:multiLevelType w:val="hybridMultilevel"/>
    <w:lvl w:ilvl="0">
      <w:lvlJc w:val="left"/>
      <w:lvlText w:val="7"/>
      <w:numFmt w:val="bullet"/>
      <w:start w:val="1"/>
    </w:lvl>
  </w:abstractNum>
  <w:abstractNum w:abstractNumId="371">
    <w:nsid w:val="4E3D26AB"/>
    <w:multiLevelType w:val="hybridMultilevel"/>
    <w:lvl w:ilvl="0">
      <w:lvlJc w:val="left"/>
      <w:lvlText w:val="8"/>
      <w:numFmt w:val="bullet"/>
      <w:start w:val="1"/>
    </w:lvl>
  </w:abstractNum>
  <w:abstractNum w:abstractNumId="372">
    <w:nsid w:val="BE2C8BA"/>
    <w:multiLevelType w:val="hybridMultilevel"/>
    <w:lvl w:ilvl="0">
      <w:lvlJc w:val="left"/>
      <w:lvlText w:val="(%1)"/>
      <w:numFmt w:val="decimal"/>
      <w:start w:val="5"/>
    </w:lvl>
  </w:abstractNum>
  <w:abstractNum w:abstractNumId="373">
    <w:nsid w:val="7B14914E"/>
    <w:multiLevelType w:val="hybridMultilevel"/>
    <w:lvl w:ilvl="0">
      <w:lvlJc w:val="left"/>
      <w:lvlText w:val="(%1)"/>
      <w:numFmt w:val="decimal"/>
      <w:start w:val="48"/>
    </w:lvl>
  </w:abstractNum>
  <w:abstractNum w:abstractNumId="374">
    <w:nsid w:val="6F0939F8"/>
    <w:multiLevelType w:val="hybridMultilevel"/>
    <w:lvl w:ilvl="0">
      <w:lvlJc w:val="left"/>
      <w:lvlText w:val="(%1)"/>
      <w:numFmt w:val="lowerRoman"/>
      <w:start w:val="6"/>
    </w:lvl>
  </w:abstractNum>
  <w:abstractNum w:abstractNumId="375">
    <w:nsid w:val="154291F6"/>
    <w:multiLevelType w:val="hybridMultilevel"/>
    <w:lvl w:ilvl="0">
      <w:lvlJc w:val="left"/>
      <w:lvlText w:val="(%1)"/>
      <w:numFmt w:val="decimal"/>
      <w:start w:val="30"/>
    </w:lvl>
  </w:abstractNum>
  <w:abstractNum w:abstractNumId="376">
    <w:nsid w:val="3CEBD7C7"/>
    <w:multiLevelType w:val="hybridMultilevel"/>
    <w:lvl w:ilvl="0">
      <w:lvlJc w:val="left"/>
      <w:lvlText w:val="(%1)"/>
      <w:numFmt w:val="lowerRoman"/>
      <w:start w:val="1"/>
    </w:lvl>
  </w:abstractNum>
  <w:abstractNum w:abstractNumId="377">
    <w:nsid w:val="60EE9C16"/>
    <w:multiLevelType w:val="hybridMultilevel"/>
    <w:lvl w:ilvl="0">
      <w:lvlJc w:val="left"/>
      <w:lvlText w:val="•"/>
      <w:numFmt w:val="bullet"/>
      <w:start w:val="1"/>
    </w:lvl>
  </w:abstractNum>
  <w:abstractNum w:abstractNumId="378">
    <w:nsid w:val="6385489E"/>
    <w:multiLevelType w:val="hybridMultilevel"/>
    <w:lvl w:ilvl="0">
      <w:lvlJc w:val="left"/>
      <w:lvlText w:val="•"/>
      <w:numFmt w:val="bullet"/>
      <w:start w:val="1"/>
    </w:lvl>
  </w:abstractNum>
  <w:abstractNum w:abstractNumId="379">
    <w:nsid w:val="E4B973"/>
    <w:multiLevelType w:val="hybridMultilevel"/>
    <w:lvl w:ilvl="0">
      <w:lvlJc w:val="left"/>
      <w:lvlText w:val="(%1)"/>
      <w:numFmt w:val="upperLetter"/>
      <w:start w:val="1"/>
    </w:lvl>
  </w:abstractNum>
  <w:abstractNum w:abstractNumId="380">
    <w:nsid w:val="4A0FFA11"/>
    <w:multiLevelType w:val="hybridMultilevel"/>
    <w:lvl w:ilvl="0">
      <w:lvlJc w:val="left"/>
      <w:lvlText w:val="(%1)"/>
      <w:numFmt w:val="lowerLetter"/>
      <w:start w:val="1"/>
    </w:lvl>
  </w:abstractNum>
  <w:abstractNum w:abstractNumId="381">
    <w:nsid w:val="5E446208"/>
    <w:multiLevelType w:val="hybridMultilevel"/>
    <w:lvl w:ilvl="0">
      <w:lvlJc w:val="left"/>
      <w:lvlText w:val="(%1)"/>
      <w:numFmt w:val="lowerLetter"/>
      <w:start w:val="3"/>
    </w:lvl>
  </w:abstractNum>
  <w:abstractNum w:abstractNumId="382">
    <w:nsid w:val="5F3272DB"/>
    <w:multiLevelType w:val="hybridMultilevel"/>
    <w:lvl w:ilvl="0">
      <w:lvlJc w:val="left"/>
      <w:lvlText w:val="(%1)"/>
      <w:numFmt w:val="lowerLetter"/>
      <w:start w:val="6"/>
    </w:lvl>
  </w:abstractNum>
  <w:abstractNum w:abstractNumId="383">
    <w:nsid w:val="7616D704"/>
    <w:multiLevelType w:val="hybridMultilevel"/>
    <w:lvl w:ilvl="0">
      <w:lvlJc w:val="left"/>
      <w:lvlText w:val="(%1)"/>
      <w:numFmt w:val="lowerRoman"/>
      <w:start w:val="1"/>
    </w:lvl>
  </w:abstractNum>
  <w:abstractNum w:abstractNumId="384">
    <w:nsid w:val="C56F86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85">
    <w:nsid w:val="64D17722"/>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386">
    <w:nsid w:val="7924CA0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87">
    <w:nsid w:val="CFD4EA7"/>
    <w:multiLevelType w:val="hybridMultilevel"/>
    <w:lvl w:ilvl="0">
      <w:lvlJc w:val="left"/>
      <w:lvlText w:val="(%1)"/>
      <w:numFmt w:val="upperLetter"/>
      <w:start w:val="1"/>
    </w:lvl>
  </w:abstractNum>
  <w:abstractNum w:abstractNumId="388">
    <w:nsid w:val="232FCF4D"/>
    <w:multiLevelType w:val="hybridMultilevel"/>
    <w:lvl w:ilvl="0">
      <w:lvlJc w:val="left"/>
      <w:lvlText w:val="(%1)"/>
      <w:numFmt w:val="lowerLetter"/>
      <w:start w:val="1"/>
    </w:lvl>
  </w:abstractNum>
  <w:abstractNum w:abstractNumId="389">
    <w:nsid w:val="1EA21031"/>
    <w:multiLevelType w:val="hybridMultilevel"/>
    <w:lvl w:ilvl="0">
      <w:lvlJc w:val="left"/>
      <w:lvlText w:val="(%1)"/>
      <w:numFmt w:val="lowerLetter"/>
      <w:start w:val="6"/>
    </w:lvl>
  </w:abstractNum>
  <w:abstractNum w:abstractNumId="390">
    <w:nsid w:val="67A5A6B5"/>
    <w:multiLevelType w:val="hybridMultilevel"/>
    <w:lvl w:ilvl="0">
      <w:lvlJc w:val="left"/>
      <w:lvlText w:val="(%1)"/>
      <w:numFmt w:val="lowerRoman"/>
      <w:start w:val="6"/>
    </w:lvl>
  </w:abstractNum>
  <w:abstractNum w:abstractNumId="391">
    <w:nsid w:val="C2A5C5B"/>
    <w:multiLevelType w:val="hybridMultilevel"/>
    <w:lvl w:ilvl="0">
      <w:lvlJc w:val="left"/>
      <w:lvlText w:val="(%1)"/>
      <w:numFmt w:val="decimal"/>
      <w:start w:val="1"/>
    </w:lvl>
  </w:abstractNum>
  <w:abstractNum w:abstractNumId="392">
    <w:nsid w:val="5F94DC03"/>
    <w:multiLevelType w:val="hybridMultilevel"/>
    <w:lvl w:ilvl="0">
      <w:lvlJc w:val="left"/>
      <w:lvlText w:val="(%1)"/>
      <w:numFmt w:val="decimal"/>
      <w:start w:val="1"/>
    </w:lvl>
  </w:abstractNum>
  <w:abstractNum w:abstractNumId="393">
    <w:nsid w:val="237BBCA0"/>
    <w:multiLevelType w:val="hybridMultilevel"/>
    <w:lvl w:ilvl="0">
      <w:lvlJc w:val="left"/>
      <w:lvlText w:val="(%1)"/>
      <w:numFmt w:val="decimal"/>
      <w:start w:val="3"/>
    </w:lvl>
  </w:abstractNum>
  <w:abstractNum w:abstractNumId="394">
    <w:nsid w:val="162EB70D"/>
    <w:multiLevelType w:val="hybridMultilevel"/>
    <w:lvl w:ilvl="0">
      <w:lvlJc w:val="left"/>
      <w:lvlText w:val="•"/>
      <w:numFmt w:val="bullet"/>
      <w:start w:val="1"/>
    </w:lvl>
    <w:lvl w:ilvl="1">
      <w:lvlJc w:val="left"/>
      <w:lvlText w:val="(%2)"/>
      <w:numFmt w:val="decimal"/>
      <w:start w:val="1"/>
    </w:lvl>
  </w:abstractNum>
  <w:abstractNum w:abstractNumId="395">
    <w:nsid w:val="78070222"/>
    <w:multiLevelType w:val="hybridMultilevel"/>
    <w:lvl w:ilvl="0">
      <w:lvlJc w:val="left"/>
      <w:lvlText w:val="(%1)"/>
      <w:numFmt w:val="lowerRoman"/>
      <w:start w:val="3"/>
    </w:lvl>
  </w:abstractNum>
  <w:abstractNum w:abstractNumId="396">
    <w:nsid w:val="6163ED0D"/>
    <w:multiLevelType w:val="hybridMultilevel"/>
    <w:lvl w:ilvl="0">
      <w:lvlJc w:val="left"/>
      <w:lvlText w:val="(%1)"/>
      <w:numFmt w:val="lowerRoman"/>
      <w:start w:val="2"/>
    </w:lvl>
  </w:abstractNum>
  <w:abstractNum w:abstractNumId="397">
    <w:nsid w:val="C600E47"/>
    <w:multiLevelType w:val="hybridMultilevel"/>
    <w:lvl w:ilvl="0">
      <w:lvlJc w:val="left"/>
      <w:lvlText w:val="(%1)"/>
      <w:numFmt w:val="lowerRoman"/>
      <w:start w:val="3"/>
    </w:lvl>
  </w:abstractNum>
  <w:abstractNum w:abstractNumId="398">
    <w:nsid w:val="7D94F75D"/>
    <w:multiLevelType w:val="hybridMultilevel"/>
    <w:lvl w:ilvl="0">
      <w:lvlJc w:val="left"/>
      <w:lvlText w:val="(%1)"/>
      <w:numFmt w:val="lowerLetter"/>
      <w:start w:val="2"/>
    </w:lvl>
  </w:abstractNum>
  <w:abstractNum w:abstractNumId="399">
    <w:nsid w:val="6C31E7CD"/>
    <w:multiLevelType w:val="hybridMultilevel"/>
    <w:lvl w:ilvl="0">
      <w:lvlJc w:val="left"/>
      <w:lvlText w:val="(%1)"/>
      <w:numFmt w:val="decimal"/>
      <w:start w:val="3"/>
    </w:lvl>
  </w:abstractNum>
  <w:abstractNum w:abstractNumId="400">
    <w:nsid w:val="2BB7929B"/>
    <w:multiLevelType w:val="hybridMultilevel"/>
    <w:lvl w:ilvl="0">
      <w:lvlJc w:val="left"/>
      <w:lvlText w:val="(%1)"/>
      <w:numFmt w:val="decimal"/>
      <w:start w:val="14"/>
    </w:lvl>
  </w:abstractNum>
  <w:abstractNum w:abstractNumId="401">
    <w:nsid w:val="58A2A487"/>
    <w:multiLevelType w:val="hybridMultilevel"/>
    <w:lvl w:ilvl="0">
      <w:lvlJc w:val="left"/>
      <w:lvlText w:val="(%1)"/>
      <w:numFmt w:val="decimal"/>
      <w:start w:val="20"/>
    </w:lvl>
  </w:abstractNum>
  <w:abstractNum w:abstractNumId="402">
    <w:nsid w:val="3A6F0E78"/>
    <w:multiLevelType w:val="hybridMultilevel"/>
    <w:lvl w:ilvl="0">
      <w:lvlJc w:val="left"/>
      <w:lvlText w:val="(%1)"/>
      <w:numFmt w:val="lowerLetter"/>
      <w:start w:val="2"/>
    </w:lvl>
  </w:abstractNum>
  <w:abstractNum w:abstractNumId="403">
    <w:nsid w:val="379A5B56"/>
    <w:multiLevelType w:val="hybridMultilevel"/>
    <w:lvl w:ilvl="0">
      <w:lvlJc w:val="left"/>
      <w:lvlText w:val="(%1)"/>
      <w:numFmt w:val="lowerRoman"/>
      <w:start w:val="9"/>
    </w:lvl>
  </w:abstractNum>
  <w:abstractNum w:abstractNumId="404">
    <w:nsid w:val="53B735D5"/>
    <w:multiLevelType w:val="hybridMultilevel"/>
    <w:lvl w:ilvl="0">
      <w:lvlJc w:val="left"/>
      <w:lvlText w:val="•"/>
      <w:numFmt w:val="bullet"/>
      <w:start w:val="1"/>
    </w:lvl>
  </w:abstractNum>
  <w:abstractNum w:abstractNumId="405">
    <w:nsid w:val="29784870"/>
    <w:multiLevelType w:val="hybridMultilevel"/>
    <w:lvl w:ilvl="0">
      <w:lvlJc w:val="left"/>
      <w:lvlText w:val="•"/>
      <w:numFmt w:val="bullet"/>
      <w:start w:val="1"/>
    </w:lvl>
  </w:abstractNum>
  <w:abstractNum w:abstractNumId="406">
    <w:nsid w:val="4CDCED4C"/>
    <w:multiLevelType w:val="hybridMultilevel"/>
    <w:lvl w:ilvl="0">
      <w:lvlJc w:val="left"/>
      <w:lvlText w:val="•"/>
      <w:numFmt w:val="bullet"/>
      <w:start w:val="1"/>
    </w:lvl>
  </w:abstractNum>
  <w:abstractNum w:abstractNumId="407">
    <w:nsid w:val="10A30D9C"/>
    <w:multiLevelType w:val="hybridMultilevel"/>
    <w:lvl w:ilvl="0">
      <w:lvlJc w:val="left"/>
      <w:lvlText w:val="(%1)"/>
      <w:numFmt w:val="lowerRoman"/>
      <w:start w:val="5"/>
    </w:lvl>
  </w:abstractNum>
  <w:abstractNum w:abstractNumId="408">
    <w:nsid w:val="A66E486"/>
    <w:multiLevelType w:val="hybridMultilevel"/>
    <w:lvl w:ilvl="0">
      <w:lvlJc w:val="left"/>
      <w:lvlText w:val="•"/>
      <w:numFmt w:val="bullet"/>
      <w:start w:val="1"/>
    </w:lvl>
  </w:abstractNum>
  <w:abstractNum w:abstractNumId="409">
    <w:nsid w:val="306235EA"/>
    <w:multiLevelType w:val="hybridMultilevel"/>
    <w:lvl w:ilvl="0">
      <w:lvlJc w:val="left"/>
      <w:lvlText w:val="•"/>
      <w:numFmt w:val="bullet"/>
      <w:start w:val="1"/>
    </w:lvl>
  </w:abstractNum>
  <w:abstractNum w:abstractNumId="410">
    <w:nsid w:val="1187C70F"/>
    <w:multiLevelType w:val="hybridMultilevel"/>
    <w:lvl w:ilvl="0">
      <w:lvlJc w:val="left"/>
      <w:lvlText w:val="(%1)"/>
      <w:numFmt w:val="lowerRoman"/>
      <w:start w:val="1"/>
    </w:lvl>
  </w:abstractNum>
  <w:abstractNum w:abstractNumId="411">
    <w:nsid w:val="5476DE98"/>
    <w:multiLevelType w:val="hybridMultilevel"/>
    <w:lvl w:ilvl="0">
      <w:lvlJc w:val="left"/>
      <w:lvlText w:val="(%1)"/>
      <w:numFmt w:val="decimal"/>
      <w:start w:val="1"/>
    </w:lvl>
  </w:abstractNum>
  <w:abstractNum w:abstractNumId="412">
    <w:nsid w:val="EA697F2"/>
    <w:multiLevelType w:val="hybridMultilevel"/>
    <w:lvl w:ilvl="0">
      <w:lvlJc w:val="left"/>
      <w:lvlText w:val="(%1)"/>
      <w:numFmt w:val="decimal"/>
      <w:start w:val="1"/>
    </w:lvl>
  </w:abstractNum>
  <w:abstractNum w:abstractNumId="413">
    <w:nsid w:val="70BA39EB"/>
    <w:multiLevelType w:val="hybridMultilevel"/>
    <w:lvl w:ilvl="0">
      <w:lvlJc w:val="left"/>
      <w:lvlText w:val="(%1)"/>
      <w:numFmt w:val="decimal"/>
      <w:start w:val="1"/>
    </w:lvl>
  </w:abstractNum>
  <w:abstractNum w:abstractNumId="414">
    <w:nsid w:val="4A8DB59C"/>
    <w:multiLevelType w:val="hybridMultilevel"/>
    <w:lvl w:ilvl="0">
      <w:lvlJc w:val="left"/>
      <w:lvlText w:val="(%1)"/>
      <w:numFmt w:val="lowerRoman"/>
      <w:start w:val="1"/>
    </w:lvl>
  </w:abstractNum>
  <w:abstractNum w:abstractNumId="415">
    <w:nsid w:val="1AFD905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8"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7"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9" Type="http://schemas.openxmlformats.org/officeDocument/2006/relationships/image" Target="media/image31.png"/><Relationship Id="rId55"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421" Type="http://schemas.openxmlformats.org/officeDocument/2006/relationships/image" Target="media/image396.png"/><Relationship Id="rId422" Type="http://schemas.openxmlformats.org/officeDocument/2006/relationships/image" Target="media/image397.png"/><Relationship Id="rId423" Type="http://schemas.openxmlformats.org/officeDocument/2006/relationships/image" Target="media/image398.png"/><Relationship Id="rId424" Type="http://schemas.openxmlformats.org/officeDocument/2006/relationships/image" Target="media/image399.png"/><Relationship Id="rId425" Type="http://schemas.openxmlformats.org/officeDocument/2006/relationships/image" Target="media/image400.png"/><Relationship Id="rId426"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jpe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jpe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jpeg"/><Relationship Id="rId461" Type="http://schemas.openxmlformats.org/officeDocument/2006/relationships/image" Target="media/image436.jpeg"/><Relationship Id="rId462" Type="http://schemas.openxmlformats.org/officeDocument/2006/relationships/image" Target="media/image437.jpe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jpe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25" Type="http://schemas.openxmlformats.org/officeDocument/2006/relationships/hyperlink" Target="http://www.sec.gov/Archives/edgar/data/1801170/000119312520316032/d69158d424b3.htm#toc69158_14" TargetMode="External"/><Relationship Id="rId27" Type="http://schemas.openxmlformats.org/officeDocument/2006/relationships/hyperlink" Target="http://www.sec.gov/Archives/edgar/data/1801170/000119312520316032/d69158d424b3.htm#toc69158_12" TargetMode="External"/><Relationship Id="rId29" Type="http://schemas.openxmlformats.org/officeDocument/2006/relationships/hyperlink" Target="http://www.sec.gov/Archives/edgar/data/1801170/000119312520316032/d69158d424b3.htm#toc69158_33" TargetMode="External"/><Relationship Id="rId30" Type="http://schemas.openxmlformats.org/officeDocument/2006/relationships/hyperlink" Target="http://www.sec.gov/Archives/edgar/data/1801170/000119312520316032/d69158d424b3.htm#toc69158_33a" TargetMode="External"/><Relationship Id="rId34" Type="http://schemas.openxmlformats.org/officeDocument/2006/relationships/hyperlink" Target="http://www.sec.gov/Archives/edgar/data/1801170/000119312520316032/d69158d424b3.htm#toc69158_22" TargetMode="External"/><Relationship Id="rId35" Type="http://schemas.openxmlformats.org/officeDocument/2006/relationships/hyperlink" Target="http://www.sec.gov/Archives/edgar/data/1801170/000119312520316032/d69158d424b3.htm#toc69158_34" TargetMode="External"/><Relationship Id="rId36" Type="http://schemas.openxmlformats.org/officeDocument/2006/relationships/hyperlink" Target="http://www.sec.gov/Archives/edgar/data/1801170/000119312520316032/d69158d424b3.htm#toc69158_35" TargetMode="External"/><Relationship Id="rId38" Type="http://schemas.openxmlformats.org/officeDocument/2006/relationships/hyperlink" Target="http://www.sec.gov/Archives/edgar/data/1801170/000119312520316032/d69158d424b3.htm#toc69158_11" TargetMode="External"/><Relationship Id="rId39" Type="http://schemas.openxmlformats.org/officeDocument/2006/relationships/hyperlink" Target="http://www.sec.gov/Archives/edgar/data/1801170/000119312520316032/d69158d424b3.htm#toc69158_39" TargetMode="External"/><Relationship Id="rId45" Type="http://schemas.openxmlformats.org/officeDocument/2006/relationships/hyperlink" Target="http://www.sec.gov/Archives/edgar/data/1801170/000119312520316032/d69158d424b3.htm#toc69158_25" TargetMode="External"/><Relationship Id="rId48" Type="http://schemas.openxmlformats.org/officeDocument/2006/relationships/hyperlink" Target="http://www.sec.gov/Archives/edgar/data/1801170/000119312520316032/d69158d424b3.htm#toc69158_24" TargetMode="External"/><Relationship Id="rId50" Type="http://schemas.openxmlformats.org/officeDocument/2006/relationships/hyperlink" Target="http://www.sec.gov/Archives/edgar/data/1801170/000119312520316032/d69158d424b3.htm#toc69158_15" TargetMode="External"/><Relationship Id="rId51" Type="http://schemas.openxmlformats.org/officeDocument/2006/relationships/hyperlink" Target="http://www.sec.gov/Archives/edgar/data/1801170/000119312520316032/d69158d424b3.htm#toc69158_16" TargetMode="External"/><Relationship Id="rId52" Type="http://schemas.openxmlformats.org/officeDocument/2006/relationships/hyperlink" Target="http://www.sec.gov/Archives/edgar/data/1801170/000110465920112403/tm2032431d1_ex2-1.htm" TargetMode="External"/><Relationship Id="rId53" Type="http://schemas.openxmlformats.org/officeDocument/2006/relationships/hyperlink" Target="http://www.sec.gov/Archives/edgar/data/1801170/000119312520314423/d14732dex21.htm" TargetMode="External"/><Relationship Id="rId54" Type="http://schemas.openxmlformats.org/officeDocument/2006/relationships/hyperlink" Target="http://www.sec.gov/Archives/edgar/data/1801170/000110465920051086/tm2016603d2_ex4-1.htm" TargetMode="External"/><Relationship Id="rId56" Type="http://schemas.openxmlformats.org/officeDocument/2006/relationships/hyperlink" Target="http://www.sec.gov/Archives/edgar/data/1801170/000119312520298445/d69158dex45.htm" TargetMode="External"/><Relationship Id="rId57" Type="http://schemas.openxmlformats.org/officeDocument/2006/relationships/hyperlink" Target="http://www.sec.gov/Archives/edgar/data/1801170/000119312520298445/d69158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2021-01-13T15:05:16Z</dcterms:created>
  <dcterms:modified xsi:type="dcterms:W3CDTF">2021-01-13T15:05:16Z</dcterms:modified>
</cp:coreProperties>
</file>