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png" ContentType="image/pn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lineRule="auto" w:line="288" w:before="0" w:after="0"/>
        <w:rPr>
          <w:rFonts w:ascii="Arial;sans-serif" w:hAnsi="Arial;sans-serif"/>
          <w:b w:val="false"/>
          <w:color w:val="000000"/>
          <w:sz w:val="2"/>
        </w:rPr>
      </w:pPr>
      <w:r>
        <w:rPr>
          <w:rFonts w:ascii="Arial;sans-serif" w:hAnsi="Arial;sans-serif"/>
          <w:b w:val="false"/>
          <w:color w:val="000000"/>
          <w:sz w:val="2"/>
        </w:rPr>
        <w:t>fl2w</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rPr>
          <w:rFonts w:ascii="Times New Roman;sans-serif" w:hAnsi="Times New Roman;sans-serif"/>
          <w:b/>
          <w:color w:val="000000"/>
          <w:sz w:val="16"/>
        </w:rPr>
      </w:pPr>
      <w:r>
        <w:rPr>
          <w:rFonts w:ascii="Times New Roman;sans-serif" w:hAnsi="Times New Roman;sans-serif"/>
          <w:b/>
          <w:color w:val="000000"/>
          <w:sz w:val="16"/>
        </w:rPr>
        <w:t>(Mark One)</w:t>
      </w:r>
    </w:p>
    <w:tbl>
      <w:tblPr>
        <w:tblW w:w="10205" w:type="dxa"/>
        <w:jc w:val="left"/>
        <w:tblInd w:w="0" w:type="dxa"/>
        <w:tblCellMar>
          <w:top w:w="28" w:type="dxa"/>
          <w:left w:w="28" w:type="dxa"/>
          <w:bottom w:w="28" w:type="dxa"/>
          <w:right w:w="28" w:type="dxa"/>
        </w:tblCellMar>
      </w:tblPr>
      <w:tblGrid>
        <w:gridCol w:w="124"/>
        <w:gridCol w:w="109"/>
        <w:gridCol w:w="109"/>
        <w:gridCol w:w="2885"/>
        <w:gridCol w:w="2885"/>
        <w:gridCol w:w="4093"/>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2885" w:type="dxa"/>
            <w:tcBorders/>
            <w:shd w:fill="auto" w:val="clear"/>
            <w:vAlign w:val="center"/>
          </w:tcPr>
          <w:p>
            <w:pPr>
              <w:pStyle w:val="TableContents"/>
              <w:spacing w:before="0" w:after="283"/>
              <w:rPr>
                <w:sz w:val="4"/>
                <w:szCs w:val="4"/>
              </w:rPr>
            </w:pPr>
            <w:r>
              <w:rPr>
                <w:sz w:val="4"/>
                <w:szCs w:val="4"/>
              </w:rPr>
            </w:r>
          </w:p>
        </w:tc>
        <w:tc>
          <w:tcPr>
            <w:tcW w:w="4093"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2023</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8"/>
        <w:gridCol w:w="2888"/>
        <w:gridCol w:w="408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2888" w:type="dxa"/>
            <w:tcBorders/>
            <w:shd w:fill="auto" w:val="clear"/>
            <w:vAlign w:val="center"/>
          </w:tcPr>
          <w:p>
            <w:pPr>
              <w:pStyle w:val="TableContents"/>
              <w:spacing w:before="0" w:after="283"/>
              <w:rPr>
                <w:sz w:val="4"/>
                <w:szCs w:val="4"/>
              </w:rPr>
            </w:pPr>
            <w:r>
              <w:rPr>
                <w:sz w:val="4"/>
                <w:szCs w:val="4"/>
              </w:rPr>
            </w:r>
          </w:p>
        </w:tc>
        <w:tc>
          <w:tcPr>
            <w:tcW w:w="4087"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________ to ________</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001-39252</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jc w:val="center"/>
        <w:rPr>
          <w:rFonts w:ascii="Times New Roman;sans-serif" w:hAnsi="Times New Roman;sans-serif"/>
          <w:b/>
          <w:color w:val="000000"/>
          <w:sz w:val="48"/>
        </w:rPr>
      </w:pPr>
      <w:r>
        <w:rPr>
          <w:rFonts w:ascii="Times New Roman;sans-serif" w:hAnsi="Times New Roman;sans-serif"/>
          <w:b/>
          <w:color w:val="000000"/>
          <w:sz w:val="48"/>
        </w:rPr>
        <w:t>Clover Health Investments, Corp.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spacing w:lineRule="auto" w:line="288" w:before="0" w:after="0"/>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tbl>
      <w:tblPr>
        <w:tblW w:w="3914" w:type="dxa"/>
        <w:jc w:val="left"/>
        <w:tblInd w:w="0" w:type="dxa"/>
        <w:tblCellMar>
          <w:top w:w="28" w:type="dxa"/>
          <w:left w:w="28" w:type="dxa"/>
          <w:bottom w:w="28" w:type="dxa"/>
          <w:right w:w="28" w:type="dxa"/>
        </w:tblCellMar>
      </w:tblPr>
      <w:tblGrid>
        <w:gridCol w:w="965"/>
        <w:gridCol w:w="847"/>
        <w:gridCol w:w="858"/>
        <w:gridCol w:w="363"/>
        <w:gridCol w:w="363"/>
        <w:gridCol w:w="518"/>
      </w:tblGrid>
      <w:tr>
        <w:trPr/>
        <w:tc>
          <w:tcPr>
            <w:tcW w:w="965"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8"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518"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98-1515192</w:t>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w:t>
            </w:r>
          </w:p>
          <w:p>
            <w:pPr>
              <w:pStyle w:val="TableContents"/>
              <w:spacing w:lineRule="auto" w:line="288" w:before="0" w:after="15"/>
              <w:jc w:val="center"/>
              <w:rPr>
                <w:rFonts w:ascii="Times New Roman;sans-serif" w:hAnsi="Times New Roman;sans-serif"/>
                <w:b/>
                <w:color w:val="000000"/>
                <w:sz w:val="14"/>
              </w:rPr>
            </w:pPr>
            <w:r>
              <w:rPr>
                <w:rFonts w:ascii="Times New Roman;sans-serif" w:hAnsi="Times New Roman;sans-serif"/>
                <w:b/>
                <w:color w:val="000000"/>
                <w:sz w:val="14"/>
              </w:rPr>
              <w:t>incorporation or organization)</w:t>
            </w:r>
          </w:p>
        </w:tc>
        <w:tc>
          <w:tcPr>
            <w:tcW w:w="124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(I.R.S. Employer</w:t>
              <w:br/>
              <w:t>Identification No.)</w:t>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15"/>
              <w:jc w:val="center"/>
              <w:rPr/>
            </w:pPr>
            <w:r>
              <w:rPr>
                <w:rFonts w:ascii="Times New Roman;sans-serif" w:hAnsi="Times New Roman;sans-serif"/>
                <w:b/>
                <w:color w:val="000000"/>
                <w:sz w:val="20"/>
              </w:rPr>
              <w:t>3401 Mallory Lane</w:t>
            </w:r>
            <w:r>
              <w:rPr>
                <w:rFonts w:ascii="Arial;sans-serif" w:hAnsi="Arial;sans-serif"/>
                <w:b w:val="false"/>
                <w:color w:val="000000"/>
                <w:sz w:val="24"/>
              </w:rPr>
              <w:t xml:space="preserve">, </w:t>
            </w:r>
            <w:r>
              <w:rPr>
                <w:rFonts w:ascii="Times New Roman;sans-serif" w:hAnsi="Times New Roman;sans-serif"/>
                <w:b/>
                <w:color w:val="000000"/>
                <w:sz w:val="20"/>
              </w:rPr>
              <w:t>Suite 210</w:t>
            </w:r>
          </w:p>
          <w:p>
            <w:pPr>
              <w:pStyle w:val="TableContents"/>
              <w:spacing w:lineRule="auto" w:line="288" w:before="0" w:after="15"/>
              <w:jc w:val="center"/>
              <w:rPr/>
            </w:pPr>
            <w:r>
              <w:rPr>
                <w:rFonts w:ascii="Times New Roman;sans-serif" w:hAnsi="Times New Roman;sans-serif"/>
                <w:b/>
                <w:color w:val="000000"/>
                <w:sz w:val="20"/>
              </w:rPr>
              <w:t>Franklin</w:t>
            </w:r>
            <w:r>
              <w:rPr>
                <w:rFonts w:ascii="Arial;sans-serif" w:hAnsi="Arial;sans-serif"/>
                <w:b w:val="false"/>
                <w:color w:val="000000"/>
                <w:sz w:val="24"/>
              </w:rPr>
              <w:t xml:space="preserve">, </w:t>
            </w:r>
            <w:r>
              <w:rPr>
                <w:rFonts w:ascii="Times New Roman;sans-serif" w:hAnsi="Times New Roman;sans-serif"/>
                <w:b/>
                <w:color w:val="000000"/>
                <w:sz w:val="20"/>
              </w:rPr>
              <w:t>Tennessee</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37067</w:t>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24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(201) 432-2133</w:t>
      </w:r>
    </w:p>
    <w:p>
      <w:pPr>
        <w:pStyle w:val="TextBody"/>
        <w:spacing w:lineRule="auto" w:line="288" w:before="120" w:after="283"/>
        <w:jc w:val="center"/>
        <w:rPr>
          <w:rFonts w:ascii="Arial;sans-serif" w:hAnsi="Arial;sans-serif"/>
          <w:b w:val="false"/>
          <w:color w:val="000000"/>
          <w:sz w:val="12"/>
        </w:rPr>
      </w:pPr>
      <w:r>
        <w:rPr>
          <w:rFonts w:ascii="Arial;sans-serif" w:hAnsi="Arial;sans-serif"/>
          <w:b w:val="false"/>
          <w:color w:val="000000"/>
          <w:sz w:val="12"/>
        </w:rPr>
        <w:t>________________________________________</w:t>
      </w:r>
    </w:p>
    <w:p>
      <w:pPr>
        <w:pStyle w:val="TextBody"/>
        <w:spacing w:lineRule="auto" w:line="288" w:before="12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Securities registered pursuant to Section 12(b) of the Act: </w:t>
      </w:r>
    </w:p>
    <w:tbl>
      <w:tblPr>
        <w:tblW w:w="8962" w:type="dxa"/>
        <w:jc w:val="left"/>
        <w:tblInd w:w="0" w:type="dxa"/>
        <w:tblCellMar>
          <w:top w:w="28" w:type="dxa"/>
          <w:left w:w="28" w:type="dxa"/>
          <w:bottom w:w="28" w:type="dxa"/>
          <w:right w:w="28" w:type="dxa"/>
        </w:tblCellMar>
      </w:tblPr>
      <w:tblGrid>
        <w:gridCol w:w="1508"/>
        <w:gridCol w:w="1322"/>
        <w:gridCol w:w="1340"/>
        <w:gridCol w:w="109"/>
        <w:gridCol w:w="109"/>
        <w:gridCol w:w="109"/>
        <w:gridCol w:w="274"/>
        <w:gridCol w:w="274"/>
        <w:gridCol w:w="276"/>
        <w:gridCol w:w="109"/>
        <w:gridCol w:w="109"/>
        <w:gridCol w:w="109"/>
        <w:gridCol w:w="970"/>
        <w:gridCol w:w="970"/>
        <w:gridCol w:w="1374"/>
      </w:tblGrid>
      <w:tr>
        <w:trPr/>
        <w:tc>
          <w:tcPr>
            <w:tcW w:w="1508" w:type="dxa"/>
            <w:tcBorders/>
            <w:shd w:fill="auto" w:val="clear"/>
            <w:vAlign w:val="center"/>
          </w:tcPr>
          <w:p>
            <w:pPr>
              <w:pStyle w:val="TableContents"/>
              <w:spacing w:before="0" w:after="283"/>
              <w:rPr>
                <w:sz w:val="4"/>
                <w:szCs w:val="4"/>
              </w:rPr>
            </w:pPr>
            <w:r>
              <w:rPr>
                <w:sz w:val="4"/>
                <w:szCs w:val="4"/>
              </w:rPr>
            </w:r>
          </w:p>
        </w:tc>
        <w:tc>
          <w:tcPr>
            <w:tcW w:w="1322" w:type="dxa"/>
            <w:tcBorders/>
            <w:shd w:fill="auto" w:val="clear"/>
            <w:vAlign w:val="center"/>
          </w:tcPr>
          <w:p>
            <w:pPr>
              <w:pStyle w:val="TableContents"/>
              <w:spacing w:before="0" w:after="283"/>
              <w:rPr>
                <w:sz w:val="4"/>
                <w:szCs w:val="4"/>
              </w:rPr>
            </w:pPr>
            <w:r>
              <w:rPr>
                <w:sz w:val="4"/>
                <w:szCs w:val="4"/>
              </w:rPr>
            </w:r>
          </w:p>
        </w:tc>
        <w:tc>
          <w:tcPr>
            <w:tcW w:w="1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970" w:type="dxa"/>
            <w:tcBorders/>
            <w:shd w:fill="auto" w:val="clear"/>
            <w:vAlign w:val="center"/>
          </w:tcPr>
          <w:p>
            <w:pPr>
              <w:pStyle w:val="TableContents"/>
              <w:spacing w:before="0" w:after="283"/>
              <w:rPr>
                <w:sz w:val="4"/>
                <w:szCs w:val="4"/>
              </w:rPr>
            </w:pPr>
            <w:r>
              <w:rPr>
                <w:sz w:val="4"/>
                <w:szCs w:val="4"/>
              </w:rPr>
            </w:r>
          </w:p>
        </w:tc>
        <w:tc>
          <w:tcPr>
            <w:tcW w:w="1374" w:type="dxa"/>
            <w:tcBorders/>
            <w:shd w:fill="auto" w:val="clear"/>
            <w:vAlign w:val="center"/>
          </w:tcPr>
          <w:p>
            <w:pPr>
              <w:pStyle w:val="TableContents"/>
              <w:spacing w:before="0" w:after="283"/>
              <w:rPr>
                <w:sz w:val="4"/>
                <w:szCs w:val="4"/>
              </w:rPr>
            </w:pPr>
            <w:r>
              <w:rPr>
                <w:sz w:val="4"/>
                <w:szCs w:val="4"/>
              </w:rPr>
            </w:r>
          </w:p>
        </w:tc>
      </w:tr>
      <w:tr>
        <w:trPr/>
        <w:tc>
          <w:tcPr>
            <w:tcW w:w="4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Trading</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Symbol(s)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41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Class A Common Stock, par value $0.0001 per share</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CLOV</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31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The NASDAQ Stock Market LLC</w:t>
            </w:r>
          </w:p>
        </w:tc>
      </w:tr>
    </w:tbl>
    <w:p>
      <w:pPr>
        <w:pStyle w:val="TextBody"/>
        <w:spacing w:lineRule="auto" w:line="288" w:before="120" w:after="283"/>
        <w:ind w:left="0" w:right="0" w:firstLine="720"/>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120" w:after="283"/>
        <w:ind w:left="0" w:right="0" w:firstLine="720"/>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o</w:t>
      </w:r>
    </w:p>
    <w:p>
      <w:pPr>
        <w:pStyle w:val="TextBody"/>
        <w:spacing w:lineRule="auto" w:line="288" w:before="120" w:after="283"/>
        <w:ind w:left="0" w:right="0" w:firstLine="720"/>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106" w:type="dxa"/>
        <w:jc w:val="left"/>
        <w:tblInd w:w="0" w:type="dxa"/>
        <w:tblCellMar>
          <w:top w:w="28" w:type="dxa"/>
          <w:left w:w="28" w:type="dxa"/>
          <w:bottom w:w="28" w:type="dxa"/>
          <w:right w:w="28" w:type="dxa"/>
        </w:tblCellMar>
      </w:tblPr>
      <w:tblGrid>
        <w:gridCol w:w="744"/>
        <w:gridCol w:w="654"/>
        <w:gridCol w:w="656"/>
        <w:gridCol w:w="109"/>
        <w:gridCol w:w="109"/>
        <w:gridCol w:w="109"/>
        <w:gridCol w:w="109"/>
        <w:gridCol w:w="109"/>
        <w:gridCol w:w="109"/>
        <w:gridCol w:w="674"/>
        <w:gridCol w:w="674"/>
        <w:gridCol w:w="678"/>
        <w:gridCol w:w="109"/>
        <w:gridCol w:w="109"/>
        <w:gridCol w:w="154"/>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4"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88" w:before="12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r>
      <w:tr>
        <w:trPr/>
        <w:tc>
          <w:tcPr>
            <w:tcW w:w="205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firstLine="720"/>
        <w:jc w:val="both"/>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lineRule="auto" w:line="288" w:before="120" w:after="283"/>
        <w:ind w:left="0" w:right="0" w:firstLine="720"/>
        <w:jc w:val="both"/>
        <w:rPr/>
      </w:pPr>
      <w:r>
        <w:rPr>
          <w:rFonts w:ascii="Times New Roman;sans-serif" w:hAnsi="Times New Roman;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Times New Roman;sans-serif" w:hAnsi="Times New Roman;sans-serif"/>
          <w:b w:val="false"/>
          <w:color w:val="000000"/>
          <w:sz w:val="18"/>
        </w:rPr>
        <w:t>No  </w:t>
      </w:r>
      <w:r>
        <w:rPr>
          <w:rFonts w:ascii="Wingdings;sans-serif" w:hAnsi="Wingdings;sans-serif"/>
          <w:b w:val="false"/>
          <w:color w:val="000000"/>
          <w:sz w:val="18"/>
        </w:rPr>
        <w:t>x</w:t>
      </w:r>
    </w:p>
    <w:p>
      <w:pPr>
        <w:pStyle w:val="TextBody"/>
        <w:spacing w:lineRule="auto" w:line="288" w:before="120" w:after="283"/>
        <w:ind w:left="0" w:right="0" w:firstLine="720"/>
        <w:jc w:val="both"/>
        <w:rPr>
          <w:rFonts w:ascii="Times New Roman;sans-serif" w:hAnsi="Times New Roman;sans-serif"/>
          <w:b w:val="false"/>
          <w:color w:val="000000"/>
          <w:sz w:val="18"/>
        </w:rPr>
      </w:pPr>
      <w:r>
        <w:rPr>
          <w:rFonts w:ascii="Times New Roman;sans-serif" w:hAnsi="Times New Roman;sans-serif"/>
          <w:b w:val="false"/>
          <w:color w:val="000000"/>
          <w:sz w:val="18"/>
        </w:rPr>
        <w:t>At May 1, 2023, the registrant had 394,162,057 shares of Class A Common Stock, $0.0001 par value per share, and 88,492,309 shares of Class B Common Stock, $0.0001 par value per share, issued and outstanding.</w:t>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doub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497205"/>
                <wp:effectExtent l="0" t="0" r="0" b="0"/>
                <wp:wrapNone/>
                <wp:docPr id="1" name="Frame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82"/>
        <w:gridCol w:w="247"/>
        <w:gridCol w:w="249"/>
        <w:gridCol w:w="2969"/>
        <w:gridCol w:w="2969"/>
        <w:gridCol w:w="2976"/>
        <w:gridCol w:w="149"/>
        <w:gridCol w:w="149"/>
        <w:gridCol w:w="215"/>
      </w:tblGrid>
      <w:tr>
        <w:trPr/>
        <w:tc>
          <w:tcPr>
            <w:tcW w:w="282"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969" w:type="dxa"/>
            <w:tcBorders/>
            <w:shd w:fill="auto" w:val="clear"/>
            <w:vAlign w:val="center"/>
          </w:tcPr>
          <w:p>
            <w:pPr>
              <w:pStyle w:val="TableContents"/>
              <w:spacing w:before="0" w:after="283"/>
              <w:rPr>
                <w:sz w:val="4"/>
                <w:szCs w:val="4"/>
              </w:rPr>
            </w:pPr>
            <w:r>
              <w:rPr>
                <w:sz w:val="4"/>
                <w:szCs w:val="4"/>
              </w:rPr>
            </w:r>
          </w:p>
        </w:tc>
        <w:tc>
          <w:tcPr>
            <w:tcW w:w="2976"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19">
              <w:r>
                <w:rPr>
                  <w:rStyle w:val="InternetLink"/>
                  <w:rFonts w:ascii="Times New Roman;sans-serif" w:hAnsi="Times New Roman;sans-serif"/>
                  <w:b/>
                  <w:color w:val="0000FF"/>
                  <w:sz w:val="20"/>
                  <w:u w:val="single"/>
                </w:rPr>
                <w:t>PART I.</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19">
              <w:r>
                <w:rPr>
                  <w:rStyle w:val="InternetLink"/>
                  <w:rFonts w:ascii="Times New Roman;sans-serif" w:hAnsi="Times New Roman;sans-serif"/>
                  <w:b/>
                  <w:color w:val="0000FF"/>
                  <w:sz w:val="20"/>
                  <w:u w:val="single"/>
                </w:rPr>
                <w:t>FINANCIAL INFORMATION</w:t>
              </w:r>
            </w:hyperlink>
          </w:p>
        </w:tc>
        <w:tc>
          <w:tcPr>
            <w:tcW w:w="51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0"/>
              <w:jc w:val="center"/>
              <w:rPr/>
            </w:pPr>
            <w:hyperlink w:anchor="i28f0c4e5c6674e58b289f7d0bf3456af_19">
              <w:r>
                <w:rPr>
                  <w:rStyle w:val="InternetLink"/>
                  <w:rFonts w:ascii="Times New Roman;sans-serif" w:hAnsi="Times New Roman;sans-serif"/>
                  <w:b w:val="false"/>
                  <w:color w:val="0000FF"/>
                  <w:sz w:val="20"/>
                  <w:u w:val="single"/>
                </w:rPr>
                <w:t>5</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1393">
              <w:r>
                <w:rPr>
                  <w:rStyle w:val="InternetLink"/>
                  <w:rFonts w:ascii="Times New Roman;sans-serif" w:hAnsi="Times New Roman;sans-serif"/>
                  <w:b w:val="false"/>
                  <w:color w:val="0000FF"/>
                  <w:sz w:val="20"/>
                  <w:u w:val="single"/>
                </w:rPr>
                <w:t>Item 1.</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1393">
              <w:r>
                <w:rPr>
                  <w:rStyle w:val="InternetLink"/>
                  <w:rFonts w:ascii="Times New Roman;sans-serif" w:hAnsi="Times New Roman;sans-serif"/>
                  <w:b w:val="false"/>
                  <w:color w:val="0000FF"/>
                  <w:sz w:val="20"/>
                  <w:u w:val="single"/>
                </w:rPr>
                <w:t>Financial Statements (Unaudited)</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1393">
              <w:r>
                <w:rPr>
                  <w:rStyle w:val="InternetLink"/>
                  <w:rFonts w:ascii="Times New Roman;sans-serif" w:hAnsi="Times New Roman;sans-serif"/>
                  <w:b w:val="false"/>
                  <w:color w:val="0000FF"/>
                  <w:sz w:val="20"/>
                  <w:u w:val="single"/>
                </w:rPr>
                <w:t>5</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91">
              <w:r>
                <w:rPr>
                  <w:rStyle w:val="InternetLink"/>
                  <w:rFonts w:ascii="Times New Roman;sans-serif" w:hAnsi="Times New Roman;sans-serif"/>
                  <w:b w:val="false"/>
                  <w:color w:val="0000FF"/>
                  <w:sz w:val="20"/>
                  <w:u w:val="single"/>
                </w:rPr>
                <w:t>Condensed Consolidated Balance Sheets at March 31, 2023 (Unaudited), and December 31, 2022</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91">
              <w:r>
                <w:rPr>
                  <w:rStyle w:val="InternetLink"/>
                  <w:rFonts w:ascii="Times New Roman;sans-serif" w:hAnsi="Times New Roman;sans-serif"/>
                  <w:b w:val="false"/>
                  <w:color w:val="0000FF"/>
                  <w:sz w:val="20"/>
                  <w:u w:val="single"/>
                </w:rPr>
                <w:t>5</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94">
              <w:r>
                <w:rPr>
                  <w:rStyle w:val="InternetLink"/>
                  <w:rFonts w:ascii="Times New Roman;sans-serif" w:hAnsi="Times New Roman;sans-serif"/>
                  <w:b w:val="false"/>
                  <w:color w:val="0000FF"/>
                  <w:sz w:val="20"/>
                  <w:u w:val="single"/>
                </w:rPr>
                <w:t>Condensed Consolidated Statements of Operations and Comprehensive Loss (Unaudited) for the three months ended March 31, 2023 and 2022</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94">
              <w:r>
                <w:rPr>
                  <w:rStyle w:val="InternetLink"/>
                  <w:rFonts w:ascii="Times New Roman;sans-serif" w:hAnsi="Times New Roman;sans-serif"/>
                  <w:b w:val="false"/>
                  <w:color w:val="0000FF"/>
                  <w:sz w:val="20"/>
                  <w:u w:val="single"/>
                </w:rPr>
                <w:t>7</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97">
              <w:r>
                <w:rPr>
                  <w:rStyle w:val="InternetLink"/>
                  <w:rFonts w:ascii="Times New Roman;sans-serif" w:hAnsi="Times New Roman;sans-serif"/>
                  <w:b w:val="false"/>
                  <w:color w:val="0000FF"/>
                  <w:sz w:val="20"/>
                  <w:u w:val="single"/>
                </w:rPr>
                <w:t>Condensed Consolidated Statements of Changes in Convertible Preferred Stock and Stockholders' Equity (Deficit) (Unaudited) for the three months ended March 31, 2023 and 2022</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97">
              <w:r>
                <w:rPr>
                  <w:rStyle w:val="InternetLink"/>
                  <w:rFonts w:ascii="Times New Roman;sans-serif" w:hAnsi="Times New Roman;sans-serif"/>
                  <w:b w:val="false"/>
                  <w:color w:val="0000FF"/>
                  <w:sz w:val="20"/>
                  <w:u w:val="single"/>
                </w:rPr>
                <w:t>8</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FF"/>
                <w:sz w:val="20"/>
                <w:u w:val="single"/>
              </w:rPr>
              <w:t xml:space="preserve">Condensed </w:t>
            </w:r>
            <w:hyperlink w:anchor="i28f0c4e5c6674e58b289f7d0bf3456af_100">
              <w:r>
                <w:rPr>
                  <w:rStyle w:val="InternetLink"/>
                </w:rPr>
                <w:t>Consolidated Statements of Cash Flows (Unaudited) for the three months ended March 31, 2023 and 2022</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100">
              <w:r>
                <w:rPr>
                  <w:rStyle w:val="InternetLink"/>
                  <w:rFonts w:ascii="Times New Roman;sans-serif" w:hAnsi="Times New Roman;sans-serif"/>
                  <w:b w:val="false"/>
                  <w:color w:val="0000FF"/>
                  <w:sz w:val="20"/>
                  <w:u w:val="single"/>
                </w:rPr>
                <w:t>9</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103">
              <w:r>
                <w:rPr>
                  <w:rStyle w:val="InternetLink"/>
                  <w:rFonts w:ascii="Times New Roman;sans-serif" w:hAnsi="Times New Roman;sans-serif"/>
                  <w:b w:val="false"/>
                  <w:color w:val="0000FF"/>
                  <w:sz w:val="20"/>
                  <w:u w:val="single"/>
                </w:rPr>
                <w:t>Notes to Unaudited Condensed Consolidated Financial Statements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103">
              <w:r>
                <w:rPr>
                  <w:rStyle w:val="InternetLink"/>
                  <w:rFonts w:ascii="Times New Roman;sans-serif" w:hAnsi="Times New Roman;sans-serif"/>
                  <w:b w:val="false"/>
                  <w:color w:val="0000FF"/>
                  <w:sz w:val="20"/>
                  <w:u w:val="single"/>
                </w:rPr>
                <w:t>10</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49">
              <w:r>
                <w:rPr>
                  <w:rStyle w:val="InternetLink"/>
                  <w:rFonts w:ascii="Times New Roman;sans-serif" w:hAnsi="Times New Roman;sans-serif"/>
                  <w:b w:val="false"/>
                  <w:color w:val="0000FF"/>
                  <w:sz w:val="20"/>
                  <w:u w:val="single"/>
                </w:rPr>
                <w:t>Item 2.</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4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49">
              <w:r>
                <w:rPr>
                  <w:rStyle w:val="InternetLink"/>
                  <w:rFonts w:ascii="Times New Roman;sans-serif" w:hAnsi="Times New Roman;sans-serif"/>
                  <w:b w:val="false"/>
                  <w:color w:val="0000FF"/>
                  <w:sz w:val="20"/>
                  <w:u w:val="single"/>
                </w:rPr>
                <w:t>33</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346">
              <w:r>
                <w:rPr>
                  <w:rStyle w:val="InternetLink"/>
                  <w:rFonts w:ascii="Times New Roman;sans-serif" w:hAnsi="Times New Roman;sans-serif"/>
                  <w:b w:val="false"/>
                  <w:color w:val="0000FF"/>
                  <w:sz w:val="20"/>
                  <w:u w:val="single"/>
                </w:rPr>
                <w:t>Item 3.</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346">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346">
              <w:r>
                <w:rPr>
                  <w:rStyle w:val="InternetLink"/>
                  <w:rFonts w:ascii="Times New Roman;sans-serif" w:hAnsi="Times New Roman;sans-serif"/>
                  <w:b w:val="false"/>
                  <w:color w:val="0000FF"/>
                  <w:sz w:val="20"/>
                  <w:u w:val="single"/>
                </w:rPr>
                <w:t>41</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349">
              <w:r>
                <w:rPr>
                  <w:rStyle w:val="InternetLink"/>
                  <w:rFonts w:ascii="Times New Roman;sans-serif" w:hAnsi="Times New Roman;sans-serif"/>
                  <w:b w:val="false"/>
                  <w:color w:val="0000FF"/>
                  <w:sz w:val="20"/>
                  <w:u w:val="single"/>
                </w:rPr>
                <w:t>Item 4.</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349">
              <w:r>
                <w:rPr>
                  <w:rStyle w:val="InternetLink"/>
                  <w:rFonts w:ascii="Times New Roman;sans-serif" w:hAnsi="Times New Roman;sans-serif"/>
                  <w:b w:val="false"/>
                  <w:color w:val="0000FF"/>
                  <w:sz w:val="20"/>
                  <w:u w:val="single"/>
                </w:rPr>
                <w:t>Controls and Procedures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349">
              <w:r>
                <w:rPr>
                  <w:rStyle w:val="InternetLink"/>
                  <w:rFonts w:ascii="Times New Roman;sans-serif" w:hAnsi="Times New Roman;sans-serif"/>
                  <w:b w:val="false"/>
                  <w:color w:val="0000FF"/>
                  <w:sz w:val="20"/>
                  <w:u w:val="single"/>
                </w:rPr>
                <w:t>41</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340">
              <w:r>
                <w:rPr>
                  <w:rStyle w:val="InternetLink"/>
                  <w:rFonts w:ascii="Times New Roman;sans-serif" w:hAnsi="Times New Roman;sans-serif"/>
                  <w:b/>
                  <w:color w:val="0000FF"/>
                  <w:sz w:val="20"/>
                  <w:u w:val="single"/>
                </w:rPr>
                <w:t>PART II.</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340">
              <w:r>
                <w:rPr>
                  <w:rStyle w:val="InternetLink"/>
                  <w:rFonts w:ascii="Times New Roman;sans-serif" w:hAnsi="Times New Roman;sans-serif"/>
                  <w:b/>
                  <w:color w:val="0000FF"/>
                  <w:sz w:val="20"/>
                  <w:u w:val="single"/>
                </w:rPr>
                <w:t>OTHER INFORMATION</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271">
              <w:r>
                <w:rPr>
                  <w:rStyle w:val="InternetLink"/>
                  <w:rFonts w:ascii="Times New Roman;sans-serif" w:hAnsi="Times New Roman;sans-serif"/>
                  <w:b w:val="false"/>
                  <w:color w:val="0000FF"/>
                  <w:sz w:val="20"/>
                  <w:u w:val="single"/>
                </w:rPr>
                <w:t>43</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34">
              <w:r>
                <w:rPr>
                  <w:rStyle w:val="InternetLink"/>
                  <w:rFonts w:ascii="Times New Roman;sans-serif" w:hAnsi="Times New Roman;sans-serif"/>
                  <w:b w:val="false"/>
                  <w:color w:val="0000FF"/>
                  <w:sz w:val="20"/>
                  <w:u w:val="single"/>
                </w:rPr>
                <w:t>Item 1.</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34">
              <w:r>
                <w:rPr>
                  <w:rStyle w:val="InternetLink"/>
                  <w:rFonts w:ascii="Times New Roman;sans-serif" w:hAnsi="Times New Roman;sans-serif"/>
                  <w:b w:val="false"/>
                  <w:color w:val="0000FF"/>
                  <w:sz w:val="20"/>
                  <w:u w:val="single"/>
                </w:rPr>
                <w:t>Legal Proceedings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34">
              <w:r>
                <w:rPr>
                  <w:rStyle w:val="InternetLink"/>
                  <w:rFonts w:ascii="Times New Roman;sans-serif" w:hAnsi="Times New Roman;sans-serif"/>
                  <w:b w:val="false"/>
                  <w:color w:val="0000FF"/>
                  <w:sz w:val="20"/>
                  <w:u w:val="single"/>
                </w:rPr>
                <w:t>43</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274">
              <w:r>
                <w:rPr>
                  <w:rStyle w:val="InternetLink"/>
                  <w:rFonts w:ascii="Times New Roman;sans-serif" w:hAnsi="Times New Roman;sans-serif"/>
                  <w:b w:val="false"/>
                  <w:color w:val="0000FF"/>
                  <w:sz w:val="20"/>
                  <w:u w:val="single"/>
                </w:rPr>
                <w:t>Item 1A.</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274">
              <w:r>
                <w:rPr>
                  <w:rStyle w:val="InternetLink"/>
                  <w:rFonts w:ascii="Times New Roman;sans-serif" w:hAnsi="Times New Roman;sans-serif"/>
                  <w:b w:val="false"/>
                  <w:color w:val="0000FF"/>
                  <w:sz w:val="20"/>
                  <w:u w:val="single"/>
                </w:rPr>
                <w:t>Risk Factors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274">
              <w:r>
                <w:rPr>
                  <w:rStyle w:val="InternetLink"/>
                  <w:rFonts w:ascii="Times New Roman;sans-serif" w:hAnsi="Times New Roman;sans-serif"/>
                  <w:b w:val="false"/>
                  <w:color w:val="0000FF"/>
                  <w:sz w:val="20"/>
                  <w:u w:val="single"/>
                </w:rPr>
                <w:t>43</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277">
              <w:r>
                <w:rPr>
                  <w:rStyle w:val="InternetLink"/>
                  <w:rFonts w:ascii="Times New Roman;sans-serif" w:hAnsi="Times New Roman;sans-serif"/>
                  <w:b w:val="false"/>
                  <w:color w:val="0000FF"/>
                  <w:sz w:val="20"/>
                  <w:u w:val="single"/>
                </w:rPr>
                <w:t>Item 2.</w:t>
              </w:r>
            </w:hyperlink>
          </w:p>
        </w:tc>
        <w:tc>
          <w:tcPr>
            <w:tcW w:w="891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277">
              <w:r>
                <w:rPr>
                  <w:rStyle w:val="InternetLink"/>
                  <w:rFonts w:ascii="Times New Roman;sans-serif" w:hAnsi="Times New Roman;sans-serif"/>
                  <w:b w:val="false"/>
                  <w:color w:val="0000FF"/>
                  <w:sz w:val="20"/>
                  <w:u w:val="single"/>
                </w:rPr>
                <w:t>Unregistered Sales of Equity Securities and Use of Proceeds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277">
              <w:r>
                <w:rPr>
                  <w:rStyle w:val="InternetLink"/>
                  <w:rFonts w:ascii="Times New Roman;sans-serif" w:hAnsi="Times New Roman;sans-serif"/>
                  <w:b w:val="false"/>
                  <w:color w:val="0000FF"/>
                  <w:sz w:val="20"/>
                  <w:u w:val="single"/>
                </w:rPr>
                <w:t>44</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346">
              <w:r>
                <w:rPr>
                  <w:rStyle w:val="InternetLink"/>
                  <w:rFonts w:ascii="Times New Roman;sans-serif" w:hAnsi="Times New Roman;sans-serif"/>
                  <w:b w:val="false"/>
                  <w:color w:val="0000FF"/>
                  <w:sz w:val="20"/>
                  <w:u w:val="single"/>
                </w:rPr>
                <w:t>Item 3.</w:t>
              </w:r>
            </w:hyperlink>
          </w:p>
        </w:tc>
        <w:tc>
          <w:tcPr>
            <w:tcW w:w="8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280">
              <w:r>
                <w:rPr>
                  <w:rStyle w:val="InternetLink"/>
                  <w:rFonts w:ascii="Times New Roman;sans-serif" w:hAnsi="Times New Roman;sans-serif"/>
                  <w:b w:val="false"/>
                  <w:color w:val="0000FF"/>
                  <w:sz w:val="20"/>
                  <w:u w:val="single"/>
                </w:rPr>
                <w:t>Defaults Upon Senior Securities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280">
              <w:r>
                <w:rPr>
                  <w:rStyle w:val="InternetLink"/>
                  <w:rFonts w:ascii="Times New Roman;sans-serif" w:hAnsi="Times New Roman;sans-serif"/>
                  <w:b w:val="false"/>
                  <w:color w:val="0000FF"/>
                  <w:sz w:val="20"/>
                  <w:u w:val="single"/>
                </w:rPr>
                <w:t>44</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37">
              <w:r>
                <w:rPr>
                  <w:rStyle w:val="InternetLink"/>
                  <w:rFonts w:ascii="Times New Roman;sans-serif" w:hAnsi="Times New Roman;sans-serif"/>
                  <w:b w:val="false"/>
                  <w:color w:val="0000FF"/>
                  <w:sz w:val="20"/>
                  <w:u w:val="single"/>
                </w:rPr>
                <w:t>Item 4.</w:t>
              </w:r>
            </w:hyperlink>
          </w:p>
        </w:tc>
        <w:tc>
          <w:tcPr>
            <w:tcW w:w="8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37">
              <w:r>
                <w:rPr>
                  <w:rStyle w:val="InternetLink"/>
                  <w:rFonts w:ascii="Times New Roman;sans-serif" w:hAnsi="Times New Roman;sans-serif"/>
                  <w:b w:val="false"/>
                  <w:color w:val="0000FF"/>
                  <w:sz w:val="20"/>
                  <w:u w:val="single"/>
                </w:rPr>
                <w:t>Mine Safety Disclosures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37">
              <w:r>
                <w:rPr>
                  <w:rStyle w:val="InternetLink"/>
                  <w:rFonts w:ascii="Times New Roman;sans-serif" w:hAnsi="Times New Roman;sans-serif"/>
                  <w:b w:val="false"/>
                  <w:color w:val="0000FF"/>
                  <w:sz w:val="20"/>
                  <w:u w:val="single"/>
                </w:rPr>
                <w:t>44</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220">
              <w:r>
                <w:rPr>
                  <w:rStyle w:val="InternetLink"/>
                  <w:rFonts w:ascii="Times New Roman;sans-serif" w:hAnsi="Times New Roman;sans-serif"/>
                  <w:b w:val="false"/>
                  <w:color w:val="0000FF"/>
                  <w:sz w:val="20"/>
                  <w:u w:val="single"/>
                </w:rPr>
                <w:t>Item 5.</w:t>
              </w:r>
            </w:hyperlink>
          </w:p>
        </w:tc>
        <w:tc>
          <w:tcPr>
            <w:tcW w:w="8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220">
              <w:r>
                <w:rPr>
                  <w:rStyle w:val="InternetLink"/>
                  <w:rFonts w:ascii="Times New Roman;sans-serif" w:hAnsi="Times New Roman;sans-serif"/>
                  <w:b w:val="false"/>
                  <w:color w:val="0000FF"/>
                  <w:sz w:val="20"/>
                  <w:u w:val="single"/>
                </w:rPr>
                <w:t>Other Information</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220">
              <w:r>
                <w:rPr>
                  <w:rStyle w:val="InternetLink"/>
                  <w:rFonts w:ascii="Times New Roman;sans-serif" w:hAnsi="Times New Roman;sans-serif"/>
                  <w:b w:val="false"/>
                  <w:color w:val="0000FF"/>
                  <w:sz w:val="20"/>
                  <w:u w:val="single"/>
                </w:rPr>
                <w:t>45</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28f0c4e5c6674e58b289f7d0bf3456af_262">
              <w:r>
                <w:rPr>
                  <w:rStyle w:val="InternetLink"/>
                  <w:rFonts w:ascii="Times New Roman;sans-serif" w:hAnsi="Times New Roman;sans-serif"/>
                  <w:b w:val="false"/>
                  <w:color w:val="0000FF"/>
                  <w:sz w:val="20"/>
                  <w:u w:val="single"/>
                </w:rPr>
                <w:t>Item 6.</w:t>
              </w:r>
            </w:hyperlink>
          </w:p>
        </w:tc>
        <w:tc>
          <w:tcPr>
            <w:tcW w:w="891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262">
              <w:r>
                <w:rPr>
                  <w:rStyle w:val="InternetLink"/>
                  <w:rFonts w:ascii="Times New Roman;sans-serif" w:hAnsi="Times New Roman;sans-serif"/>
                  <w:b w:val="false"/>
                  <w:color w:val="0000FF"/>
                  <w:sz w:val="20"/>
                  <w:u w:val="single"/>
                </w:rPr>
                <w:t>Exhibits</w:t>
              </w:r>
            </w:hyperlink>
          </w:p>
        </w:tc>
        <w:tc>
          <w:tcPr>
            <w:tcW w:w="51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262">
              <w:r>
                <w:rPr>
                  <w:rStyle w:val="InternetLink"/>
                  <w:rFonts w:ascii="Times New Roman;sans-serif" w:hAnsi="Times New Roman;sans-serif"/>
                  <w:b w:val="false"/>
                  <w:color w:val="0000FF"/>
                  <w:sz w:val="20"/>
                  <w:u w:val="single"/>
                </w:rPr>
                <w:t>45</w:t>
              </w:r>
            </w:hyperlink>
          </w:p>
        </w:tc>
      </w:tr>
      <w:tr>
        <w:trPr/>
        <w:tc>
          <w:tcPr>
            <w:tcW w:w="7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1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692" w:type="dxa"/>
            <w:gridSpan w:val="6"/>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28f0c4e5c6674e58b289f7d0bf3456af_286">
              <w:r>
                <w:rPr>
                  <w:rStyle w:val="InternetLink"/>
                  <w:rFonts w:ascii="Times New Roman;sans-serif" w:hAnsi="Times New Roman;sans-serif"/>
                  <w:b w:val="false"/>
                  <w:color w:val="0000FF"/>
                  <w:sz w:val="20"/>
                  <w:u w:val="single"/>
                </w:rPr>
                <w:t>Signatures</w:t>
              </w:r>
            </w:hyperlink>
          </w:p>
        </w:tc>
        <w:tc>
          <w:tcPr>
            <w:tcW w:w="513"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28f0c4e5c6674e58b289f7d0bf3456af_286">
              <w:r>
                <w:rPr>
                  <w:rStyle w:val="InternetLink"/>
                  <w:rFonts w:ascii="Times New Roman;sans-serif" w:hAnsi="Times New Roman;sans-serif"/>
                  <w:b w:val="false"/>
                  <w:color w:val="0000FF"/>
                  <w:sz w:val="20"/>
                  <w:u w:val="single"/>
                </w:rPr>
                <w:t>46</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497205"/>
                <wp:effectExtent l="0" t="0" r="0" b="0"/>
                <wp:wrapNone/>
                <wp:docPr id="2" name="Frame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before="0" w:after="0"/>
        <w:rPr/>
      </w:pPr>
      <w:r>
        <w:rPr/>
      </w:r>
    </w:p>
    <w:p>
      <w:pPr>
        <w:pStyle w:val="TextBody"/>
        <w:spacing w:lineRule="auto" w:line="26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As used in this report, "Company," "Clover," "Clover Health," "we," "us," "our," "our company," and similar terms refer to Clover Health Investments, Corp. and its consolidated subsidiaries, unless otherwise noted or the context otherwise requires.</w:t>
      </w:r>
    </w:p>
    <w:p>
      <w:pPr>
        <w:pStyle w:val="TextBody"/>
        <w:spacing w:before="0" w:after="0"/>
        <w:rPr/>
      </w:pPr>
      <w:r>
        <w:rPr/>
      </w:r>
    </w:p>
    <w:p>
      <w:pPr>
        <w:pStyle w:val="TextBody"/>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our expectations regarding results of operations, financial condition, and cash flows; </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expectations regarding the development and expansion of our Insurance and Non-Insurance businesses;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successfully enter new service markets and manage our operations;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anticipated trends and challenges in our business and in the markets in which we operate;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expand our beneficiary base and provider network;</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and increase adoption and use of Clover Assistant;</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anticipated benefits associated with the use of Clover Assistant, including our ability to utilize the platform to manage our medical care ratios;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develop new features and functionality that meet market needs and achieve market acceptance;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retain and hire necessary employees and staff our operations appropriately;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timing and amount of certain investments in growth;</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effect of uncertainties related to the global COVID-19 pandemic on our business, results of operations, and financial condition;</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the outcome of any known and unknown litigation and regulatory proceedings;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any current, pending, or future legislation, regulations or policies that could have a negative effect on our revenue and businesses, including rules, regulations, and policies relating to healthcare and Medicare;</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or improve our Star Ratings or otherwise continue to improve the financial performance of our business;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fluctuations in the price of our Class A common stock and our compliance with Nasdaq's listing requirements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our ability to maintain, protect, and enhance our intellectual property;</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general economic conditions and uncertainty, including the societal and economic impact of the COVID-19 pandemic and its variants;</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inflation; and</w:t>
      </w:r>
    </w:p>
    <w:p>
      <w:pPr>
        <w:pStyle w:val="TextBody"/>
        <w:spacing w:lineRule="auto" w:line="268" w:before="0" w:after="0"/>
        <w:ind w:left="0" w:right="0" w:hanging="360"/>
        <w:jc w:val="both"/>
        <w:rPr/>
      </w:pPr>
      <w:r>
        <w:rPr>
          <w:color w:val="000000"/>
        </w:rPr>
        <w:t>•</w:t>
      </w:r>
      <w:r>
        <w:rPr>
          <w:rFonts w:ascii="Times New Roman;sans-serif" w:hAnsi="Times New Roman;sans-serif"/>
          <w:b w:val="false"/>
          <w:color w:val="000000"/>
          <w:sz w:val="20"/>
        </w:rPr>
        <w:t>geopolitical uncertainty and instability.</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97205"/>
                <wp:effectExtent l="0" t="0" r="0" b="0"/>
                <wp:wrapNone/>
                <wp:docPr id="3" name="Frame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2022, as filed with the SEC, our actual results or performance may be materially different from those expressed or implied by these forward-looking statements.</w:t>
      </w:r>
    </w:p>
    <w:p>
      <w:pPr>
        <w:pStyle w:val="TextBody"/>
        <w:spacing w:before="0" w:after="0"/>
        <w:jc w:val="both"/>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Additional Information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website address is www.cloverhealth.com. Our filings with the SEC are posted on our website and available free of charge as soon as reasonably practical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pStyle w:val="TextBody"/>
        <w:spacing w:before="0" w:after="0"/>
        <w:rPr/>
      </w:pPr>
      <w:r>
        <w:rPr/>
      </w:r>
    </w:p>
    <w:p>
      <w:pPr>
        <w:pStyle w:val="TextBody"/>
        <w:spacing w:lineRule="auto" w:line="268" w:before="0" w:after="0"/>
        <w:jc w:val="both"/>
        <w:rPr>
          <w:rFonts w:ascii="Times New Roman;sans-serif" w:hAnsi="Times New Roman;sans-serif"/>
          <w:b/>
          <w:color w:val="000000"/>
          <w:sz w:val="20"/>
        </w:rPr>
      </w:pPr>
      <w:r>
        <w:rPr>
          <w:rFonts w:ascii="Times New Roman;sans-serif" w:hAnsi="Times New Roman;sans-serif"/>
          <w:b/>
          <w:color w:val="000000"/>
          <w:sz w:val="20"/>
        </w:rPr>
        <w:t>Channels for Disclosure of Information</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Investors and others should note that we routinely announce material information to investors and the marketplace using filings with the SEC, press releases, public conference calls, presentations, webcasts, and the investor relations page of our website.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Twitter,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at the "Investors" link located on our webpage at https://investors.cloverhealth.com/investor-relations and to sign up for and regularly follow our social media accounts. Users may automatically receive email alerts and other information about the Company when enrolling an email address by visiting "Email Alerts" in the "Investor Resources" section of our website at https://investors.cloverhealth.com/investor-relations.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97205"/>
                <wp:effectExtent l="0" t="0" r="0" b="0"/>
                <wp:wrapNone/>
                <wp:docPr id="4" name="Frame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Item 1. Financial Statements and Supplementary Data</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CONDENSED CONSOLIDATED BALANCE SHEETS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p>
      <w:pPr>
        <w:pStyle w:val="TextBody"/>
        <w:spacing w:before="0" w:after="0"/>
        <w:jc w:val="center"/>
        <w:rPr/>
      </w:pPr>
      <w:r>
        <w:rPr/>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2461"/>
        <w:gridCol w:w="2145"/>
        <w:gridCol w:w="2153"/>
        <w:gridCol w:w="231"/>
        <w:gridCol w:w="1071"/>
        <w:gridCol w:w="119"/>
        <w:gridCol w:w="109"/>
        <w:gridCol w:w="109"/>
        <w:gridCol w:w="109"/>
        <w:gridCol w:w="300"/>
        <w:gridCol w:w="1177"/>
        <w:gridCol w:w="221"/>
      </w:tblGrid>
      <w:tr>
        <w:trPr/>
        <w:tc>
          <w:tcPr>
            <w:tcW w:w="2461" w:type="dxa"/>
            <w:tcBorders/>
            <w:shd w:fill="auto" w:val="clear"/>
            <w:vAlign w:val="center"/>
          </w:tcPr>
          <w:p>
            <w:pPr>
              <w:pStyle w:val="TableContents"/>
              <w:spacing w:before="0" w:after="283"/>
              <w:rPr>
                <w:sz w:val="4"/>
                <w:szCs w:val="4"/>
              </w:rPr>
            </w:pPr>
            <w:r>
              <w:rPr>
                <w:sz w:val="4"/>
                <w:szCs w:val="4"/>
              </w:rPr>
            </w:r>
          </w:p>
        </w:tc>
        <w:tc>
          <w:tcPr>
            <w:tcW w:w="2145"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c>
          <w:tcPr>
            <w:tcW w:w="231"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r>
      <w:tr>
        <w:trPr/>
        <w:tc>
          <w:tcPr>
            <w:tcW w:w="67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4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42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190,562 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103,791 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69,478 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41,457 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(Amortized cost: 2023: $159,062; 2022: $193,300)</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189,498 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(Fair value: 2023: $15; 2022: $15)</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retrospective premiums</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70,185 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20,387 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23,596 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Healthcare receivables</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56,943 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performance year receivable</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552,620 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receivable</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53,625 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52,955 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Surety bonds and deposits</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80,329 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100,502 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18,146 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current</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1,274,259 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624,997 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 (Amortized cost: 2023: $139,643; 2022: $142,940)</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137,368 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 (Fair value: 2023: $651; 2022: $636)</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auto" w:val="clear"/>
            <w:vAlign w:val="center"/>
          </w:tcPr>
          <w:p>
            <w:pPr>
              <w:pStyle w:val="TableContents"/>
              <w:spacing w:before="0" w:after="283"/>
              <w:rPr>
                <w:sz w:val="4"/>
                <w:szCs w:val="4"/>
              </w:rPr>
            </w:pPr>
            <w:r>
              <w:rPr>
                <w:sz w:val="4"/>
                <w:szCs w:val="4"/>
              </w:rPr>
            </w:r>
          </w:p>
        </w:tc>
        <w:tc>
          <w:tcPr>
            <w:tcW w:w="14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4,547 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5,753 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4,109 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 and other intangible assets</w:t>
            </w:r>
          </w:p>
        </w:tc>
        <w:tc>
          <w:tcPr>
            <w:tcW w:w="13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non-current</w:t>
            </w:r>
          </w:p>
        </w:tc>
        <w:tc>
          <w:tcPr>
            <w:tcW w:w="13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15,735 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1,453,589 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hanging="180"/>
        <w:jc w:val="both"/>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jc w:val="center"/>
        <w:rPr/>
      </w:pPr>
      <w:r>
        <w:rPr/>
      </w: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97205"/>
                <wp:effectExtent l="0" t="0" r="0" b="0"/>
                <wp:wrapNone/>
                <wp:docPr id="5" name="Frame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spacing w:lineRule="auto" w:line="288" w:before="0" w:after="0"/>
        <w:jc w:val="center"/>
        <w:rPr>
          <w:rFonts w:ascii="Times New Roman;sans-serif" w:hAnsi="Times New Roman;sans-serif"/>
          <w:b w:val="false"/>
          <w:color w:val="231F20"/>
          <w:sz w:val="20"/>
        </w:rPr>
      </w:pPr>
      <w:r>
        <w:rPr>
          <w:rFonts w:ascii="Times New Roman;sans-serif" w:hAnsi="Times New Roman;sans-serif"/>
          <w:b w:val="false"/>
          <w:color w:val="231F20"/>
          <w:sz w:val="20"/>
        </w:rPr>
        <w:t>CONDENSED CONSOLIDATED BALANCE SHEETS</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p>
      <w:pPr>
        <w:pStyle w:val="TextBody"/>
        <w:spacing w:before="0" w:after="0"/>
        <w:jc w:val="center"/>
        <w:rPr/>
      </w:pPr>
      <w:r>
        <w:rPr/>
      </w:r>
    </w:p>
    <w:p>
      <w:pPr>
        <w:pStyle w:val="TextBody"/>
        <w:spacing w:before="0" w:after="0"/>
        <w:jc w:val="center"/>
        <w:rPr/>
      </w:pPr>
      <w:r>
        <w:rPr/>
      </w:r>
    </w:p>
    <w:tbl>
      <w:tblPr>
        <w:tblW w:w="10205" w:type="dxa"/>
        <w:jc w:val="left"/>
        <w:tblInd w:w="0" w:type="dxa"/>
        <w:tblCellMar>
          <w:top w:w="28" w:type="dxa"/>
          <w:left w:w="28" w:type="dxa"/>
          <w:bottom w:w="28" w:type="dxa"/>
          <w:right w:w="28" w:type="dxa"/>
        </w:tblCellMar>
      </w:tblPr>
      <w:tblGrid>
        <w:gridCol w:w="2622"/>
        <w:gridCol w:w="2259"/>
        <w:gridCol w:w="2270"/>
        <w:gridCol w:w="218"/>
        <w:gridCol w:w="1012"/>
        <w:gridCol w:w="112"/>
        <w:gridCol w:w="109"/>
        <w:gridCol w:w="109"/>
        <w:gridCol w:w="109"/>
        <w:gridCol w:w="244"/>
        <w:gridCol w:w="958"/>
        <w:gridCol w:w="183"/>
      </w:tblGrid>
      <w:tr>
        <w:trPr/>
        <w:tc>
          <w:tcPr>
            <w:tcW w:w="2622" w:type="dxa"/>
            <w:tcBorders/>
            <w:shd w:fill="auto" w:val="clear"/>
            <w:vAlign w:val="center"/>
          </w:tcPr>
          <w:p>
            <w:pPr>
              <w:pStyle w:val="TableContents"/>
              <w:spacing w:before="0" w:after="283"/>
              <w:rPr>
                <w:sz w:val="4"/>
                <w:szCs w:val="4"/>
              </w:rPr>
            </w:pPr>
            <w:r>
              <w:rPr>
                <w:sz w:val="4"/>
                <w:szCs w:val="4"/>
              </w:rPr>
            </w:r>
          </w:p>
        </w:tc>
        <w:tc>
          <w:tcPr>
            <w:tcW w:w="2259" w:type="dxa"/>
            <w:tcBorders/>
            <w:shd w:fill="auto" w:val="clear"/>
            <w:vAlign w:val="center"/>
          </w:tcPr>
          <w:p>
            <w:pPr>
              <w:pStyle w:val="TableContents"/>
              <w:spacing w:before="0" w:after="283"/>
              <w:rPr>
                <w:sz w:val="4"/>
                <w:szCs w:val="4"/>
              </w:rPr>
            </w:pPr>
            <w:r>
              <w:rPr>
                <w:sz w:val="4"/>
                <w:szCs w:val="4"/>
              </w:rPr>
            </w:r>
          </w:p>
        </w:tc>
        <w:tc>
          <w:tcPr>
            <w:tcW w:w="2270"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012"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958"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March 31, 2023</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Unpaid claims</w:t>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141,258 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141,947 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to related parties, net</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performance year obligation, current</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613,057 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73,844 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payable</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160,942 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148,191 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expenses</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47,452 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32,445 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salaries and benefits</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30,306 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23,962 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107,563 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current</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1,110,374 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431,507 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operating lease liabilities</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16,200 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16,193 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1,130,482 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451,733 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2,500,000,000 shares authorized at March 31, 2023 and December 31, 2022; 394,129,673 and 383,998,718 issued and outstanding at March 31, 2023 and December 31, 2022, respectively</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500,000,000 shares authorized at March 31, 2023 and December 31, 2022; 88,495,493 and 94,394,852 issued and outstanding at March 31, 2023 and December 31, 2022, respectively</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2,358,622 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2,319,157 </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(2,019,039)</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(1,946,433)</w:t>
            </w:r>
          </w:p>
        </w:tc>
        <w:tc>
          <w:tcPr>
            <w:tcW w:w="18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Treasury stock, at cost; 5,006,473 and 2,072,752 shares held at March 31, 2023 and December 31, 2022, respectively</w:t>
            </w:r>
          </w:p>
        </w:tc>
        <w:tc>
          <w:tcPr>
            <w:tcW w:w="123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(6,509)</w:t>
            </w:r>
          </w:p>
        </w:tc>
        <w:tc>
          <w:tcPr>
            <w:tcW w:w="1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auto" w:val="clear"/>
            <w:vAlign w:val="center"/>
          </w:tcPr>
          <w:p>
            <w:pPr>
              <w:pStyle w:val="TableContents"/>
              <w:spacing w:before="0" w:after="283"/>
              <w:rPr>
                <w:sz w:val="4"/>
                <w:szCs w:val="4"/>
              </w:rPr>
            </w:pPr>
            <w:r>
              <w:rPr>
                <w:sz w:val="4"/>
                <w:szCs w:val="4"/>
              </w:rPr>
            </w:r>
          </w:p>
        </w:tc>
        <w:tc>
          <w:tcPr>
            <w:tcW w:w="13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5" w:type="dxa"/>
            <w:gridSpan w:val="3"/>
            <w:tcBorders/>
            <w:shd w:fill="auto" w:val="clear"/>
            <w:vAlign w:val="center"/>
          </w:tcPr>
          <w:p>
            <w:pPr>
              <w:pStyle w:val="TableContents"/>
              <w:spacing w:before="0" w:after="283"/>
              <w:rPr>
                <w:sz w:val="4"/>
                <w:szCs w:val="4"/>
              </w:rPr>
            </w:pPr>
            <w:r>
              <w:rPr>
                <w:sz w:val="4"/>
                <w:szCs w:val="4"/>
              </w:rPr>
            </w:r>
          </w:p>
        </w:tc>
      </w:tr>
      <w:tr>
        <w:trPr/>
        <w:tc>
          <w:tcPr>
            <w:tcW w:w="715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3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323,107 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356,887 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1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1,453,589 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jc w:val="both"/>
        <w:rPr/>
      </w:pPr>
      <w:r>
        <w:rPr/>
      </w:r>
    </w:p>
    <w:p>
      <w:pPr>
        <w:pStyle w:val="TextBody"/>
        <w:spacing w:before="0" w:after="0"/>
        <w:rPr/>
      </w:pPr>
      <w:r>
        <w:rPr/>
      </w:r>
    </w:p>
    <w:p>
      <w:pPr>
        <w:pStyle w:val="TextBody"/>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97205"/>
                <wp:effectExtent l="0" t="0" r="0" b="0"/>
                <wp:wrapNone/>
                <wp:docPr id="6" name="Frame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231F20"/>
          <w:sz w:val="20"/>
        </w:rPr>
      </w:pPr>
      <w:r>
        <w:rPr>
          <w:rFonts w:ascii="Times New Roman;sans-serif" w:hAnsi="Times New Roman;sans-serif"/>
          <w:b w:val="false"/>
          <w:color w:val="231F20"/>
          <w:sz w:val="20"/>
        </w:rPr>
        <w:t>CLOVER HEALTH INVESTMENTS, CORP.</w:t>
      </w:r>
    </w:p>
    <w:p>
      <w:pPr>
        <w:pStyle w:val="TextBody"/>
        <w:spacing w:lineRule="auto" w:line="288" w:before="0" w:after="0"/>
        <w:jc w:val="center"/>
        <w:rPr/>
      </w:pPr>
      <w:r>
        <w:rPr>
          <w:rFonts w:ascii="Times New Roman;sans-serif" w:hAnsi="Times New Roman;sans-serif"/>
          <w:b w:val="false"/>
          <w:color w:val="231F20"/>
          <w:sz w:val="20"/>
        </w:rPr>
        <w:t xml:space="preserve">CONDENSED CONSOLIDATED STATEMENTS OF OPERATIONS AND COMPREHENSIVE LOSS </w:t>
      </w:r>
      <w:r>
        <w:rPr>
          <w:rFonts w:ascii="Times New Roman;sans-serif" w:hAnsi="Times New Roman;sans-serif"/>
          <w:b w:val="false"/>
          <w:color w:val="231F20"/>
          <w:sz w:val="16"/>
        </w:rPr>
        <w:t>(Unaudited)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per share and share amounts)</w:t>
      </w:r>
    </w:p>
    <w:tbl>
      <w:tblPr>
        <w:tblW w:w="10205" w:type="dxa"/>
        <w:jc w:val="center"/>
        <w:tblInd w:w="0" w:type="dxa"/>
        <w:tblCellMar>
          <w:top w:w="28" w:type="dxa"/>
          <w:left w:w="28" w:type="dxa"/>
          <w:bottom w:w="28" w:type="dxa"/>
          <w:right w:w="28" w:type="dxa"/>
        </w:tblCellMar>
      </w:tblPr>
      <w:tblGrid>
        <w:gridCol w:w="2564"/>
        <w:gridCol w:w="2005"/>
        <w:gridCol w:w="2018"/>
        <w:gridCol w:w="241"/>
        <w:gridCol w:w="945"/>
        <w:gridCol w:w="109"/>
        <w:gridCol w:w="109"/>
        <w:gridCol w:w="109"/>
        <w:gridCol w:w="109"/>
        <w:gridCol w:w="241"/>
        <w:gridCol w:w="945"/>
        <w:gridCol w:w="109"/>
        <w:gridCol w:w="109"/>
        <w:gridCol w:w="109"/>
        <w:gridCol w:w="109"/>
        <w:gridCol w:w="109"/>
        <w:gridCol w:w="109"/>
        <w:gridCol w:w="156"/>
      </w:tblGrid>
      <w:tr>
        <w:trPr/>
        <w:tc>
          <w:tcPr>
            <w:tcW w:w="2564"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18"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5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$122 and $119, for the three months ended March 31, 2023 and 2022, respectively)</w:t>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Net loss per share attributable to Class A and Class B common stockholders – basic and diluted </w:t>
            </w:r>
            <w:r>
              <w:rPr>
                <w:rFonts w:ascii="Times New Roman;sans-serif" w:hAnsi="Times New Roman;sans-serif"/>
                <w:b w:val="false"/>
                <w:color w:val="000000"/>
                <w:sz w:val="13"/>
              </w:rPr>
              <w:t>(1)</w:t>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number of common shares outstanding</w:t>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Basic and diluted weighted average number of Class A and Class B common shares and common share equivalents outstanding </w:t>
            </w:r>
            <w:r>
              <w:rPr>
                <w:rFonts w:ascii="Times New Roman;sans-serif" w:hAnsi="Times New Roman;sans-serif"/>
                <w:b w:val="false"/>
                <w:color w:val="000000"/>
                <w:sz w:val="13"/>
              </w:rPr>
              <w:t>(1)</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478,805,067 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473,028,651 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unrealized gain (loss) on available-for-sale investments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58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Because the Company had a net loss during the three months ended March 31, 2023 and 2022, the Company's potentially dilutive securities, which include stock options, restricted stock, preferred stock, and warrants to purchase shares of common stock and preferred stock, have been excluded from the computation of diluted net loss per share, as the effect would be anti-dilutive.</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97205"/>
                <wp:effectExtent l="0" t="0" r="0" b="0"/>
                <wp:wrapNone/>
                <wp:docPr id="7" name="Frame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w:t>
      </w:r>
    </w:p>
    <w:p>
      <w:pPr>
        <w:pStyle w:val="TextBody"/>
        <w:spacing w:lineRule="auto" w:line="288" w:before="0" w:after="0"/>
        <w:jc w:val="center"/>
        <w:rPr/>
      </w:pPr>
      <w:r>
        <w:rPr>
          <w:rFonts w:ascii="Times New Roman;sans-serif" w:hAnsi="Times New Roman;sans-serif"/>
          <w:b w:val="false"/>
          <w:color w:val="000000"/>
          <w:sz w:val="20"/>
        </w:rPr>
        <w:t xml:space="preserve">CONDENSED CONSOLIDATED STATEMENTS OF CHANGES IN CONVERTIBLE PREFERRED STOCK AND STOCKHOLDERS' EQUITY </w:t>
      </w:r>
      <w:r>
        <w:rPr>
          <w:rFonts w:ascii="Times New Roman;sans-serif" w:hAnsi="Times New Roman;sans-serif"/>
          <w:b w:val="false"/>
          <w:color w:val="000000"/>
          <w:sz w:val="16"/>
        </w:rPr>
        <w:t>(Unaudited)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 except share amounts)</w:t>
      </w:r>
    </w:p>
    <w:tbl>
      <w:tblPr>
        <w:tblW w:w="18439" w:type="dxa"/>
        <w:jc w:val="center"/>
        <w:tblInd w:w="0" w:type="dxa"/>
        <w:tblCellMar>
          <w:top w:w="28" w:type="dxa"/>
          <w:left w:w="28" w:type="dxa"/>
          <w:bottom w:w="28" w:type="dxa"/>
          <w:right w:w="28" w:type="dxa"/>
        </w:tblCellMar>
      </w:tblPr>
      <w:tblGrid>
        <w:gridCol w:w="686"/>
        <w:gridCol w:w="234"/>
        <w:gridCol w:w="236"/>
        <w:gridCol w:w="203"/>
        <w:gridCol w:w="203"/>
        <w:gridCol w:w="196"/>
        <w:gridCol w:w="109"/>
        <w:gridCol w:w="109"/>
        <w:gridCol w:w="109"/>
        <w:gridCol w:w="196"/>
        <w:gridCol w:w="406"/>
        <w:gridCol w:w="109"/>
        <w:gridCol w:w="109"/>
        <w:gridCol w:w="109"/>
        <w:gridCol w:w="109"/>
        <w:gridCol w:w="109"/>
        <w:gridCol w:w="109"/>
        <w:gridCol w:w="109"/>
        <w:gridCol w:w="533"/>
        <w:gridCol w:w="533"/>
        <w:gridCol w:w="196"/>
        <w:gridCol w:w="109"/>
        <w:gridCol w:w="109"/>
        <w:gridCol w:w="109"/>
        <w:gridCol w:w="236"/>
        <w:gridCol w:w="346"/>
        <w:gridCol w:w="109"/>
        <w:gridCol w:w="109"/>
        <w:gridCol w:w="109"/>
        <w:gridCol w:w="109"/>
        <w:gridCol w:w="533"/>
        <w:gridCol w:w="533"/>
        <w:gridCol w:w="196"/>
        <w:gridCol w:w="109"/>
        <w:gridCol w:w="109"/>
        <w:gridCol w:w="109"/>
        <w:gridCol w:w="236"/>
        <w:gridCol w:w="346"/>
        <w:gridCol w:w="109"/>
        <w:gridCol w:w="109"/>
        <w:gridCol w:w="109"/>
        <w:gridCol w:w="109"/>
        <w:gridCol w:w="441"/>
        <w:gridCol w:w="445"/>
        <w:gridCol w:w="196"/>
        <w:gridCol w:w="109"/>
        <w:gridCol w:w="109"/>
        <w:gridCol w:w="109"/>
        <w:gridCol w:w="196"/>
        <w:gridCol w:w="571"/>
        <w:gridCol w:w="109"/>
        <w:gridCol w:w="109"/>
        <w:gridCol w:w="109"/>
        <w:gridCol w:w="109"/>
        <w:gridCol w:w="196"/>
        <w:gridCol w:w="886"/>
        <w:gridCol w:w="109"/>
        <w:gridCol w:w="109"/>
        <w:gridCol w:w="109"/>
        <w:gridCol w:w="109"/>
        <w:gridCol w:w="196"/>
        <w:gridCol w:w="886"/>
        <w:gridCol w:w="109"/>
        <w:gridCol w:w="327"/>
        <w:gridCol w:w="262"/>
        <w:gridCol w:w="763"/>
        <w:gridCol w:w="146"/>
        <w:gridCol w:w="327"/>
        <w:gridCol w:w="268"/>
        <w:gridCol w:w="782"/>
        <w:gridCol w:w="151"/>
        <w:gridCol w:w="327"/>
        <w:gridCol w:w="196"/>
        <w:gridCol w:w="751"/>
        <w:gridCol w:w="154"/>
      </w:tblGrid>
      <w:tr>
        <w:trPr/>
        <w:tc>
          <w:tcPr>
            <w:tcW w:w="686"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Convertible Preferred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22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other</w:t>
              <w:br/>
              <w:t>comprehensive</w:t>
              <w:br/>
              <w:t>income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w:t>
              <w:br/>
              <w:t>interest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 (deficit)</w:t>
            </w:r>
          </w:p>
        </w:tc>
      </w:tr>
      <w:tr>
        <w:trPr/>
        <w:tc>
          <w:tcPr>
            <w:tcW w:w="115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auto" w:val="clear"/>
            <w:tcMar>
              <w:top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December 31, 2021</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352,645,626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118,206,768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14,730</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2,154,187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(1,616,738)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(1,934)</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3,903</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539,317</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accounting policy</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balance, beginning of period</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352,645,626</w:t>
            </w: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118,206,768</w:t>
            </w: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12</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14,730</w:t>
            </w: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2,154,187</w:t>
            </w: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(1,616,015)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(1,934)</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3,903</w:t>
            </w: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540,040</w:t>
            </w: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151,620 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40,640 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396,883 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1,677,873 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performance stock units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 for sale</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(5,324)</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B Common Stock to Class A Common Stock</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25,436,433 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(25,436,433)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1,879,063 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(5,939)</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Employee Stock Purchase Plan</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214,797 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Derecognition of noncontrolling interest</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(3,903)</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(75,490)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color w:val="000000"/>
                <w:sz w:val="16"/>
              </w:rPr>
            </w:pPr>
            <w:r>
              <w:rPr>
                <w:rFonts w:ascii="Times New Roman;sans-serif" w:hAnsi="Times New Roman;sans-serif"/>
                <w:b/>
                <w:color w:val="000000"/>
                <w:sz w:val="16"/>
              </w:rPr>
              <w:t>Balance, March 31, 2022</w:t>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378,854,310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94,448,208</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1,893,793</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2,195,158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(1,691,505)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(7,258)</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490,355</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1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December 31, 2022</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383,998,718</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94,394,852</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2,072,752</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2,319,157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(1,955,582)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(9,374)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347,738</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accounting policy</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9,149 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Adjusted balance, beginning of period</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383,998,718</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94,394,852</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2,072,752</w:t>
            </w: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(6,509)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2,319,157</w:t>
            </w: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(1,946,433)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(9,374)</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356,887</w:t>
            </w: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issuance for exercise of stock options, net of early exercise liability</w:t>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38,617 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restricted stock units</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5,390,973 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1,773,104 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Vested performance stock units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holdings gain on investment securities, available for sale</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2,343 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Conversion from Class B Common Stock to Class A Common Stock</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7,672,463 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(7,672,463)</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acquired</w:t>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(2,933,721)</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2,933,721 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(2,982)</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(72,606)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March 31, 2023</w:t>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394,129,673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88,495,493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5,006,473</w:t>
            </w:r>
            <w:r>
              <w:rPr>
                <w:color w:val="000000"/>
              </w:rPr>
              <w: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(9,491)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2,358,622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8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(2,019,039)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(7,031)</w:t>
            </w:r>
          </w:p>
        </w:tc>
        <w:tc>
          <w:tcPr>
            <w:tcW w:w="1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pPr>
            <w:r>
              <w:rPr>
                <w:rFonts w:ascii="Times New Roman;sans-serif" w:hAnsi="Times New Roman;sans-serif"/>
                <w:b/>
                <w:color w:val="000000"/>
                <w:sz w:val="16"/>
              </w:rPr>
              <w:t>323,107</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ind w:left="0" w:right="0" w:hanging="180"/>
        <w:rPr/>
      </w:pPr>
      <w:r>
        <w:rPr/>
      </w:r>
    </w:p>
    <w:p>
      <w:pPr>
        <w:pStyle w:val="TextBody"/>
        <w:spacing w:before="0" w:after="0"/>
        <w:rPr/>
      </w:pPr>
      <w:r>
        <w:rPr/>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97205"/>
                <wp:effectExtent l="0" t="0" r="0" b="0"/>
                <wp:wrapNone/>
                <wp:docPr id="8" name="Frame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before="0" w:after="0"/>
        <w:rPr/>
      </w:pPr>
      <w:r>
        <w:rPr/>
      </w:r>
    </w:p>
    <w:p>
      <w:pPr>
        <w:pStyle w:val="TextBody"/>
        <w:spacing w:lineRule="auto" w:line="288" w:before="24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CLOVER HEALTH INVESTMENTS, CORP.</w:t>
      </w:r>
    </w:p>
    <w:p>
      <w:pPr>
        <w:pStyle w:val="TextBody"/>
        <w:spacing w:lineRule="auto" w:line="288" w:before="0" w:after="0"/>
        <w:jc w:val="center"/>
        <w:rPr/>
      </w:pPr>
      <w:r>
        <w:rPr>
          <w:rFonts w:ascii="Times New Roman;sans-serif" w:hAnsi="Times New Roman;sans-serif"/>
          <w:b w:val="false"/>
          <w:color w:val="000000"/>
          <w:sz w:val="18"/>
        </w:rPr>
        <w:t xml:space="preserve">CONDENSED CONSOLIDATED STATEMENTS OF CASH FLOWS </w:t>
      </w:r>
      <w:r>
        <w:rPr>
          <w:rFonts w:ascii="Times New Roman;sans-serif" w:hAnsi="Times New Roman;sans-serif"/>
          <w:b w:val="false"/>
          <w:color w:val="231F20"/>
          <w:sz w:val="16"/>
        </w:rPr>
        <w:t>(Unaudited)</w:t>
      </w:r>
    </w:p>
    <w:p>
      <w:pPr>
        <w:pStyle w:val="TextBody"/>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(Dollars in thousands)</w:t>
      </w:r>
    </w:p>
    <w:tbl>
      <w:tblPr>
        <w:tblW w:w="10205" w:type="dxa"/>
        <w:jc w:val="center"/>
        <w:tblInd w:w="0" w:type="dxa"/>
        <w:tblCellMar>
          <w:top w:w="28" w:type="dxa"/>
          <w:left w:w="28" w:type="dxa"/>
          <w:bottom w:w="28" w:type="dxa"/>
          <w:right w:w="28" w:type="dxa"/>
        </w:tblCellMar>
      </w:tblPr>
      <w:tblGrid>
        <w:gridCol w:w="2628"/>
        <w:gridCol w:w="2301"/>
        <w:gridCol w:w="2318"/>
        <w:gridCol w:w="196"/>
        <w:gridCol w:w="810"/>
        <w:gridCol w:w="109"/>
        <w:gridCol w:w="109"/>
        <w:gridCol w:w="109"/>
        <w:gridCol w:w="109"/>
        <w:gridCol w:w="196"/>
        <w:gridCol w:w="945"/>
        <w:gridCol w:w="109"/>
        <w:gridCol w:w="109"/>
        <w:gridCol w:w="157"/>
      </w:tblGrid>
      <w:tr>
        <w:trPr/>
        <w:tc>
          <w:tcPr>
            <w:tcW w:w="2628" w:type="dxa"/>
            <w:tcBorders/>
            <w:shd w:fill="auto" w:val="clear"/>
            <w:vAlign w:val="center"/>
          </w:tcPr>
          <w:p>
            <w:pPr>
              <w:pStyle w:val="TableContents"/>
              <w:spacing w:before="0" w:after="283"/>
              <w:rPr>
                <w:sz w:val="4"/>
                <w:szCs w:val="4"/>
              </w:rPr>
            </w:pPr>
            <w:r>
              <w:rPr>
                <w:sz w:val="4"/>
                <w:szCs w:val="4"/>
              </w:rPr>
            </w:r>
          </w:p>
        </w:tc>
        <w:tc>
          <w:tcPr>
            <w:tcW w:w="2301" w:type="dxa"/>
            <w:tcBorders/>
            <w:shd w:fill="auto" w:val="clear"/>
            <w:vAlign w:val="center"/>
          </w:tcPr>
          <w:p>
            <w:pPr>
              <w:pStyle w:val="TableContents"/>
              <w:spacing w:before="0" w:after="283"/>
              <w:rPr>
                <w:sz w:val="4"/>
                <w:szCs w:val="4"/>
              </w:rPr>
            </w:pPr>
            <w:r>
              <w:rPr>
                <w:sz w:val="4"/>
                <w:szCs w:val="4"/>
              </w:rPr>
            </w:r>
          </w:p>
        </w:tc>
        <w:tc>
          <w:tcPr>
            <w:tcW w:w="231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March 31,</w:t>
            </w:r>
          </w:p>
        </w:tc>
        <w:tc>
          <w:tcPr>
            <w:tcW w:w="266" w:type="dxa"/>
            <w:gridSpan w:val="2"/>
            <w:tcBorders/>
            <w:shd w:fill="auto" w:val="clear"/>
          </w:tcPr>
          <w:p>
            <w:pPr>
              <w:pStyle w:val="TableContents"/>
              <w:spacing w:before="0" w:after="283"/>
              <w:rPr>
                <w:sz w:val="4"/>
                <w:szCs w:val="4"/>
              </w:rPr>
            </w:pPr>
            <w:r>
              <w:rPr>
                <w:sz w:val="4"/>
                <w:szCs w:val="4"/>
              </w:rPr>
            </w:r>
          </w:p>
        </w:tc>
      </w:tr>
      <w:tr>
        <w:trPr/>
        <w:tc>
          <w:tcPr>
            <w:tcW w:w="72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(72,606)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(75,490)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38,617 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net of amortization</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investment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(12,394)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Premium deficiency reserve</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1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retrospective premiums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(49,798)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receivables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Surety bonds and deposits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Healthcare receivables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Non-Insurance receivable</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Unpaid claims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expenses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salaries and benefits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107,563 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liabilities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year obligation</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(16,738)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Non-Insurance payable</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operating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79,032 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(57,042)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investing activities:</w:t>
            </w:r>
          </w:p>
        </w:tc>
        <w:tc>
          <w:tcPr>
            <w:tcW w:w="111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short-term investments, available-for-sale, and held-to-maturity securities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(67,893)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(113,079)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sales of short-term investments and available-for-sale securities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maturities of short-term investments, available-for-sale, and held-to-maturity securities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 of Character Biosciences, Inc. Series A preferred shares</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11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 of early exercise liability</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acquired</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(5,939)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financing activities</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increase in cash, cash equivalents, and restricted cash</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87,079 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(26,137)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beginning of period</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299,968 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Reconciliation of cash and cash equivalents and restricted cash</w:t>
            </w:r>
          </w:p>
        </w:tc>
        <w:tc>
          <w:tcPr>
            <w:tcW w:w="111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190,562 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Supplemental disclosure of non-cash activities</w:t>
            </w:r>
          </w:p>
        </w:tc>
        <w:tc>
          <w:tcPr>
            <w:tcW w:w="111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year receivable</w:t>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(552,620)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(1,743,406)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year obligation</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552,620 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1,743,406 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auto" w:val="clear"/>
            <w:vAlign w:val="center"/>
          </w:tcPr>
          <w:p>
            <w:pPr>
              <w:pStyle w:val="TableContents"/>
              <w:spacing w:before="0" w:after="283"/>
              <w:rPr>
                <w:sz w:val="4"/>
                <w:szCs w:val="4"/>
              </w:rPr>
            </w:pPr>
            <w:r>
              <w:rPr>
                <w:sz w:val="4"/>
                <w:szCs w:val="4"/>
              </w:rPr>
            </w:r>
          </w:p>
        </w:tc>
        <w:tc>
          <w:tcPr>
            <w:tcW w:w="111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obtained in exchange for lease liabilities</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Recognition of equity method investments and preferred stock</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Derecognition of noncontrolling interest</w:t>
            </w:r>
          </w:p>
        </w:tc>
        <w:tc>
          <w:tcPr>
            <w:tcW w:w="10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2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Character Biosciences, Inc. convertible note to preferred stock</w:t>
            </w:r>
          </w:p>
        </w:tc>
        <w:tc>
          <w:tcPr>
            <w:tcW w:w="10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accompanying notes are an integral part of these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97205"/>
                <wp:effectExtent l="0" t="0" r="0" b="0"/>
                <wp:wrapNone/>
                <wp:docPr id="9" name="Frame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CLOVER HEALTH INVESTMENTS, CORP. AND SUBSIDIARIES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Health Investments, Corp. (collectively with its affiliates and subsidiaries, "Clover" or the "Company") is focused on empowering physicians to identify and manage chronic diseases early. Clover has centered its strategy on building and deploying technology through its flagship software platform, Clover Assistant, to help America's seniors receive better care at lower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provides care to aligned Original Medicare beneficiaries (the "Non-Insurance Beneficiaries"). CMS redesigned the DC Model and renamed it the Accountable Care Organization ("ACO") Realizing Equity, Access, and Community Health ("REACH") ("ACO REACH Model" or "ACO REACH") Model effective January 1, 2023.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 Through its Non-Insurance operations, the Company assumes full risk (i.e., 100.0% shared savings and shared losses) for the total cost of care of aligned Non-Insurance Beneficiaries, empowers providers with Clover Assistant, and offers a variety of programs aimed at reducing expenditures and preserving or enhancing the quality of care for Non-Insurance Beneficiaries. For additional information related to the Company's Non-Insurance operations, see Note 15 (Non-Insurance) in these financial statements.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 included in the Company's Annual Report on Form 10-K for the year ended December 31, 2022 (the "2022 Form 10-K").</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interim unaudited condensed consolidated financial statements have been prepared in conformity with GAAP and include the accounts of the Company and its wholly-owned subsidiaries. In the opinion of management, the Company has made all necessary adjustments, which include normal recurring adjustments necessary for a fair presentation of its financial position and its results of operations for the interim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interim unaudited condensed consolidated financial statements should be read in conjunction with the audited consolidated financial statements and related notes to the financial statements included in the 2022 Form 10-K.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area involving the most significant use of estimates is the amount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w:t>
      </w: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97205"/>
                <wp:effectExtent l="0" t="0" r="0" b="0"/>
                <wp:wrapNone/>
                <wp:docPr id="10" name="Frame1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goodwill and other intangible assets, reinsurance, premium deficiency reserve, warrants, embedded derivative related to convertible securities, stock-based compensation, recoveries from third parties for coordination of benefits, ACO REACH Benchmark, specifically cost trend and risk score estimates that can develop over time, and final determination of medical cost adjustment pools.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Reclassifications</w:t>
      </w:r>
    </w:p>
    <w:p>
      <w:pPr>
        <w:pStyle w:val="TextBody"/>
        <w:spacing w:before="0" w:after="0"/>
        <w:jc w:val="both"/>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amounts in the prior years' Consolidated Balance Sheets and Consolidated Statements of Cash Flows have been reclassified to conform to the current year's presentation, primarily related to Non-Insurance receivable, Other assets, current, and Performance year obligation. In addition amounts in the prior years' Consolidated Statements of Cash Flows have been reclassified to confirm with the current year's presentation related to cash used by Performance year obligation.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Change in Accounting Policy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first quarter of 2023, the Company changed the method for determining premium deficiency reserves whereby anticipated net investment income is now included in the determination of premium deficiency reserves. The accounting policy election to include net investment income is preferable because it provides a better representation of the Company’s business model reflecting the fact that all cash flows, including investment income, are used to meet the Company’s obligations. The Company also believes that this change improves comparability with industry peers. This change is considered a change in accounting principle that requires retrospective application to all financial statement periods presented. This change decreased Accumulated deficit by $0.7 million to $1,616 million at January 1, 2022.</w:t>
      </w:r>
    </w:p>
    <w:p>
      <w:pPr>
        <w:pStyle w:val="TextBody"/>
        <w:spacing w:lineRule="auto" w:line="288" w:before="240" w:after="283"/>
        <w:jc w:val="both"/>
        <w:rPr>
          <w:rFonts w:ascii="Times New Roman;sans-serif" w:hAnsi="Times New Roman;sans-serif"/>
          <w:b w:val="false"/>
          <w:color w:val="231F20"/>
          <w:sz w:val="20"/>
        </w:rPr>
      </w:pPr>
      <w:r>
        <w:rPr>
          <w:rFonts w:ascii="Times New Roman;sans-serif" w:hAnsi="Times New Roman;sans-serif"/>
          <w:b w:val="false"/>
          <w:color w:val="231F20"/>
          <w:sz w:val="20"/>
        </w:rPr>
        <w:t>The effect of the changes made to the Company's Condensed Consolidated Statements of Comprehensive Income was as follows:</w:t>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299"/>
        <w:gridCol w:w="1957"/>
        <w:gridCol w:w="1967"/>
        <w:gridCol w:w="109"/>
        <w:gridCol w:w="109"/>
        <w:gridCol w:w="109"/>
        <w:gridCol w:w="214"/>
        <w:gridCol w:w="799"/>
        <w:gridCol w:w="110"/>
        <w:gridCol w:w="339"/>
        <w:gridCol w:w="862"/>
        <w:gridCol w:w="175"/>
        <w:gridCol w:w="211"/>
        <w:gridCol w:w="785"/>
        <w:gridCol w:w="160"/>
      </w:tblGrid>
      <w:tr>
        <w:trPr/>
        <w:tc>
          <w:tcPr>
            <w:tcW w:w="2299" w:type="dxa"/>
            <w:tcBorders/>
            <w:shd w:fill="auto" w:val="clear"/>
            <w:vAlign w:val="center"/>
          </w:tcPr>
          <w:p>
            <w:pPr>
              <w:pStyle w:val="TableContents"/>
              <w:spacing w:before="0" w:after="283"/>
              <w:rPr>
                <w:sz w:val="4"/>
                <w:szCs w:val="4"/>
              </w:rPr>
            </w:pPr>
            <w:r>
              <w:rPr>
                <w:sz w:val="4"/>
                <w:szCs w:val="4"/>
              </w:rPr>
            </w:r>
          </w:p>
        </w:tc>
        <w:tc>
          <w:tcPr>
            <w:tcW w:w="1957" w:type="dxa"/>
            <w:tcBorders/>
            <w:shd w:fill="auto" w:val="clear"/>
            <w:vAlign w:val="center"/>
          </w:tcPr>
          <w:p>
            <w:pPr>
              <w:pStyle w:val="TableContents"/>
              <w:spacing w:before="0" w:after="283"/>
              <w:rPr>
                <w:sz w:val="4"/>
                <w:szCs w:val="4"/>
              </w:rPr>
            </w:pPr>
            <w:r>
              <w:rPr>
                <w:sz w:val="4"/>
                <w:szCs w:val="4"/>
              </w:rPr>
            </w:r>
          </w:p>
        </w:tc>
        <w:tc>
          <w:tcPr>
            <w:tcW w:w="19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339" w:type="dxa"/>
            <w:tcBorders/>
            <w:shd w:fill="auto" w:val="clear"/>
            <w:vAlign w:val="center"/>
          </w:tcPr>
          <w:p>
            <w:pPr>
              <w:pStyle w:val="TableContents"/>
              <w:spacing w:before="0" w:after="283"/>
              <w:rPr>
                <w:sz w:val="4"/>
                <w:szCs w:val="4"/>
              </w:rPr>
            </w:pPr>
            <w:r>
              <w:rPr>
                <w:sz w:val="4"/>
                <w:szCs w:val="4"/>
              </w:rPr>
            </w:r>
          </w:p>
        </w:tc>
        <w:tc>
          <w:tcPr>
            <w:tcW w:w="862"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622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137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115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622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6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(27,657)</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961,679 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961,860 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(87,300)</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(87,481)</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(75,309)</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7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(75,490)</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B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effect of the changes made to the Company's Condensed Consolidated Balance Sheets was as follows:</w:t>
      </w:r>
    </w:p>
    <w:p>
      <w:pPr>
        <w:pStyle w:val="TextBody"/>
        <w:spacing w:before="0" w:after="0"/>
        <w:rPr/>
      </w:pPr>
      <w:r>
        <w:rPr/>
      </w:r>
    </w:p>
    <w:tbl>
      <w:tblPr>
        <w:tblW w:w="7629" w:type="dxa"/>
        <w:jc w:val="left"/>
        <w:tblInd w:w="0" w:type="dxa"/>
        <w:tblCellMar>
          <w:top w:w="28" w:type="dxa"/>
          <w:left w:w="28" w:type="dxa"/>
          <w:bottom w:w="28" w:type="dxa"/>
          <w:right w:w="28" w:type="dxa"/>
        </w:tblCellMar>
      </w:tblPr>
      <w:tblGrid>
        <w:gridCol w:w="1232"/>
        <w:gridCol w:w="1084"/>
        <w:gridCol w:w="1089"/>
        <w:gridCol w:w="109"/>
        <w:gridCol w:w="109"/>
        <w:gridCol w:w="109"/>
        <w:gridCol w:w="237"/>
        <w:gridCol w:w="813"/>
        <w:gridCol w:w="119"/>
        <w:gridCol w:w="313"/>
        <w:gridCol w:w="1025"/>
        <w:gridCol w:w="161"/>
        <w:gridCol w:w="267"/>
        <w:gridCol w:w="783"/>
        <w:gridCol w:w="179"/>
      </w:tblGrid>
      <w:tr>
        <w:trPr/>
        <w:tc>
          <w:tcPr>
            <w:tcW w:w="12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81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313"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149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122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3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16,388 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7,239 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440,656 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431,507 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460,882 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451,733 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(1,955,582)</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(1,946,433)</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347,738 </w:t>
            </w:r>
          </w:p>
        </w:tc>
        <w:tc>
          <w:tcPr>
            <w:tcW w:w="11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356,887 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808,620 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97205"/>
                <wp:effectExtent l="0" t="0" r="0" b="0"/>
                <wp:wrapNone/>
                <wp:docPr id="11" name="Frame1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before="0" w:after="0"/>
        <w:rPr/>
      </w:pPr>
      <w:r>
        <w:rPr/>
      </w:r>
    </w:p>
    <w:tbl>
      <w:tblPr>
        <w:tblW w:w="7595" w:type="dxa"/>
        <w:jc w:val="left"/>
        <w:tblInd w:w="0" w:type="dxa"/>
        <w:tblCellMar>
          <w:top w:w="28" w:type="dxa"/>
          <w:left w:w="28" w:type="dxa"/>
          <w:bottom w:w="28" w:type="dxa"/>
          <w:right w:w="28" w:type="dxa"/>
        </w:tblCellMar>
      </w:tblPr>
      <w:tblGrid>
        <w:gridCol w:w="1232"/>
        <w:gridCol w:w="1084"/>
        <w:gridCol w:w="1089"/>
        <w:gridCol w:w="109"/>
        <w:gridCol w:w="109"/>
        <w:gridCol w:w="109"/>
        <w:gridCol w:w="213"/>
        <w:gridCol w:w="837"/>
        <w:gridCol w:w="109"/>
        <w:gridCol w:w="367"/>
        <w:gridCol w:w="943"/>
        <w:gridCol w:w="190"/>
        <w:gridCol w:w="213"/>
        <w:gridCol w:w="837"/>
        <w:gridCol w:w="154"/>
      </w:tblGrid>
      <w:tr>
        <w:trPr/>
        <w:tc>
          <w:tcPr>
            <w:tcW w:w="123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08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943"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150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c>
          <w:tcPr>
            <w:tcW w:w="12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Adjusted</w:t>
            </w:r>
          </w:p>
        </w:tc>
      </w:tr>
      <w:tr>
        <w:trPr/>
        <w:tc>
          <w:tcPr>
            <w:tcW w:w="34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6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372,624 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371,901 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411,487 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410,764 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(1,616,738)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(1,616,015)</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539,317 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540,040 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950,804 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impact on total net cash used in operating activities.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the amounts currently reported to amounts that would have been reported where the determination of the premium deficiency reserves excludes anticipated net investment income in the Condensed Consolidated Statements of Comprehensive Income.</w:t>
      </w:r>
    </w:p>
    <w:tbl>
      <w:tblPr>
        <w:tblW w:w="10205" w:type="dxa"/>
        <w:jc w:val="left"/>
        <w:tblInd w:w="0" w:type="dxa"/>
        <w:tblCellMar>
          <w:top w:w="28" w:type="dxa"/>
          <w:left w:w="28" w:type="dxa"/>
          <w:bottom w:w="28" w:type="dxa"/>
          <w:right w:w="28" w:type="dxa"/>
        </w:tblCellMar>
      </w:tblPr>
      <w:tblGrid>
        <w:gridCol w:w="1709"/>
        <w:gridCol w:w="1333"/>
        <w:gridCol w:w="1339"/>
        <w:gridCol w:w="109"/>
        <w:gridCol w:w="109"/>
        <w:gridCol w:w="109"/>
        <w:gridCol w:w="213"/>
        <w:gridCol w:w="776"/>
        <w:gridCol w:w="110"/>
        <w:gridCol w:w="593"/>
        <w:gridCol w:w="2211"/>
        <w:gridCol w:w="306"/>
        <w:gridCol w:w="262"/>
        <w:gridCol w:w="830"/>
        <w:gridCol w:w="196"/>
      </w:tblGrid>
      <w:tr>
        <w:trPr/>
        <w:tc>
          <w:tcPr>
            <w:tcW w:w="1709" w:type="dxa"/>
            <w:tcBorders/>
            <w:shd w:fill="auto" w:val="clear"/>
            <w:vAlign w:val="center"/>
          </w:tcPr>
          <w:p>
            <w:pPr>
              <w:pStyle w:val="TableContents"/>
              <w:spacing w:before="0" w:after="283"/>
              <w:rPr>
                <w:sz w:val="4"/>
                <w:szCs w:val="4"/>
              </w:rPr>
            </w:pPr>
            <w:r>
              <w:rPr>
                <w:sz w:val="4"/>
                <w:szCs w:val="4"/>
              </w:rPr>
            </w:r>
          </w:p>
        </w:tc>
        <w:tc>
          <w:tcPr>
            <w:tcW w:w="1333" w:type="dxa"/>
            <w:tcBorders/>
            <w:shd w:fill="auto" w:val="clear"/>
            <w:vAlign w:val="center"/>
          </w:tcPr>
          <w:p>
            <w:pPr>
              <w:pStyle w:val="TableContents"/>
              <w:spacing w:before="0" w:after="283"/>
              <w:rPr>
                <w:sz w:val="4"/>
                <w:szCs w:val="4"/>
              </w:rPr>
            </w:pPr>
            <w:r>
              <w:rPr>
                <w:sz w:val="4"/>
                <w:szCs w:val="4"/>
              </w:rPr>
            </w:r>
          </w:p>
        </w:tc>
        <w:tc>
          <w:tcPr>
            <w:tcW w:w="13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776"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593" w:type="dxa"/>
            <w:tcBorders/>
            <w:shd w:fill="auto" w:val="clear"/>
            <w:vAlign w:val="center"/>
          </w:tcPr>
          <w:p>
            <w:pPr>
              <w:pStyle w:val="TableContents"/>
              <w:spacing w:before="0" w:after="283"/>
              <w:rPr>
                <w:sz w:val="4"/>
                <w:szCs w:val="4"/>
              </w:rPr>
            </w:pPr>
            <w:r>
              <w:rPr>
                <w:sz w:val="4"/>
                <w:szCs w:val="4"/>
              </w:rPr>
            </w:r>
          </w:p>
        </w:tc>
        <w:tc>
          <w:tcPr>
            <w:tcW w:w="2211"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438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311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computed excluding anticipated net investment income</w:t>
            </w:r>
          </w:p>
        </w:tc>
        <w:tc>
          <w:tcPr>
            <w:tcW w:w="1288"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r>
      <w:tr>
        <w:trPr/>
        <w:tc>
          <w:tcPr>
            <w:tcW w:w="438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9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4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600,381 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598,094 </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(70,319)</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(70,319)</w:t>
            </w:r>
          </w:p>
        </w:tc>
        <w:tc>
          <w:tcPr>
            <w:tcW w:w="30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(2,287)</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1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8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B common stockholders - basic and diluted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compares the amounts currently reported to amounts that would have been reported where the determination of the premium deficiency reserves excludes anticipated net investment income in the Condensed Consolidated Balance Sheets.</w:t>
      </w:r>
    </w:p>
    <w:tbl>
      <w:tblPr>
        <w:tblW w:w="10205" w:type="dxa"/>
        <w:jc w:val="left"/>
        <w:tblInd w:w="0" w:type="dxa"/>
        <w:tblCellMar>
          <w:top w:w="28" w:type="dxa"/>
          <w:left w:w="28" w:type="dxa"/>
          <w:bottom w:w="28" w:type="dxa"/>
          <w:right w:w="28" w:type="dxa"/>
        </w:tblCellMar>
      </w:tblPr>
      <w:tblGrid>
        <w:gridCol w:w="1144"/>
        <w:gridCol w:w="928"/>
        <w:gridCol w:w="931"/>
        <w:gridCol w:w="109"/>
        <w:gridCol w:w="109"/>
        <w:gridCol w:w="109"/>
        <w:gridCol w:w="265"/>
        <w:gridCol w:w="773"/>
        <w:gridCol w:w="127"/>
        <w:gridCol w:w="871"/>
        <w:gridCol w:w="2942"/>
        <w:gridCol w:w="448"/>
        <w:gridCol w:w="290"/>
        <w:gridCol w:w="941"/>
        <w:gridCol w:w="218"/>
      </w:tblGrid>
      <w:tr>
        <w:trPr/>
        <w:tc>
          <w:tcPr>
            <w:tcW w:w="1144"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871" w:type="dxa"/>
            <w:tcBorders/>
            <w:shd w:fill="auto" w:val="clear"/>
            <w:vAlign w:val="center"/>
          </w:tcPr>
          <w:p>
            <w:pPr>
              <w:pStyle w:val="TableContents"/>
              <w:spacing w:before="0" w:after="283"/>
              <w:rPr>
                <w:sz w:val="4"/>
                <w:szCs w:val="4"/>
              </w:rPr>
            </w:pPr>
            <w:r>
              <w:rPr>
                <w:sz w:val="4"/>
                <w:szCs w:val="4"/>
              </w:rPr>
            </w:r>
          </w:p>
        </w:tc>
        <w:tc>
          <w:tcPr>
            <w:tcW w:w="2942"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r>
      <w:tr>
        <w:trPr/>
        <w:tc>
          <w:tcPr>
            <w:tcW w:w="300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Reported</w:t>
            </w:r>
          </w:p>
        </w:tc>
        <w:tc>
          <w:tcPr>
            <w:tcW w:w="42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 computed excluding anticipated net investment income</w:t>
            </w:r>
          </w:p>
        </w:tc>
        <w:tc>
          <w:tcPr>
            <w:tcW w:w="14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Effect of Change</w:t>
            </w:r>
          </w:p>
        </w:tc>
      </w:tr>
      <w:tr>
        <w:trPr/>
        <w:tc>
          <w:tcPr>
            <w:tcW w:w="300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75"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w:t>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5,430 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94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12,292 </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1,110,374 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1,117,236 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1,130,482 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1,137,344 </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(2,019,039)</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(2,025,901)</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323,107 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316,245 </w:t>
            </w:r>
          </w:p>
        </w:tc>
        <w:tc>
          <w:tcPr>
            <w:tcW w:w="44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6,862 </w:t>
            </w:r>
          </w:p>
        </w:tc>
        <w:tc>
          <w:tcPr>
            <w:tcW w:w="21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1,453,589 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1,453,589 </w:t>
            </w:r>
          </w:p>
        </w:tc>
        <w:tc>
          <w:tcPr>
            <w:tcW w:w="44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was no impact on the Condensed Consolidated Statements of Cash Flows.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Equity method of accounting and variable interest entities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97205"/>
                <wp:effectExtent l="0" t="0" r="0" b="0"/>
                <wp:wrapNone/>
                <wp:docPr id="12" name="Frame1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Company's carrying value in an equity method investee company is reduced to zero, no further losses are recorded in the Company's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Segment information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The Company has two reporting segments: Insurance and Non-Insurance.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Performance guarantees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began participating in the DC Model of the Centers for Medicare &amp; Medicaid Services ("CMS"), which utilizes a structured model intended to reduce expenditures and preserve or enhance quality of care for beneficiaries in Medicare fee-for-service ("FFS"). CMS redesigned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assumes the responsibility of guaranteeing the performance of its care network. The ACO REACH Model is intended to reduce the administrative burden, support a focus on complex, chronically ill patients, and encourage physician organizations that have not typically participated in Medicare FFS to serve beneficiaries in Medicare FFS. The Company's operations in connection with both the DC Model and ACO REACH Model are included in the Non-Insurance operating segment. See Note 16 (Operating Segments) for additional information.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of the Company's arrangements with third-party providers require it to guarantee the performance of its care network to CMS. As a result of the Company's participation in the DC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460-Guarantees.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Consolidated Balance Sheets.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each performance year in which the DCE is a participant, the final consideration due to the DCE from CMS ("shared savings") or the consideration due to CMS from the DCE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w:t>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97205"/>
                <wp:effectExtent l="0" t="0" r="0" b="0"/>
                <wp:wrapNone/>
                <wp:docPr id="13" name="Frame1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Capitalized software development costs - cloud computing arrangements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cloud computing arrangements are mostly comprised of hosting arrangements that are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Consolidated Balance Sheets within Prepaid expenses, and are generally amortized over the fixed, non-cancelable term of the associated hosting arrangement on a straight-line basis.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Deferred acquisition costs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Acquisition costs directly related to the successful acquisition of new business, which are primarily made up of commissions costs, are deferred and subsequently amortized. Deferred acquisition costs are recorded within Other assets, current on the Consolidated Balance Sheets and are amortized over the estimated life of the related contracts. The amortization of deferred acquisition costs is recorded within General and administrative expenses within the Consolidated Statements of Operations and Comprehensive Loss. At March 31, 2023 and December 31, 2022, there were no deferred acquisition costs as a result of the acceleration of amortization for deferred acquisition costs due to the recognition of a premium deficiency reserve. For the three months ended March 31, 2023 and 2022, charges related to deferred acquisition costs of $3.9 million, and $11.8 million, respectively, were recognized within General and administrative expenses.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Recently adopted accounting pronouncements</w:t>
      </w:r>
    </w:p>
    <w:p>
      <w:pPr>
        <w:pStyle w:val="TextBody"/>
        <w:spacing w:before="0" w:after="0"/>
        <w:rPr/>
      </w:pPr>
      <w:r>
        <w:rPr/>
      </w:r>
    </w:p>
    <w:p>
      <w:pPr>
        <w:pStyle w:val="TextBody"/>
        <w:spacing w:lineRule="auto" w:line="256" w:before="0" w:after="0"/>
        <w:jc w:val="both"/>
        <w:rPr/>
      </w:pPr>
      <w:r>
        <w:rPr>
          <w:rFonts w:ascii="Times New Roman;sans-serif" w:hAnsi="Times New Roman;sans-serif"/>
          <w:b w:val="false"/>
          <w:color w:val="000000"/>
          <w:sz w:val="20"/>
        </w:rPr>
        <w:t xml:space="preserve">In August 2018, the FASB issued ASU 2018-12, </w:t>
      </w:r>
      <w:r>
        <w:rPr>
          <w:rFonts w:ascii="Times New Roman;sans-serif" w:hAnsi="Times New Roman;sans-serif"/>
          <w:b w:val="false"/>
          <w:i/>
          <w:color w:val="000000"/>
          <w:sz w:val="20"/>
        </w:rPr>
        <w:t>Financial Services - Insurance (Topic 944): Targeted Improvements to the Accounting for Long-Duration Contracts,</w:t>
      </w:r>
      <w:r>
        <w:rPr>
          <w:color w:val="000000"/>
        </w:rPr>
        <w:t xml:space="preserve"> </w:t>
      </w:r>
      <w:r>
        <w:rPr>
          <w:rFonts w:ascii="Times New Roman;sans-serif" w:hAnsi="Times New Roman;sans-serif"/>
          <w:b w:val="false"/>
          <w:color w:val="000000"/>
          <w:sz w:val="20"/>
        </w:rPr>
        <w:t xml:space="preserve">which was subsequently amended by ASU 2019-09, </w:t>
      </w:r>
      <w:r>
        <w:rPr>
          <w:rFonts w:ascii="Times New Roman;sans-serif" w:hAnsi="Times New Roman;sans-serif"/>
          <w:b w:val="false"/>
          <w:i/>
          <w:color w:val="000000"/>
          <w:sz w:val="20"/>
        </w:rPr>
        <w:t>Financial Services—Insurance (Topic 944): Effective Date</w:t>
      </w:r>
      <w:r>
        <w:rPr>
          <w:color w:val="000000"/>
        </w:rPr>
        <w:t xml:space="preserve"> </w:t>
      </w:r>
      <w:r>
        <w:rPr>
          <w:rFonts w:ascii="Times New Roman;sans-serif" w:hAnsi="Times New Roman;sans-serif"/>
          <w:b w:val="false"/>
          <w:color w:val="000000"/>
          <w:sz w:val="20"/>
        </w:rPr>
        <w:t>and ASU 2020-11,</w:t>
      </w:r>
      <w:r>
        <w:rPr>
          <w:color w:val="000000"/>
        </w:rPr>
        <w:t xml:space="preserve"> </w:t>
      </w:r>
      <w:r>
        <w:rPr>
          <w:rFonts w:ascii="Times New Roman;sans-serif" w:hAnsi="Times New Roman;sans-serif"/>
          <w:b w:val="false"/>
          <w:i/>
          <w:color w:val="000000"/>
          <w:sz w:val="20"/>
        </w:rPr>
        <w:t>Financial Services—Insurance (Topic 944): Effective Date and Early Application</w:t>
      </w:r>
      <w:r>
        <w:rPr>
          <w:rFonts w:ascii="Times New Roman;sans-serif" w:hAnsi="Times New Roman;sans-serif"/>
          <w:b w:val="false"/>
          <w:color w:val="000000"/>
          <w:sz w:val="20"/>
        </w:rPr>
        <w:t>. ASU 2020-11 was issued in consideration of the implications of COVID-19 and to provide transition relief and additional time for implementation by deferring the effective date by one year. The amendments in ASU 2018-12 make changes to a variety of areas to simplify or improve the existing recognition, measurement, presentation, and disclosure requirements for long-duration contracts issued by an insurance entity. The amendments require insurers to annually review the assumptions they make about their policyholders and update the liabilities for future policy benefits if the assumptions change. The amendments also simplify the amortization of deferred acquisition costs and add new disclosure requirements about the assumptions used to measure liabilities and the potential impact to future cash flows. The amendments related to the liability for future policy benefits for traditional and limited-payment contracts and deferred acquisition costs are to be applied to contracts in force at the beginning of the earliest period presented, with an option to apply such amendments retrospectively with a cumulative-effect adjustment to the opening balance of retained earnings at the earliest period presented. The amendments for market risk benefits are to be applied retrospectively. ASU 2020-11 is effective for public entities for periods beginning after December 15, 2022. The Company adopted this standard on January 1, 2023. The adoption of ASU 2018-12 and related amendments did not have a material impact on the Company's financial statements.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Accounting pronouncements effective in future periods</w:t>
      </w:r>
    </w:p>
    <w:p>
      <w:pPr>
        <w:pStyle w:val="TextBody"/>
        <w:spacing w:before="0" w:after="0"/>
        <w:rPr/>
      </w:pPr>
      <w:r>
        <w:rPr/>
      </w:r>
    </w:p>
    <w:p>
      <w:pPr>
        <w:pStyle w:val="TextBody"/>
        <w:spacing w:lineRule="auto" w:line="25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97205"/>
                <wp:effectExtent l="0" t="0" r="0" b="0"/>
                <wp:wrapNone/>
                <wp:docPr id="14" name="Frame1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3. Investment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amortized cost and fair values of investments at March 31, 2023 and December 31, 2022, respectively:</w:t>
      </w:r>
    </w:p>
    <w:tbl>
      <w:tblPr>
        <w:tblW w:w="10205" w:type="dxa"/>
        <w:jc w:val="left"/>
        <w:tblInd w:w="0" w:type="dxa"/>
        <w:tblCellMar>
          <w:top w:w="28" w:type="dxa"/>
          <w:left w:w="28" w:type="dxa"/>
          <w:bottom w:w="28" w:type="dxa"/>
          <w:right w:w="28" w:type="dxa"/>
        </w:tblCellMar>
      </w:tblPr>
      <w:tblGrid>
        <w:gridCol w:w="1353"/>
        <w:gridCol w:w="941"/>
        <w:gridCol w:w="861"/>
        <w:gridCol w:w="109"/>
        <w:gridCol w:w="109"/>
        <w:gridCol w:w="109"/>
        <w:gridCol w:w="219"/>
        <w:gridCol w:w="860"/>
        <w:gridCol w:w="113"/>
        <w:gridCol w:w="109"/>
        <w:gridCol w:w="109"/>
        <w:gridCol w:w="109"/>
        <w:gridCol w:w="448"/>
        <w:gridCol w:w="990"/>
        <w:gridCol w:w="232"/>
        <w:gridCol w:w="109"/>
        <w:gridCol w:w="109"/>
        <w:gridCol w:w="109"/>
        <w:gridCol w:w="372"/>
        <w:gridCol w:w="1117"/>
        <w:gridCol w:w="194"/>
        <w:gridCol w:w="109"/>
        <w:gridCol w:w="109"/>
        <w:gridCol w:w="109"/>
        <w:gridCol w:w="211"/>
        <w:gridCol w:w="826"/>
        <w:gridCol w:w="160"/>
      </w:tblGrid>
      <w:tr>
        <w:trPr/>
        <w:tc>
          <w:tcPr>
            <w:tcW w:w="1353"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8"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5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5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3"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76"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5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192,016 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(6,687)</w:t>
            </w:r>
          </w:p>
        </w:tc>
        <w:tc>
          <w:tcPr>
            <w:tcW w:w="19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185,389 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5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106,689 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38"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3155" w:type="dxa"/>
            <w:gridSpan w:val="3"/>
            <w:tcBorders/>
            <w:shd w:fill="FFFFFF" w:val="clear"/>
            <w:tcMar>
              <w:top w:w="0" w:type="dxa"/>
              <w:left w:w="0" w:type="dxa"/>
              <w:bottom w:w="0" w:type="dxa"/>
              <w:right w:w="0" w:type="dxa"/>
            </w:tcMar>
            <w:vAlign w:val="center"/>
          </w:tcPr>
          <w:p>
            <w:pPr>
              <w:pStyle w:val="TableContents"/>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 and available-for-sale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299,461 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292,340 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1347"/>
        <w:gridCol w:w="901"/>
        <w:gridCol w:w="906"/>
        <w:gridCol w:w="109"/>
        <w:gridCol w:w="109"/>
        <w:gridCol w:w="109"/>
        <w:gridCol w:w="219"/>
        <w:gridCol w:w="860"/>
        <w:gridCol w:w="113"/>
        <w:gridCol w:w="109"/>
        <w:gridCol w:w="109"/>
        <w:gridCol w:w="109"/>
        <w:gridCol w:w="485"/>
        <w:gridCol w:w="934"/>
        <w:gridCol w:w="252"/>
        <w:gridCol w:w="109"/>
        <w:gridCol w:w="109"/>
        <w:gridCol w:w="109"/>
        <w:gridCol w:w="372"/>
        <w:gridCol w:w="1117"/>
        <w:gridCol w:w="194"/>
        <w:gridCol w:w="109"/>
        <w:gridCol w:w="109"/>
        <w:gridCol w:w="109"/>
        <w:gridCol w:w="211"/>
        <w:gridCol w:w="826"/>
        <w:gridCol w:w="160"/>
      </w:tblGrid>
      <w:tr>
        <w:trPr/>
        <w:tc>
          <w:tcPr>
            <w:tcW w:w="1347"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9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5"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1117"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3154"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gains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 unrealized losses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5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0"/>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54"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held-to-maturity</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shd w:fill="auto"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4" w:type="dxa"/>
            <w:gridSpan w:val="3"/>
            <w:tcBorders/>
            <w:shd w:fill="CFF0FC"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 available-for-sale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1"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5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237,457 </w:t>
            </w:r>
          </w:p>
        </w:tc>
        <w:tc>
          <w:tcPr>
            <w:tcW w:w="11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5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228,467 </w:t>
            </w:r>
          </w:p>
        </w:tc>
        <w:tc>
          <w:tcPr>
            <w:tcW w:w="160" w:type="dxa"/>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54" w:type="dxa"/>
            <w:gridSpan w:val="3"/>
            <w:tcBorders/>
            <w:shd w:fill="CCEEFF" w:val="clear"/>
            <w:tcMar>
              <w:top w:w="0" w:type="dxa"/>
              <w:left w:w="0" w:type="dxa"/>
              <w:bottom w:w="0" w:type="dxa"/>
              <w:right w:w="0" w:type="dxa"/>
            </w:tcMar>
            <w:vAlign w:val="center"/>
          </w:tcPr>
          <w:p>
            <w:pPr>
              <w:pStyle w:val="TableContents"/>
              <w:spacing w:lineRule="auto" w:line="26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98,783 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9"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5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9"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7" w:type="dxa"/>
            <w:gridSpan w:val="3"/>
            <w:tcBorders/>
            <w:shd w:fill="auto" w:val="clear"/>
            <w:vAlign w:val="center"/>
          </w:tcPr>
          <w:p>
            <w:pPr>
              <w:pStyle w:val="TableContents"/>
              <w:spacing w:before="0" w:after="283"/>
              <w:rPr>
                <w:sz w:val="4"/>
                <w:szCs w:val="4"/>
              </w:rPr>
            </w:pPr>
            <w:r>
              <w:rPr>
                <w:sz w:val="4"/>
                <w:szCs w:val="4"/>
              </w:rPr>
            </w:r>
          </w:p>
        </w:tc>
      </w:tr>
      <w:tr>
        <w:trPr/>
        <w:tc>
          <w:tcPr>
            <w:tcW w:w="3154" w:type="dxa"/>
            <w:gridSpan w:val="3"/>
            <w:tcBorders/>
            <w:shd w:fill="auto" w:val="clear"/>
            <w:tcMar>
              <w:top w:w="0" w:type="dxa"/>
              <w:left w:w="0" w:type="dxa"/>
              <w:bottom w:w="0" w:type="dxa"/>
              <w:right w:w="0" w:type="dxa"/>
            </w:tcMar>
            <w:vAlign w:val="center"/>
          </w:tcPr>
          <w:p>
            <w:pPr>
              <w:pStyle w:val="TableContents"/>
              <w:spacing w:lineRule="auto" w:line="268"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Total held-to-maturity and available-for-sale investment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336,997 </w:t>
            </w:r>
          </w:p>
        </w:tc>
        <w:tc>
          <w:tcPr>
            <w:tcW w:w="1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5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w:t>
            </w:r>
          </w:p>
        </w:tc>
        <w:tc>
          <w:tcPr>
            <w:tcW w:w="19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327,517 </w:t>
            </w:r>
          </w:p>
        </w:tc>
        <w:tc>
          <w:tcPr>
            <w:tcW w:w="16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amortized cost and fair value of debt securities at March 31, 2023, by contractual maturity:</w:t>
      </w:r>
    </w:p>
    <w:tbl>
      <w:tblPr>
        <w:tblW w:w="9022" w:type="dxa"/>
        <w:jc w:val="left"/>
        <w:tblInd w:w="0" w:type="dxa"/>
        <w:tblCellMar>
          <w:top w:w="28" w:type="dxa"/>
          <w:left w:w="28" w:type="dxa"/>
          <w:bottom w:w="28" w:type="dxa"/>
          <w:right w:w="28" w:type="dxa"/>
        </w:tblCellMar>
      </w:tblPr>
      <w:tblGrid>
        <w:gridCol w:w="1131"/>
        <w:gridCol w:w="999"/>
        <w:gridCol w:w="1005"/>
        <w:gridCol w:w="109"/>
        <w:gridCol w:w="109"/>
        <w:gridCol w:w="109"/>
        <w:gridCol w:w="337"/>
        <w:gridCol w:w="747"/>
        <w:gridCol w:w="176"/>
        <w:gridCol w:w="109"/>
        <w:gridCol w:w="109"/>
        <w:gridCol w:w="109"/>
        <w:gridCol w:w="233"/>
        <w:gridCol w:w="516"/>
        <w:gridCol w:w="120"/>
        <w:gridCol w:w="109"/>
        <w:gridCol w:w="109"/>
        <w:gridCol w:w="109"/>
        <w:gridCol w:w="232"/>
        <w:gridCol w:w="908"/>
        <w:gridCol w:w="119"/>
        <w:gridCol w:w="109"/>
        <w:gridCol w:w="109"/>
        <w:gridCol w:w="109"/>
        <w:gridCol w:w="211"/>
        <w:gridCol w:w="826"/>
        <w:gridCol w:w="154"/>
      </w:tblGrid>
      <w:tr>
        <w:trPr/>
        <w:tc>
          <w:tcPr>
            <w:tcW w:w="1131"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747"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56"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Held-to-maturity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7"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Available-for-sale</w:t>
            </w:r>
          </w:p>
        </w:tc>
      </w:tr>
      <w:tr>
        <w:trPr/>
        <w:tc>
          <w:tcPr>
            <w:tcW w:w="313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1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0"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13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159,062 </w:t>
            </w:r>
          </w:p>
        </w:tc>
        <w:tc>
          <w:tcPr>
            <w:tcW w:w="1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156,542 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five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139,643 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135,132 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five years through ten years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7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ten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9"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90"/>
              <w:rPr>
                <w:sz w:val="4"/>
                <w:szCs w:val="4"/>
              </w:rPr>
            </w:pPr>
            <w:r>
              <w:rPr>
                <w:sz w:val="4"/>
                <w:szCs w:val="4"/>
              </w:rPr>
            </w:r>
          </w:p>
        </w:tc>
      </w:tr>
      <w:tr>
        <w:trPr/>
        <w:tc>
          <w:tcPr>
            <w:tcW w:w="313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7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2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298,705 </w:t>
            </w:r>
          </w:p>
        </w:tc>
        <w:tc>
          <w:tcPr>
            <w:tcW w:w="1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291,674 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97205"/>
                <wp:effectExtent l="0" t="0" r="0" b="0"/>
                <wp:wrapNone/>
                <wp:docPr id="15" name="Frame1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and 2022, respectively, net investment income, which is included within Other income within the Consolidated Statements of Operations and Comprehensive Loss, was derived from the following sources:</w:t>
      </w:r>
    </w:p>
    <w:tbl>
      <w:tblPr>
        <w:tblW w:w="5339" w:type="dxa"/>
        <w:jc w:val="left"/>
        <w:tblInd w:w="0" w:type="dxa"/>
        <w:tblCellMar>
          <w:top w:w="28" w:type="dxa"/>
          <w:left w:w="28" w:type="dxa"/>
          <w:bottom w:w="28" w:type="dxa"/>
          <w:right w:w="28" w:type="dxa"/>
        </w:tblCellMar>
      </w:tblPr>
      <w:tblGrid>
        <w:gridCol w:w="820"/>
        <w:gridCol w:w="720"/>
        <w:gridCol w:w="724"/>
        <w:gridCol w:w="109"/>
        <w:gridCol w:w="109"/>
        <w:gridCol w:w="109"/>
        <w:gridCol w:w="211"/>
        <w:gridCol w:w="616"/>
        <w:gridCol w:w="109"/>
        <w:gridCol w:w="109"/>
        <w:gridCol w:w="109"/>
        <w:gridCol w:w="109"/>
        <w:gridCol w:w="211"/>
        <w:gridCol w:w="466"/>
        <w:gridCol w:w="109"/>
        <w:gridCol w:w="109"/>
        <w:gridCol w:w="109"/>
        <w:gridCol w:w="109"/>
        <w:gridCol w:w="109"/>
        <w:gridCol w:w="109"/>
        <w:gridCol w:w="154"/>
      </w:tblGrid>
      <w:tr>
        <w:trPr/>
        <w:tc>
          <w:tcPr>
            <w:tcW w:w="820"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7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1" w:type="dxa"/>
            <w:gridSpan w:val="4"/>
            <w:tcBorders/>
            <w:shd w:fill="auto" w:val="clea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4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income,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Gross unrealized losses and fair values aggregated by investment category and length of time that individual securities have been in a continuous unrealized loss position were as follows at March 31, 2023, and December 31, 2022, respectively:</w:t>
      </w:r>
    </w:p>
    <w:tbl>
      <w:tblPr>
        <w:tblW w:w="10205" w:type="dxa"/>
        <w:jc w:val="left"/>
        <w:tblInd w:w="0" w:type="dxa"/>
        <w:tblCellMar>
          <w:top w:w="28" w:type="dxa"/>
          <w:left w:w="28" w:type="dxa"/>
          <w:bottom w:w="28" w:type="dxa"/>
          <w:right w:w="28" w:type="dxa"/>
        </w:tblCellMar>
      </w:tblPr>
      <w:tblGrid>
        <w:gridCol w:w="725"/>
        <w:gridCol w:w="640"/>
        <w:gridCol w:w="476"/>
        <w:gridCol w:w="109"/>
        <w:gridCol w:w="109"/>
        <w:gridCol w:w="109"/>
        <w:gridCol w:w="211"/>
        <w:gridCol w:w="721"/>
        <w:gridCol w:w="109"/>
        <w:gridCol w:w="109"/>
        <w:gridCol w:w="109"/>
        <w:gridCol w:w="109"/>
        <w:gridCol w:w="262"/>
        <w:gridCol w:w="598"/>
        <w:gridCol w:w="135"/>
        <w:gridCol w:w="109"/>
        <w:gridCol w:w="109"/>
        <w:gridCol w:w="109"/>
        <w:gridCol w:w="211"/>
        <w:gridCol w:w="826"/>
        <w:gridCol w:w="109"/>
        <w:gridCol w:w="109"/>
        <w:gridCol w:w="109"/>
        <w:gridCol w:w="109"/>
        <w:gridCol w:w="221"/>
        <w:gridCol w:w="676"/>
        <w:gridCol w:w="114"/>
        <w:gridCol w:w="109"/>
        <w:gridCol w:w="109"/>
        <w:gridCol w:w="109"/>
        <w:gridCol w:w="211"/>
        <w:gridCol w:w="826"/>
        <w:gridCol w:w="109"/>
        <w:gridCol w:w="109"/>
        <w:gridCol w:w="109"/>
        <w:gridCol w:w="109"/>
        <w:gridCol w:w="220"/>
        <w:gridCol w:w="675"/>
        <w:gridCol w:w="168"/>
      </w:tblGrid>
      <w:tr>
        <w:trPr/>
        <w:tc>
          <w:tcPr>
            <w:tcW w:w="725"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75"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center"/>
          </w:tcPr>
          <w:p>
            <w:pPr>
              <w:pStyle w:val="TableContents"/>
              <w:spacing w:before="0" w:after="283"/>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4"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36"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8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r>
      <w:tr>
        <w:trPr/>
        <w:tc>
          <w:tcPr>
            <w:tcW w:w="18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37"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number of positions)</w:t>
            </w:r>
          </w:p>
        </w:tc>
      </w:tr>
      <w:tr>
        <w:trPr/>
        <w:tc>
          <w:tcPr>
            <w:tcW w:w="184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w:t>
            </w:r>
          </w:p>
        </w:tc>
        <w:tc>
          <w:tcPr>
            <w:tcW w:w="11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(6,777)</w:t>
            </w:r>
          </w:p>
        </w:tc>
        <w:tc>
          <w:tcPr>
            <w:tcW w:w="16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w:t>
            </w:r>
          </w:p>
        </w:tc>
        <w:tc>
          <w:tcPr>
            <w:tcW w:w="16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41"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(6,701)</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239,455 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(7,276)</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841"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positions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8" w:type="dxa"/>
            <w:gridSpan w:val="8"/>
            <w:tcBorders>
              <w:top w:val="doub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35"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0" w:type="dxa"/>
            <w:gridSpan w:val="8"/>
            <w:tcBorders>
              <w:top w:val="doub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14"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8"/>
            <w:tcBorders>
              <w:top w:val="doub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68"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743"/>
        <w:gridCol w:w="500"/>
        <w:gridCol w:w="502"/>
        <w:gridCol w:w="109"/>
        <w:gridCol w:w="109"/>
        <w:gridCol w:w="109"/>
        <w:gridCol w:w="211"/>
        <w:gridCol w:w="826"/>
        <w:gridCol w:w="109"/>
        <w:gridCol w:w="109"/>
        <w:gridCol w:w="109"/>
        <w:gridCol w:w="109"/>
        <w:gridCol w:w="220"/>
        <w:gridCol w:w="670"/>
        <w:gridCol w:w="113"/>
        <w:gridCol w:w="109"/>
        <w:gridCol w:w="109"/>
        <w:gridCol w:w="109"/>
        <w:gridCol w:w="211"/>
        <w:gridCol w:w="826"/>
        <w:gridCol w:w="109"/>
        <w:gridCol w:w="109"/>
        <w:gridCol w:w="109"/>
        <w:gridCol w:w="109"/>
        <w:gridCol w:w="220"/>
        <w:gridCol w:w="670"/>
        <w:gridCol w:w="113"/>
        <w:gridCol w:w="109"/>
        <w:gridCol w:w="109"/>
        <w:gridCol w:w="109"/>
        <w:gridCol w:w="211"/>
        <w:gridCol w:w="826"/>
        <w:gridCol w:w="109"/>
        <w:gridCol w:w="109"/>
        <w:gridCol w:w="109"/>
        <w:gridCol w:w="109"/>
        <w:gridCol w:w="219"/>
        <w:gridCol w:w="669"/>
        <w:gridCol w:w="166"/>
      </w:tblGrid>
      <w:tr>
        <w:trPr/>
        <w:tc>
          <w:tcPr>
            <w:tcW w:w="743" w:type="dxa"/>
            <w:tcBorders/>
            <w:shd w:fill="auto" w:val="clear"/>
            <w:vAlign w:val="center"/>
          </w:tcPr>
          <w:p>
            <w:pPr>
              <w:pStyle w:val="TableContents"/>
              <w:spacing w:before="0" w:after="283"/>
              <w:rPr>
                <w:sz w:val="4"/>
                <w:szCs w:val="4"/>
              </w:rPr>
            </w:pPr>
            <w:r>
              <w:rPr>
                <w:sz w:val="4"/>
                <w:szCs w:val="4"/>
              </w:rPr>
            </w:r>
          </w:p>
        </w:tc>
        <w:tc>
          <w:tcPr>
            <w:tcW w:w="500"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7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6"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Greater than 12 months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7" w:type="dxa"/>
            <w:gridSpan w:val="9"/>
            <w:tcBorders/>
            <w:shd w:fill="FFFFFF"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4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3"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w:t>
            </w:r>
          </w:p>
        </w:tc>
      </w:tr>
      <w:tr>
        <w:trPr/>
        <w:tc>
          <w:tcPr>
            <w:tcW w:w="17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3" w:type="dxa"/>
            <w:gridSpan w:val="33"/>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4"/>
              </w:rPr>
            </w:pPr>
            <w:r>
              <w:rPr>
                <w:rFonts w:ascii="Times New Roman;sans-serif" w:hAnsi="Times New Roman;sans-serif"/>
                <w:b/>
                <w:color w:val="000000"/>
                <w:sz w:val="14"/>
              </w:rPr>
              <w:t>(in thousands, except number of positions)</w:t>
            </w:r>
          </w:p>
        </w:tc>
      </w:tr>
      <w:tr>
        <w:trPr/>
        <w:tc>
          <w:tcPr>
            <w:tcW w:w="174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 and authorities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212,018 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(9,106)</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16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(8,148)</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290,310 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(9,528)</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74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positions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8"/>
            <w:tcBorders>
              <w:top w:val="doub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3" w:type="dxa"/>
            <w:gridSpan w:val="8"/>
            <w:tcBorders>
              <w:top w:val="doub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13"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1" w:type="dxa"/>
            <w:gridSpan w:val="8"/>
            <w:tcBorders>
              <w:top w:val="double" w:sz="8" w:space="0" w:color="000000"/>
            </w:tcBorders>
            <w:shd w:fill="FFFFFF" w:val="clear"/>
            <w:tcMar>
              <w:top w:w="3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record any credit allowances for debt securities that were in an unrealized loss position at March 31, 2023 and December 31,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March 31, 2023, were assessed, based on, among other things: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relative magnitude to which fair values of these securities have been below their amortized cost was not indicative of an impairment loss;</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absence of compelling evidence that would cause the Company to call into question the financial condition or near-term prospects of the issuer of the applicable security; and</w:t>
      </w:r>
    </w:p>
    <w:p>
      <w:pPr>
        <w:pStyle w:val="TextBody"/>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Company's ability and intent to hold the applicable security for a period of time sufficient to allow for any anticipated recovery.</w:t>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97205"/>
                <wp:effectExtent l="0" t="0" r="0" b="0"/>
                <wp:wrapNone/>
                <wp:docPr id="16" name="Frame1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Proceeds from sales and maturities of investment securities, inclusive of Short-term investments, and related gross realized gains (losses) which are included within Other income within the Consolidated Statements of Operations and Comprehensive Loss, were as follows for the three months ended March 31, 2023 and 2022, respectively:</w:t>
      </w:r>
    </w:p>
    <w:tbl>
      <w:tblPr>
        <w:tblW w:w="7408" w:type="dxa"/>
        <w:jc w:val="left"/>
        <w:tblInd w:w="0" w:type="dxa"/>
        <w:tblCellMar>
          <w:top w:w="28" w:type="dxa"/>
          <w:left w:w="28" w:type="dxa"/>
          <w:bottom w:w="28" w:type="dxa"/>
          <w:right w:w="28" w:type="dxa"/>
        </w:tblCellMar>
      </w:tblPr>
      <w:tblGrid>
        <w:gridCol w:w="1478"/>
        <w:gridCol w:w="1299"/>
        <w:gridCol w:w="1302"/>
        <w:gridCol w:w="109"/>
        <w:gridCol w:w="109"/>
        <w:gridCol w:w="109"/>
        <w:gridCol w:w="211"/>
        <w:gridCol w:w="721"/>
        <w:gridCol w:w="109"/>
        <w:gridCol w:w="109"/>
        <w:gridCol w:w="109"/>
        <w:gridCol w:w="109"/>
        <w:gridCol w:w="282"/>
        <w:gridCol w:w="544"/>
        <w:gridCol w:w="109"/>
        <w:gridCol w:w="109"/>
        <w:gridCol w:w="109"/>
        <w:gridCol w:w="109"/>
        <w:gridCol w:w="109"/>
        <w:gridCol w:w="109"/>
        <w:gridCol w:w="154"/>
      </w:tblGrid>
      <w:tr>
        <w:trPr/>
        <w:tc>
          <w:tcPr>
            <w:tcW w:w="1478" w:type="dxa"/>
            <w:tcBorders/>
            <w:shd w:fill="auto" w:val="clear"/>
            <w:vAlign w:val="center"/>
          </w:tcPr>
          <w:p>
            <w:pPr>
              <w:pStyle w:val="TableContents"/>
              <w:spacing w:before="0" w:after="283"/>
              <w:rPr>
                <w:sz w:val="4"/>
                <w:szCs w:val="4"/>
              </w:rPr>
            </w:pPr>
            <w:r>
              <w:rPr>
                <w:sz w:val="4"/>
                <w:szCs w:val="4"/>
              </w:rPr>
            </w:r>
          </w:p>
        </w:tc>
        <w:tc>
          <w:tcPr>
            <w:tcW w:w="1299" w:type="dxa"/>
            <w:tcBorders/>
            <w:shd w:fill="auto" w:val="clear"/>
            <w:vAlign w:val="center"/>
          </w:tcPr>
          <w:p>
            <w:pPr>
              <w:pStyle w:val="TableContents"/>
              <w:spacing w:before="0" w:after="283"/>
              <w:rPr>
                <w:sz w:val="4"/>
                <w:szCs w:val="4"/>
              </w:rPr>
            </w:pPr>
            <w:r>
              <w:rPr>
                <w:sz w:val="4"/>
                <w:szCs w:val="4"/>
              </w:rPr>
            </w:r>
          </w:p>
        </w:tc>
        <w:tc>
          <w:tcPr>
            <w:tcW w:w="13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699" w:type="dxa"/>
            <w:gridSpan w:val="6"/>
            <w:tcBorders/>
            <w:shd w:fill="auto" w:val="clea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03"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699" w:type="dxa"/>
            <w:gridSpan w:val="6"/>
            <w:tcBorders/>
            <w:shd w:fill="auto" w:val="clea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sales of investment securities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maturities of investment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gains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realized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realized losses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and December 31, 2022, the Company had $14.4 million and $14.3 million, respectively, in deposits with various states and regulatory bodies that are included as part of the Company's investment balances.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4. Fair Value Measurements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a summary of fair value measurements for financial instruments at March 31, 2023 and December 31, 2022, respectively:</w:t>
      </w:r>
    </w:p>
    <w:tbl>
      <w:tblPr>
        <w:tblW w:w="8749" w:type="dxa"/>
        <w:jc w:val="left"/>
        <w:tblInd w:w="0" w:type="dxa"/>
        <w:tblCellMar>
          <w:top w:w="28" w:type="dxa"/>
          <w:left w:w="28" w:type="dxa"/>
          <w:bottom w:w="28" w:type="dxa"/>
          <w:right w:w="28" w:type="dxa"/>
        </w:tblCellMar>
      </w:tblPr>
      <w:tblGrid>
        <w:gridCol w:w="1297"/>
        <w:gridCol w:w="1141"/>
        <w:gridCol w:w="1146"/>
        <w:gridCol w:w="109"/>
        <w:gridCol w:w="109"/>
        <w:gridCol w:w="109"/>
        <w:gridCol w:w="213"/>
        <w:gridCol w:w="411"/>
        <w:gridCol w:w="110"/>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297"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fair</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358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8"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185,389 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292,574 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8750" w:type="dxa"/>
        <w:jc w:val="left"/>
        <w:tblInd w:w="0" w:type="dxa"/>
        <w:tblCellMar>
          <w:top w:w="28" w:type="dxa"/>
          <w:left w:w="28" w:type="dxa"/>
          <w:bottom w:w="28" w:type="dxa"/>
          <w:right w:w="28" w:type="dxa"/>
        </w:tblCellMar>
      </w:tblPr>
      <w:tblGrid>
        <w:gridCol w:w="1297"/>
        <w:gridCol w:w="1142"/>
        <w:gridCol w:w="1146"/>
        <w:gridCol w:w="109"/>
        <w:gridCol w:w="109"/>
        <w:gridCol w:w="109"/>
        <w:gridCol w:w="213"/>
        <w:gridCol w:w="411"/>
        <w:gridCol w:w="110"/>
        <w:gridCol w:w="109"/>
        <w:gridCol w:w="109"/>
        <w:gridCol w:w="109"/>
        <w:gridCol w:w="211"/>
        <w:gridCol w:w="826"/>
        <w:gridCol w:w="109"/>
        <w:gridCol w:w="109"/>
        <w:gridCol w:w="109"/>
        <w:gridCol w:w="109"/>
        <w:gridCol w:w="211"/>
        <w:gridCol w:w="466"/>
        <w:gridCol w:w="109"/>
        <w:gridCol w:w="109"/>
        <w:gridCol w:w="109"/>
        <w:gridCol w:w="109"/>
        <w:gridCol w:w="211"/>
        <w:gridCol w:w="826"/>
        <w:gridCol w:w="154"/>
      </w:tblGrid>
      <w:tr>
        <w:trPr/>
        <w:tc>
          <w:tcPr>
            <w:tcW w:w="1297" w:type="dxa"/>
            <w:tcBorders/>
            <w:shd w:fill="auto" w:val="clear"/>
            <w:vAlign w:val="center"/>
          </w:tcPr>
          <w:p>
            <w:pPr>
              <w:pStyle w:val="TableContents"/>
              <w:spacing w:before="0" w:after="283"/>
              <w:rPr>
                <w:sz w:val="4"/>
                <w:szCs w:val="4"/>
              </w:rPr>
            </w:pPr>
            <w:r>
              <w:rPr>
                <w:sz w:val="4"/>
                <w:szCs w:val="4"/>
              </w:rPr>
            </w:r>
          </w:p>
        </w:tc>
        <w:tc>
          <w:tcPr>
            <w:tcW w:w="1142" w:type="dxa"/>
            <w:tcBorders/>
            <w:shd w:fill="auto" w:val="clear"/>
            <w:vAlign w:val="center"/>
          </w:tcPr>
          <w:p>
            <w:pPr>
              <w:pStyle w:val="TableContents"/>
              <w:spacing w:before="0" w:after="283"/>
              <w:rPr>
                <w:sz w:val="4"/>
                <w:szCs w:val="4"/>
              </w:rPr>
            </w:pPr>
            <w:r>
              <w:rPr>
                <w:sz w:val="4"/>
                <w:szCs w:val="4"/>
              </w:rPr>
            </w:r>
          </w:p>
        </w:tc>
        <w:tc>
          <w:tcPr>
            <w:tcW w:w="1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Total fair</w:t>
            </w:r>
          </w:p>
          <w:p>
            <w:pPr>
              <w:pStyle w:val="TableContents"/>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value</w:t>
            </w:r>
          </w:p>
        </w:tc>
      </w:tr>
      <w:tr>
        <w:trPr/>
        <w:tc>
          <w:tcPr>
            <w:tcW w:w="35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38" w:type="dxa"/>
            <w:gridSpan w:val="21"/>
            <w:tcBorders>
              <w:top w:val="single" w:sz="8" w:space="0" w:color="000000"/>
            </w:tcBorders>
            <w:shd w:fill="FFFFFF"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government and government agencies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228,467 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98,399 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98,399 </w:t>
            </w:r>
          </w:p>
        </w:tc>
        <w:tc>
          <w:tcPr>
            <w:tcW w:w="15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CFF0FC"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Warrants receivable</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326,866 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327,766 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58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497205"/>
                <wp:effectExtent l="0" t="0" r="0" b="0"/>
                <wp:wrapNone/>
                <wp:docPr id="17" name="Frame1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the balances of Clover's Level 3 financial assets and liabilities during the three months ended March 31, 2022. The changes in balances of Clover's Level 3 financial assets and liabilities during the three months ended March 31, 2023 were as follows:</w:t>
      </w:r>
    </w:p>
    <w:p>
      <w:pPr>
        <w:pStyle w:val="TextBody"/>
        <w:spacing w:before="0" w:after="0"/>
        <w:jc w:val="both"/>
        <w:rPr/>
      </w:pPr>
      <w:r>
        <w:rPr/>
      </w:r>
    </w:p>
    <w:tbl>
      <w:tblPr>
        <w:tblW w:w="5898" w:type="dxa"/>
        <w:jc w:val="left"/>
        <w:tblInd w:w="0" w:type="dxa"/>
        <w:tblCellMar>
          <w:top w:w="28" w:type="dxa"/>
          <w:left w:w="28" w:type="dxa"/>
          <w:bottom w:w="28" w:type="dxa"/>
          <w:right w:w="28" w:type="dxa"/>
        </w:tblCellMar>
      </w:tblPr>
      <w:tblGrid>
        <w:gridCol w:w="885"/>
        <w:gridCol w:w="778"/>
        <w:gridCol w:w="781"/>
        <w:gridCol w:w="109"/>
        <w:gridCol w:w="109"/>
        <w:gridCol w:w="109"/>
        <w:gridCol w:w="109"/>
        <w:gridCol w:w="499"/>
        <w:gridCol w:w="1102"/>
        <w:gridCol w:w="259"/>
        <w:gridCol w:w="109"/>
        <w:gridCol w:w="109"/>
        <w:gridCol w:w="109"/>
        <w:gridCol w:w="211"/>
        <w:gridCol w:w="466"/>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8"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102"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60"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Warrants receivable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44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1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Receipts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in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Transfers out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1"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realized losses (gains)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transfers in or out of Level 3 financial assets or liabilities for the three months ended March 31, 2023 or March 31, 2022.</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Private Warrants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had exercisable private warrants which were embedded in several agreements as derivatives. These private warrants were accounted for as assets in accordance with ASC 815-40 and are presented within Other assets, non-current on the Consolidated Balance Sheets. The warrant assets are measured at fair value at inception and on a recurring basis until redeemed, with changes in fair value presented within Change in fair value of warrants within the Consolidated Statements of Operations and Comprehensive Loss. These private warrants were classified within Level 3 due to the subjectivity and use of estimates in the calculation of their fair value. These warrants at initial measurement date, December 31, 2022, were assessed to have a fair value of $0.9 million. At March 31, 2023, these warrants had a fair value of $0.9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5. Healthcare Receivables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within Healthcare receivables are Medicare Part D settlement receivables, member premium receivables, and other CMS receivables. The Company reported $56.9 million and $70.6 million within Healthcare receivables at March 31, 2023, and December 31, 2022, respectively.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 xml:space="preserve">6. Related Party Transactions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Related party agreements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Following the donation, Mr. Garipalli has remained a Manager of Hudson Hospital Propco, LLC, an affiliate of Hudson Hospital Opco, LLC. Additionally, certain affiliates of Mr. Garipalli are owed certain money from CarePoint Health for prior obligations, and Mr. Garipalli has an indirect interest in Sequoia Healthcare Services, LLC, which provides healthcare services to CarePoint Health. Expenses and fees incurred related to Clover's contracts with CarePoint Health, recorded within Net medical claims incurred, were $3.7 million and $2.6 million, for the three months ended March 31, 2023 and 2022, respectively. Additionally, $1.3 million and $1.6 million were payable to CarePoint Health at March 31, 2023, and December 31, 2022,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contract with Medical Records Exchange, LLC (d/b/a ChartFast) pursuant to which the Company receives administrative services related to medical records via ChartFast's electronic applications and web portal platform. ChartFast is ultimately owned and controlled by Mr. Garipalli. Expenses and fees incurred related to this agreement were less than $0.1 million and $0.1 million for the three months ended March 31, 2023 and 2022, respectively. </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497205"/>
                <wp:effectExtent l="0" t="0" r="0" b="0"/>
                <wp:wrapNone/>
                <wp:docPr id="18" name="Frame1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July 2, 2021, the Company entered into a contract with Thyme Care, Inc. ("Thyme Care"), an oncology benefit management company, through which Thyme Care was engaged to provide concierge cancer coordination services to the Company's Insurance members in New Jersey and develop a provider network to help ensure member access to high-value oncology care. Mr. Garipalli is a member of the board of directors of Thyme Care and holds an equity interest of less than five percent (5%) of that entity. Expenses and fees incurred related to this agreement were $0.5 million and $0.4 million for the three months ended March 31, 2023 and 2022, respectively. Additionally, $0.2 million and $0.3 million were payable to Thyme Care at March 31, 2023, and December 31, 2022, respectively.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7. Unpaid Claims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Activity within the liability for Unpaid claims, including claims adjustment expenses, for the three months ended March 31, 2023 and 2022, respectively, is summarized as follows:</w:t>
      </w:r>
    </w:p>
    <w:tbl>
      <w:tblPr>
        <w:tblW w:w="6816" w:type="dxa"/>
        <w:jc w:val="left"/>
        <w:tblInd w:w="0" w:type="dxa"/>
        <w:tblCellMar>
          <w:top w:w="28" w:type="dxa"/>
          <w:left w:w="28" w:type="dxa"/>
          <w:bottom w:w="28" w:type="dxa"/>
          <w:right w:w="28" w:type="dxa"/>
        </w:tblCellMar>
      </w:tblPr>
      <w:tblGrid>
        <w:gridCol w:w="1386"/>
        <w:gridCol w:w="1217"/>
        <w:gridCol w:w="1222"/>
        <w:gridCol w:w="109"/>
        <w:gridCol w:w="109"/>
        <w:gridCol w:w="109"/>
        <w:gridCol w:w="211"/>
        <w:gridCol w:w="826"/>
        <w:gridCol w:w="109"/>
        <w:gridCol w:w="109"/>
        <w:gridCol w:w="109"/>
        <w:gridCol w:w="109"/>
        <w:gridCol w:w="211"/>
        <w:gridCol w:w="826"/>
        <w:gridCol w:w="154"/>
      </w:tblGrid>
      <w:tr>
        <w:trPr/>
        <w:tc>
          <w:tcPr>
            <w:tcW w:w="1386" w:type="dxa"/>
            <w:tcBorders/>
            <w:shd w:fill="auto" w:val="clear"/>
            <w:vAlign w:val="center"/>
          </w:tcPr>
          <w:p>
            <w:pPr>
              <w:pStyle w:val="TableContents"/>
              <w:spacing w:before="0" w:after="283"/>
              <w:rPr>
                <w:sz w:val="4"/>
                <w:szCs w:val="4"/>
              </w:rPr>
            </w:pPr>
            <w:r>
              <w:rPr>
                <w:sz w:val="4"/>
                <w:szCs w:val="4"/>
              </w:rPr>
            </w:r>
          </w:p>
        </w:tc>
        <w:tc>
          <w:tcPr>
            <w:tcW w:w="1217"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82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6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Gross and net balance, beginning of period</w:t>
            </w:r>
            <w:r>
              <w:rPr>
                <w:color w:val="000000"/>
              </w:rPr>
              <w:t xml:space="preserv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136,137 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Incurred related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272,151 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(7,056)</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265,095 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Paid related to: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167,360 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164,034 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1" w:type="dxa"/>
            <w:gridSpan w:val="3"/>
            <w:tcBorders/>
            <w:shd w:fill="auto" w:val="clear"/>
            <w:vAlign w:val="center"/>
          </w:tcPr>
          <w:p>
            <w:pPr>
              <w:pStyle w:val="TableContents"/>
              <w:spacing w:before="0" w:after="283"/>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Gross and net balance, end of period </w:t>
            </w:r>
            <w:r>
              <w:rPr>
                <w:rFonts w:ascii="Times New Roman;sans-serif" w:hAnsi="Times New Roman;sans-serif"/>
                <w:b w:val="false"/>
                <w:color w:val="000000"/>
                <w:sz w:val="13"/>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138,516 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FFFFFF" w:val="clear"/>
            <w:tcMar>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hanging="180"/>
        <w:jc w:val="both"/>
        <w:rPr/>
      </w:pPr>
      <w:r>
        <w:rPr>
          <w:rFonts w:ascii="Times New Roman;sans-serif" w:hAnsi="Times New Roman;sans-serif"/>
          <w:b w:val="false"/>
          <w:color w:val="000000"/>
          <w:sz w:val="10"/>
        </w:rPr>
        <w:t>(1)    </w:t>
      </w:r>
      <w:r>
        <w:rPr>
          <w:rFonts w:ascii="Times New Roman;sans-serif" w:hAnsi="Times New Roman;sans-serif"/>
          <w:b w:val="false"/>
          <w:color w:val="000000"/>
          <w:sz w:val="16"/>
        </w:rPr>
        <w:t xml:space="preserve">Includes amounts due to related parties. </w:t>
      </w:r>
    </w:p>
    <w:p>
      <w:pPr>
        <w:pStyle w:val="TextBody"/>
        <w:spacing w:lineRule="auto" w:line="288" w:before="60" w:after="283"/>
        <w:ind w:left="0" w:right="0" w:hanging="180"/>
        <w:rPr/>
      </w:pPr>
      <w:r>
        <w:rPr>
          <w:rFonts w:ascii="Times New Roman;sans-serif" w:hAnsi="Times New Roman;sans-serif"/>
          <w:b w:val="false"/>
          <w:color w:val="000000"/>
          <w:sz w:val="10"/>
        </w:rPr>
        <w:t>(2)    </w:t>
      </w:r>
      <w:r>
        <w:rPr>
          <w:rFonts w:ascii="Times New Roman;sans-serif" w:hAnsi="Times New Roman;sans-serif"/>
          <w:b w:val="false"/>
          <w:color w:val="000000"/>
          <w:sz w:val="16"/>
        </w:rPr>
        <w:t>Differs from the total Unpaid claims amount reported on the Consolidated Balance Sheets due to the fact the figure here excludes unpaid claims for the Company's Non-Insurance operations of $4.1 million and $13.2 million at March 31, 2023 and 2022,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Unpaid Claims for Insurance Operations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Unpaid claims for Insurance operations were $138.5 million at March 31, 2023. During the three months ended March 31, 2023, $104.6 million was paid for incurred claims attributable to insured events of prior years. An unfavorable development of $0.8 million was recognized during the three months ended March 31, 2023, resulting from the Company's actual experience with claims developing differently as compared to the Company's estimates at December 31, 2022. A favorable development of $7.1 million was recognized during the three months ended March 31, 2022, resulting from the Company's actual experience with claims developing differently as compared to the Company's estimates at December 31, 2021. Original estimates are increased or decreased, as additional information becomes known regarding individual claims. The ratio of current year medical claims paid as a percentage of current year Net medical claims incurred was 61.5% for the three months ended March 31, 2023, and 60.3% for the three months ended March 31, 2022. This ratio serves as an indicator of claims processing speed, indicating that claims were processed at a faster rate during the three months ended March 31, 2023, than during the three months ended March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8. Letter of Credit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19, 2018, the Company entered into a secured letter of credit agreement (the "Letter") required for its subsidiary, Clover HMO of New Jersey Inc., for an aggregate amount of up to $2.5 million. The Letter is with a commercial lender and it renews on an annual basis. The Letter bears interest at a rate of 0.75%. There was an unused balance of $2.5 million at both March 31, 2023, and December 31, 2022.</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497205"/>
                <wp:effectExtent l="0" t="0" r="0" b="0"/>
                <wp:wrapNone/>
                <wp:docPr id="19" name="Frame1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9. Stockholders' Equity and Convertible Preferred Stock</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Stockholders' Equity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was authorized to issue up to 2,500,000,000 and 2,500,000,000 shares of Class A common stock at March 31, 2023 and December 31, 2022, respectively, and up to 500,000,000 shares of Class B common stock at March 31, 2023 and December 31, 2022. At March 31, 2023 and December 31, 2022, there were 394,129,673 and 383,998,718 shares of Class A common stock issued and outstanding, respectively. There were 88,495,493 and 94,394,852 shares of Class B common stock issued and outstanding at March 31, 2023 and December 31, 2022, respectively. Class B common stock has 10 votes per share, and Class A common stock has one vote per share. The Company had 5,006,473 and 2,072,752 shares held in treasury at March 31, 2023 and December 31, 2022, respectively. These amounts represent shares withheld to cover taxes upon vesting of employee stock-based awards.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 Company was authorized to issue 25,000,000 shares of preferred stock having a par value of $0.0001 per share, and the Company's Board has the authority to determine the rights, preferences, privileges, and restrictions, including voting rights, of those shares. At March 31, 2023, there were no shares of preferred stock issued and outstanding.</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10. Variable Interest Entity and Equity Method of Accounting</w:t>
      </w:r>
    </w:p>
    <w:p>
      <w:pPr>
        <w:pStyle w:val="TextBody"/>
        <w:spacing w:before="0" w:after="0"/>
        <w:rPr/>
      </w:pPr>
      <w:r>
        <w:rPr/>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as the primary beneficiary of the VIE because it does not have the power, through voting or similar rights and the license agreements, to direct the activities of Character Biosciences that most significantly impact Character Biosciences' economic performance.</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it does have a significant influence over Character Biosciences and, therefore, it began accounting for its common stock investment in Character Biosciences using the equity method on February 4, 2022. The Company derecognized all of Character Biosciences' assets and liabilities from its balance sheet and its noncontrolling interest related to Character Biosciences, and recognized the retained common stock and preferred stock equity interests at fair values of $3.7 million and $4.9 million, respectively, which are included in Equity method investment and Other assets, non-current on the Consolidated Balance Sheets, and recognized a gain of $12.4 million for the three months ended March 31, 2022, which is included within Gain on investment on the Consolidated Statements of Operations and Comprehensive Loss.</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 (iii) impairment losses resulting from adjustments to net realizable value. The Company eliminates all intercompany transactions in accounting for equity method investments and records the proportionate share of the investee's net income or loss in equity within gain on investment on the Consolidated Statements of Operations and Comprehensive Loss.</w:t>
      </w:r>
    </w:p>
    <w:p>
      <w:pPr>
        <w:pStyle w:val="TextBody"/>
        <w:spacing w:lineRule="auto" w:line="288" w:before="0" w:after="240"/>
        <w:jc w:val="both"/>
        <w:rPr/>
      </w:pPr>
      <w:r>
        <w:rPr>
          <w:rFonts w:ascii="Times New Roman;sans-serif" w:hAnsi="Times New Roman;sans-serif"/>
          <w:b w:val="false"/>
          <w:color w:val="000000"/>
          <w:sz w:val="20"/>
        </w:rPr>
        <w:t xml:space="preserve">With respect to the Company's preferred stock equity interest in Character Biosciences, the Company elected the measurement alternative to value this equity investment without a readily determinable fair value in accordance with ASC 321, </w:t>
      </w:r>
      <w:r>
        <w:rPr>
          <w:rFonts w:ascii="Times New Roman;sans-serif" w:hAnsi="Times New Roman;sans-serif"/>
          <w:b w:val="false"/>
          <w:i/>
          <w:color w:val="000000"/>
          <w:sz w:val="20"/>
        </w:rPr>
        <w:t>Investments – Equity Securities</w:t>
      </w:r>
      <w:r>
        <w:rPr>
          <w:rFonts w:ascii="Times New Roman;sans-serif" w:hAnsi="Times New Roman;sans-serif"/>
          <w:b w:val="false"/>
          <w:color w:val="000000"/>
          <w:sz w:val="20"/>
        </w:rPr>
        <w:t>. The carrying amount of the investment is included within Other assets, non-current in the Consolidated Balance Sheets. In accordance with ASC 321, for each reporting period, the Company completes a qualitative assessment considering impairment indicators to evaluate whether the investment is impaired.</w:t>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ASC 323, the Company recognized the proportionate share of Character Bioscience's net losses up to the investment carrying amount, at December 31, 2022, the Company discontinued applying the equity method to account for its common stock interest in Character Biosciences as the Company's net losses exceeded the Company's investment carrying amount. The equity method investment in Character Biosciences was reduced to zero and no further losses were recorded in the Company's consolidated financial statements as the Company did not guarantee obligations of the investee company nor has not committed additional funding. The Company will begin recognizing its share of net income only when it is greater than the cumulative net losses not recognized during the period the equity method was suspended.</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497205"/>
                <wp:effectExtent l="0" t="0" r="0" b="0"/>
                <wp:wrapNone/>
                <wp:docPr id="20" name="Frame2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before="0" w:after="0"/>
        <w:rPr/>
      </w:pPr>
      <w:r>
        <w:rPr/>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January 23, 2023, Character Biosciences, completed a second private capital transaction in which it raised an additional capital from the issuance of additional shares of its preferred stock. Upon completion of this transaction, the Company's ownership percentage in Character Biosciences decreased to 23.92%.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Employee Retirement Savings Plan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$0.5 million and $0.3 million for the three months ended March 31, 2023 and 2022, respectively, and are included within Salaries and benefits on the Consolidated Statements of Operations and Comprehensive Loss. The Company's cash match is invested pursuant to the participant's contribution direction. Employer contributions are immediately 100.0% vested.</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2020 Equity Incentive Plan (the "2020 Plan") provides for grants of restricted stocks units ("RSUs") and options to acquire shares of the Company's common stock, par value $0.0001 per share, to employees, directors, officers, and consultants of the Company, and the Company's 2020 Management Incentive Plan (the "2020 MIP") provides for grants of RSUs to our Executive Chair and CEO. During the year ended December 31, 2021, the Company approved the 2020 Plan and the 2020 MIP, and the Company's 2014 Equity Incentive Plan (the "2014 Plan") was terminated. On March 9, 2022, the Board adopted the 2022 Inducement Award Plan (the "Inducement Plan" and, collectively with the 2020 Plan, the 2020 MIP, and the 2014 Plan, the "Plans") and reserved 11,000,000 shares of Class A common stock for issuance under the Inducement Plan. The Inducement Plan was adopted by the Board without stockholder approval pursuant to Rule 5635(c)(4) of the Nasdaq Listing Rules. In accordance with Rule 5635(c)(4) of the Nasdaq Listing Rules, awards under the Inducement Plan may be made only to an employee who has not previously been an employee or member of the Board, or following a bona fide period of non-employment, if he or she is granted such award in connection with his or her commencement of employment with the Company, and such grant is an inducement material to his or her entering into employment with the Company.</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determined by the Board.</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maximum number of shares of the Company's common stock reserved for issuance over the term of the Plans, shares outstanding under the Plans, and shares remaining under the Plans at March 31, 2023 and December 31, 2022, respectively, were as follows:</w:t>
      </w:r>
    </w:p>
    <w:tbl>
      <w:tblPr>
        <w:tblW w:w="10205" w:type="dxa"/>
        <w:jc w:val="left"/>
        <w:tblInd w:w="0" w:type="dxa"/>
        <w:tblCellMar>
          <w:top w:w="28" w:type="dxa"/>
          <w:left w:w="28" w:type="dxa"/>
          <w:bottom w:w="28" w:type="dxa"/>
          <w:right w:w="28" w:type="dxa"/>
        </w:tblCellMar>
      </w:tblPr>
      <w:tblGrid>
        <w:gridCol w:w="535"/>
        <w:gridCol w:w="453"/>
        <w:gridCol w:w="438"/>
        <w:gridCol w:w="109"/>
        <w:gridCol w:w="109"/>
        <w:gridCol w:w="109"/>
        <w:gridCol w:w="888"/>
        <w:gridCol w:w="833"/>
        <w:gridCol w:w="836"/>
        <w:gridCol w:w="109"/>
        <w:gridCol w:w="109"/>
        <w:gridCol w:w="109"/>
        <w:gridCol w:w="909"/>
        <w:gridCol w:w="863"/>
        <w:gridCol w:w="865"/>
        <w:gridCol w:w="109"/>
        <w:gridCol w:w="109"/>
        <w:gridCol w:w="109"/>
        <w:gridCol w:w="804"/>
        <w:gridCol w:w="740"/>
        <w:gridCol w:w="1060"/>
      </w:tblGrid>
      <w:tr>
        <w:trPr/>
        <w:tc>
          <w:tcPr>
            <w:tcW w:w="535"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8" w:type="dxa"/>
            <w:tcBorders/>
            <w:shd w:fill="auto" w:val="clear"/>
            <w:vAlign w:val="center"/>
          </w:tcPr>
          <w:p>
            <w:pPr>
              <w:pStyle w:val="TableContents"/>
              <w:spacing w:before="0" w:after="283"/>
              <w:rPr>
                <w:sz w:val="4"/>
                <w:szCs w:val="4"/>
              </w:rPr>
            </w:pPr>
            <w:r>
              <w:rPr>
                <w:sz w:val="4"/>
                <w:szCs w:val="4"/>
              </w:rPr>
            </w:r>
          </w:p>
        </w:tc>
        <w:tc>
          <w:tcPr>
            <w:tcW w:w="833" w:type="dxa"/>
            <w:tcBorders/>
            <w:shd w:fill="auto" w:val="clear"/>
            <w:vAlign w:val="center"/>
          </w:tcPr>
          <w:p>
            <w:pPr>
              <w:pStyle w:val="TableContents"/>
              <w:spacing w:before="0" w:after="283"/>
              <w:rPr>
                <w:sz w:val="4"/>
                <w:szCs w:val="4"/>
              </w:rPr>
            </w:pPr>
            <w:r>
              <w:rPr>
                <w:sz w:val="4"/>
                <w:szCs w:val="4"/>
              </w:rPr>
            </w:r>
          </w:p>
        </w:tc>
        <w:tc>
          <w:tcPr>
            <w:tcW w:w="8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9"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rPr>
                <w:sz w:val="4"/>
                <w:szCs w:val="4"/>
              </w:rPr>
            </w:pPr>
            <w:r>
              <w:rPr>
                <w:sz w:val="4"/>
                <w:szCs w:val="4"/>
              </w:rPr>
            </w:r>
          </w:p>
        </w:tc>
        <w:tc>
          <w:tcPr>
            <w:tcW w:w="740" w:type="dxa"/>
            <w:tcBorders/>
            <w:shd w:fill="auto" w:val="clear"/>
            <w:vAlign w:val="center"/>
          </w:tcPr>
          <w:p>
            <w:pPr>
              <w:pStyle w:val="TableContents"/>
              <w:spacing w:before="0" w:after="283"/>
              <w:rPr>
                <w:sz w:val="4"/>
                <w:szCs w:val="4"/>
              </w:rPr>
            </w:pPr>
            <w:r>
              <w:rPr>
                <w:sz w:val="4"/>
                <w:szCs w:val="4"/>
              </w:rPr>
            </w:r>
          </w:p>
        </w:tc>
        <w:tc>
          <w:tcPr>
            <w:tcW w:w="1060" w:type="dxa"/>
            <w:tcBorders/>
            <w:shd w:fill="auto" w:val="cle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 Under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Outstanding Under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Remaining Under Plans</w:t>
            </w:r>
          </w:p>
        </w:tc>
      </w:tr>
      <w:tr>
        <w:trPr/>
        <w:tc>
          <w:tcPr>
            <w:tcW w:w="1426"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Plan</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54,402,264 </w:t>
            </w:r>
          </w:p>
        </w:tc>
        <w:tc>
          <w:tcPr>
            <w:tcW w:w="83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35,353,101 </w:t>
            </w:r>
          </w:p>
        </w:tc>
        <w:tc>
          <w:tcPr>
            <w:tcW w:w="865"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4"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58,521,709 </w:t>
            </w:r>
          </w:p>
        </w:tc>
        <w:tc>
          <w:tcPr>
            <w:tcW w:w="8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42,687,562 </w:t>
            </w:r>
          </w:p>
        </w:tc>
        <w:tc>
          <w:tcPr>
            <w:tcW w:w="8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11,726,676 </w:t>
            </w:r>
          </w:p>
        </w:tc>
        <w:tc>
          <w:tcPr>
            <w:tcW w:w="10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MIP</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33,426,983 </w:t>
            </w:r>
          </w:p>
        </w:tc>
        <w:tc>
          <w:tcPr>
            <w:tcW w:w="83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26,741,587 </w:t>
            </w:r>
          </w:p>
        </w:tc>
        <w:tc>
          <w:tcPr>
            <w:tcW w:w="865"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60"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Inducement Plan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11,000,000 </w:t>
            </w:r>
          </w:p>
        </w:tc>
        <w:tc>
          <w:tcPr>
            <w:tcW w:w="8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2"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9,449,612 </w:t>
            </w:r>
          </w:p>
        </w:tc>
        <w:tc>
          <w:tcPr>
            <w:tcW w:w="86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6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598"/>
        <w:gridCol w:w="510"/>
        <w:gridCol w:w="512"/>
        <w:gridCol w:w="109"/>
        <w:gridCol w:w="109"/>
        <w:gridCol w:w="109"/>
        <w:gridCol w:w="881"/>
        <w:gridCol w:w="812"/>
        <w:gridCol w:w="815"/>
        <w:gridCol w:w="109"/>
        <w:gridCol w:w="109"/>
        <w:gridCol w:w="109"/>
        <w:gridCol w:w="900"/>
        <w:gridCol w:w="842"/>
        <w:gridCol w:w="844"/>
        <w:gridCol w:w="109"/>
        <w:gridCol w:w="109"/>
        <w:gridCol w:w="109"/>
        <w:gridCol w:w="756"/>
        <w:gridCol w:w="722"/>
        <w:gridCol w:w="1032"/>
      </w:tblGrid>
      <w:tr>
        <w:trPr/>
        <w:tc>
          <w:tcPr>
            <w:tcW w:w="598" w:type="dxa"/>
            <w:tcBorders/>
            <w:shd w:fill="auto" w:val="clear"/>
            <w:vAlign w:val="center"/>
          </w:tcPr>
          <w:p>
            <w:pPr>
              <w:pStyle w:val="TableContents"/>
              <w:spacing w:before="0" w:after="283"/>
              <w:rPr>
                <w:sz w:val="4"/>
                <w:szCs w:val="4"/>
              </w:rPr>
            </w:pPr>
            <w:r>
              <w:rPr>
                <w:sz w:val="4"/>
                <w:szCs w:val="4"/>
              </w:rPr>
            </w:r>
          </w:p>
        </w:tc>
        <w:tc>
          <w:tcPr>
            <w:tcW w:w="510"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rPr>
                <w:sz w:val="4"/>
                <w:szCs w:val="4"/>
              </w:rPr>
            </w:pPr>
            <w:r>
              <w:rPr>
                <w:sz w:val="4"/>
                <w:szCs w:val="4"/>
              </w:rPr>
            </w:r>
          </w:p>
        </w:tc>
        <w:tc>
          <w:tcPr>
            <w:tcW w:w="812"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00" w:type="dxa"/>
            <w:tcBorders/>
            <w:shd w:fill="auto" w:val="clear"/>
            <w:vAlign w:val="center"/>
          </w:tcPr>
          <w:p>
            <w:pPr>
              <w:pStyle w:val="TableContents"/>
              <w:spacing w:before="0" w:after="283"/>
              <w:rPr>
                <w:sz w:val="4"/>
                <w:szCs w:val="4"/>
              </w:rPr>
            </w:pPr>
            <w:r>
              <w:rPr>
                <w:sz w:val="4"/>
                <w:szCs w:val="4"/>
              </w:rPr>
            </w:r>
          </w:p>
        </w:tc>
        <w:tc>
          <w:tcPr>
            <w:tcW w:w="842"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r>
      <w:tr>
        <w:trPr/>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Authorized Under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Outstanding Under Plans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Remaining Under Plans</w:t>
            </w:r>
          </w:p>
        </w:tc>
      </w:tr>
      <w:tr>
        <w:trPr/>
        <w:tc>
          <w:tcPr>
            <w:tcW w:w="162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2014 Plan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54,402,264 </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36,378,558 </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31,884,272 </w:t>
            </w:r>
          </w:p>
        </w:tc>
        <w:tc>
          <w:tcPr>
            <w:tcW w:w="8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29,805,319 </w:t>
            </w:r>
          </w:p>
        </w:tc>
        <w:tc>
          <w:tcPr>
            <w:tcW w:w="8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242,473 </w:t>
            </w:r>
          </w:p>
        </w:tc>
        <w:tc>
          <w:tcPr>
            <w:tcW w:w="10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2020 MIP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33,426,983 </w:t>
            </w:r>
          </w:p>
        </w:tc>
        <w:tc>
          <w:tcPr>
            <w:tcW w:w="8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30,084,285 </w:t>
            </w:r>
          </w:p>
        </w:tc>
        <w:tc>
          <w:tcPr>
            <w:tcW w:w="8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Inducement Plan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11,000,000 </w:t>
            </w:r>
          </w:p>
        </w:tc>
        <w:tc>
          <w:tcPr>
            <w:tcW w:w="8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11,000,000 </w:t>
            </w:r>
          </w:p>
        </w:tc>
        <w:tc>
          <w:tcPr>
            <w:tcW w:w="8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497205"/>
                <wp:effectExtent l="0" t="0" r="0" b="0"/>
                <wp:wrapNone/>
                <wp:docPr id="21" name="Frame2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before="0" w:after="0"/>
        <w:rPr/>
      </w:pPr>
      <w:r>
        <w:rPr/>
      </w:r>
    </w:p>
    <w:p>
      <w:pPr>
        <w:pStyle w:val="TextBody"/>
        <w:spacing w:lineRule="auto" w:line="288" w:before="24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Plans are administered by the Talent and Compensation Committee of the Board (the "Compensation Committee"). The options are subject to the terms and conditions applicable to options granted under the Plans, as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value of a share of common stock on the date of grant. Stock options awarded under the Plans expire 10 years after the grant date. Incentive stock options and non-statutory options granted to employees, directors, officers, and consultants of the Company typically vest over four or five years. RSU awards are subject to the terms and conditions set forth in the Plans and the applicable RSU grant agreement. Vesting and other restrictions applicable to RSU awards are determined at the discretion of the Compensation Committee. The number of shares of common stock subject to an RSU award is determined by dividing the cash value of an RSU award by the average closing price of a share of the Company's Class A common stock over a specified period through the date of grant, and such awards typically vest over four years from the grant date. The total estimated fair value is amortized as an expense over the requisite service period as approved by the Compensation Committee.</w:t>
      </w:r>
    </w:p>
    <w:p>
      <w:pPr>
        <w:pStyle w:val="TextBody"/>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stock-based compensation expense for options, RSUs, and restricted units with performance-based vesting ("PRSUs") granted under the Plans, the Inducement Plan, and discounts offered in connection with the Company's 2020 Employee Stock Purchase Plan ("ESPP") of $38.6 million and $40.6 million during the three months ended March 31, 2023 and 2022, respectively, and such expenses are presented within Salaries and benefits in the accompanying Consolidated Statements of Operations and Comprehensive Loss. </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cost presented within Salaries and benefits within the accompanying Consolidated Statements of Operations and Comprehensive Loss were as follows:</w:t>
      </w:r>
    </w:p>
    <w:tbl>
      <w:tblPr>
        <w:tblW w:w="8999" w:type="dxa"/>
        <w:jc w:val="left"/>
        <w:tblInd w:w="0" w:type="dxa"/>
        <w:tblCellMar>
          <w:top w:w="28" w:type="dxa"/>
          <w:left w:w="28" w:type="dxa"/>
          <w:bottom w:w="28" w:type="dxa"/>
          <w:right w:w="28" w:type="dxa"/>
        </w:tblCellMar>
      </w:tblPr>
      <w:tblGrid>
        <w:gridCol w:w="2174"/>
        <w:gridCol w:w="1909"/>
        <w:gridCol w:w="1917"/>
        <w:gridCol w:w="109"/>
        <w:gridCol w:w="109"/>
        <w:gridCol w:w="109"/>
        <w:gridCol w:w="211"/>
        <w:gridCol w:w="721"/>
        <w:gridCol w:w="109"/>
        <w:gridCol w:w="109"/>
        <w:gridCol w:w="109"/>
        <w:gridCol w:w="109"/>
        <w:gridCol w:w="211"/>
        <w:gridCol w:w="721"/>
        <w:gridCol w:w="109"/>
        <w:gridCol w:w="109"/>
        <w:gridCol w:w="154"/>
      </w:tblGrid>
      <w:tr>
        <w:trPr/>
        <w:tc>
          <w:tcPr>
            <w:tcW w:w="2174" w:type="dxa"/>
            <w:tcBorders/>
            <w:shd w:fill="auto" w:val="clear"/>
            <w:vAlign w:val="center"/>
          </w:tcPr>
          <w:p>
            <w:pPr>
              <w:pStyle w:val="TableContents"/>
              <w:spacing w:before="0" w:after="283"/>
              <w:rPr>
                <w:sz w:val="4"/>
                <w:szCs w:val="4"/>
              </w:rPr>
            </w:pPr>
            <w:r>
              <w:rPr>
                <w:sz w:val="4"/>
                <w:szCs w:val="4"/>
              </w:rPr>
            </w:r>
          </w:p>
        </w:tc>
        <w:tc>
          <w:tcPr>
            <w:tcW w:w="1909" w:type="dxa"/>
            <w:tcBorders/>
            <w:shd w:fill="auto" w:val="clear"/>
            <w:vAlign w:val="center"/>
          </w:tcPr>
          <w:p>
            <w:pPr>
              <w:pStyle w:val="TableContents"/>
              <w:spacing w:before="0" w:after="283"/>
              <w:rPr>
                <w:sz w:val="4"/>
                <w:szCs w:val="4"/>
              </w:rPr>
            </w:pPr>
            <w:r>
              <w:rPr>
                <w:sz w:val="4"/>
                <w:szCs w:val="4"/>
              </w:rPr>
            </w:r>
          </w:p>
        </w:tc>
        <w:tc>
          <w:tcPr>
            <w:tcW w:w="19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0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263" w:type="dxa"/>
            <w:gridSpan w:val="2"/>
            <w:tcBorders/>
            <w:shd w:fill="auto" w:val="clea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ESPP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cost recognized for stock-based compensation plans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there was approximately $507.5 million of unrecognized stock-based compensation expense related to unvested stock options, RSUs, PRSUs, and the ESPP, estimated to be recognized over a period of 4 years. The Company recognized $16.2 million and $22.4 million in share-based compensation related to PRSUs for the three months ended March 31, 2023 and 2022, respectively. The Company has granted PRSUs to certain executives, which become eligible to vest if prior to the vesting date the average closing price of one share of the Company's common stock for 90 consecutive days equals or exceeds a specified price (the "Market PRSUs"). The expense referenced above is mainly attributable to Market PRSUs that vest based on pre-established milestones including Company performance. These milestones primarily consist of the volume-weighted average stock closing price ranging from $20 to $30 for 90 consecutive days. The grant date fair value of the Market PRSUs is recognized as expense over the vesting period under the accelerated attribution method and is not adjusted in future periods for the success or failure to achieve the specified market condition. At March 31, 2023, the market condition component of these awards has not been met, so the awards have not been earned. This expense represents more than 40% of the total compensation cost recognized for stock-based compensation plans presented within Salaries and benefits within the accompanying Consolidated Statements of Operations and Comprehensive Loss.</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497205"/>
                <wp:effectExtent l="0" t="0" r="0" b="0"/>
                <wp:wrapNone/>
                <wp:docPr id="22" name="Frame2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stock options granted for the three months ended March 31, 2023 and 2022.</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2020 Plan during the three months ended March 31, 2023, was as follows:</w:t>
      </w:r>
    </w:p>
    <w:tbl>
      <w:tblPr>
        <w:tblW w:w="7420" w:type="dxa"/>
        <w:jc w:val="left"/>
        <w:tblInd w:w="0" w:type="dxa"/>
        <w:tblCellMar>
          <w:top w:w="28" w:type="dxa"/>
          <w:left w:w="28" w:type="dxa"/>
          <w:bottom w:w="28" w:type="dxa"/>
          <w:right w:w="28" w:type="dxa"/>
        </w:tblCellMar>
      </w:tblPr>
      <w:tblGrid>
        <w:gridCol w:w="907"/>
        <w:gridCol w:w="798"/>
        <w:gridCol w:w="800"/>
        <w:gridCol w:w="554"/>
        <w:gridCol w:w="554"/>
        <w:gridCol w:w="556"/>
        <w:gridCol w:w="109"/>
        <w:gridCol w:w="109"/>
        <w:gridCol w:w="109"/>
        <w:gridCol w:w="704"/>
        <w:gridCol w:w="1706"/>
        <w:gridCol w:w="514"/>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50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110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1,364,822 </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(136,249)</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1108"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1,228,573 </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CFF0FC" w:val="clear"/>
            <w:tcMar>
              <w:left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8.88 </w:t>
            </w:r>
          </w:p>
        </w:tc>
        <w:tc>
          <w:tcPr>
            <w:tcW w:w="5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option activity under the 2014 Plan during the three months ended March 31, 2023, was as follows:</w:t>
      </w:r>
    </w:p>
    <w:tbl>
      <w:tblPr>
        <w:tblW w:w="7420" w:type="dxa"/>
        <w:jc w:val="left"/>
        <w:tblInd w:w="0" w:type="dxa"/>
        <w:tblCellMar>
          <w:top w:w="28" w:type="dxa"/>
          <w:left w:w="28" w:type="dxa"/>
          <w:bottom w:w="28" w:type="dxa"/>
          <w:right w:w="28" w:type="dxa"/>
        </w:tblCellMar>
      </w:tblPr>
      <w:tblGrid>
        <w:gridCol w:w="907"/>
        <w:gridCol w:w="798"/>
        <w:gridCol w:w="800"/>
        <w:gridCol w:w="554"/>
        <w:gridCol w:w="554"/>
        <w:gridCol w:w="556"/>
        <w:gridCol w:w="109"/>
        <w:gridCol w:w="109"/>
        <w:gridCol w:w="109"/>
        <w:gridCol w:w="704"/>
        <w:gridCol w:w="1706"/>
        <w:gridCol w:w="514"/>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04" w:type="dxa"/>
            <w:tcBorders/>
            <w:shd w:fill="auto" w:val="clear"/>
            <w:vAlign w:val="center"/>
          </w:tcPr>
          <w:p>
            <w:pPr>
              <w:pStyle w:val="TableContents"/>
              <w:spacing w:before="0" w:after="283"/>
              <w:rPr>
                <w:sz w:val="4"/>
                <w:szCs w:val="4"/>
              </w:rPr>
            </w:pPr>
            <w:r>
              <w:rPr>
                <w:sz w:val="4"/>
                <w:szCs w:val="4"/>
              </w:rPr>
            </w:r>
          </w:p>
        </w:tc>
        <w:tc>
          <w:tcPr>
            <w:tcW w:w="1706"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options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exercise price</w:t>
            </w:r>
          </w:p>
        </w:tc>
      </w:tr>
      <w:tr>
        <w:trPr/>
        <w:tc>
          <w:tcPr>
            <w:tcW w:w="250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1108" w:type="dxa"/>
            <w:gridSpan w:val="2"/>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25,631,685 </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tcBorders>
            <w:shd w:fill="CFF0FC"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514" w:type="dxa"/>
            <w:tcBorders>
              <w:top w:val="single" w:sz="8" w:space="0" w:color="000000"/>
            </w:tcBorders>
            <w:shd w:fill="CFF0FC"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Exercised</w:t>
            </w:r>
          </w:p>
        </w:tc>
        <w:tc>
          <w:tcPr>
            <w:tcW w:w="1108"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w:t>
            </w:r>
          </w:p>
        </w:tc>
        <w:tc>
          <w:tcPr>
            <w:tcW w:w="556"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1.52 </w:t>
            </w:r>
          </w:p>
        </w:tc>
        <w:tc>
          <w:tcPr>
            <w:tcW w:w="51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110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(1,024,215)</w:t>
            </w:r>
          </w:p>
        </w:tc>
        <w:tc>
          <w:tcPr>
            <w:tcW w:w="55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1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51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FF0FC"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1108" w:type="dxa"/>
            <w:gridSpan w:val="2"/>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24,606,230 </w:t>
            </w:r>
          </w:p>
        </w:tc>
        <w:tc>
          <w:tcPr>
            <w:tcW w:w="5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bottom w:val="double" w:sz="4" w:space="0" w:color="FFFFFF"/>
            </w:tcBorders>
            <w:shd w:fill="CFF0FC" w:val="clear"/>
            <w:tcMar>
              <w:left w:w="0" w:type="dxa"/>
              <w:right w:w="0" w:type="dxa"/>
            </w:tcMar>
            <w:vAlign w:val="center"/>
          </w:tcPr>
          <w:p>
            <w:pPr>
              <w:pStyle w:val="TableContents"/>
              <w:spacing w:before="0" w:after="283"/>
              <w:rPr>
                <w:sz w:val="4"/>
                <w:szCs w:val="4"/>
              </w:rPr>
            </w:pPr>
            <w:r>
              <w:rPr>
                <w:sz w:val="4"/>
                <w:szCs w:val="4"/>
              </w:rPr>
            </w:r>
          </w:p>
        </w:tc>
        <w:tc>
          <w:tcPr>
            <w:tcW w:w="7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51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outstanding stock options, substantially all of which are expected to vest, had an aggregate intrinsic value of $507.5 million, and a weighted-average remaining contractual term of 4 years. At March 31, 2023, there were 22,138,777 options exercisable under the Plan, with an aggregate intrinsic value of $0.1 million, a weighted-average exercise price of $2.88 per share, and a weighted-average remaining contractual term of 5.96 years. The total value of stock options exercised during the three months ended March 31, 2023 and 2022, was none and $39.8 million, respectively. Cash received from stock option exercises during the three months ended March 31, 2023 and 2022, was none and $6.4 million,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terms of the applicable Plan and stock option award agreement, employees may exercise options at any time after grant while maintaining the original vesting period. The proceeds from exercise of unvested options are recorded as a liability until the option vests at which time the liability is reclassified to equity. If the employee terminates or otherwise forfeits an unvested option that has been exercised early, the Company must redeem those shares at the original exercise price and remit payment of the forfeited portion of shares back to the employee.</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497205"/>
                <wp:effectExtent l="0" t="0" r="0" b="0"/>
                <wp:wrapNone/>
                <wp:docPr id="23" name="Frame2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before="0" w:after="0"/>
        <w:rPr/>
      </w:pPr>
      <w:r>
        <w:rPr/>
      </w:r>
    </w:p>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A summary of total RSU activity is presented below:</w:t>
      </w:r>
    </w:p>
    <w:tbl>
      <w:tblPr>
        <w:tblW w:w="9075" w:type="dxa"/>
        <w:jc w:val="left"/>
        <w:tblInd w:w="0" w:type="dxa"/>
        <w:tblCellMar>
          <w:top w:w="28" w:type="dxa"/>
          <w:left w:w="28" w:type="dxa"/>
          <w:bottom w:w="28" w:type="dxa"/>
          <w:right w:w="28" w:type="dxa"/>
        </w:tblCellMar>
      </w:tblPr>
      <w:tblGrid>
        <w:gridCol w:w="907"/>
        <w:gridCol w:w="798"/>
        <w:gridCol w:w="800"/>
        <w:gridCol w:w="109"/>
        <w:gridCol w:w="109"/>
        <w:gridCol w:w="109"/>
        <w:gridCol w:w="540"/>
        <w:gridCol w:w="541"/>
        <w:gridCol w:w="501"/>
        <w:gridCol w:w="109"/>
        <w:gridCol w:w="109"/>
        <w:gridCol w:w="109"/>
        <w:gridCol w:w="932"/>
        <w:gridCol w:w="2721"/>
        <w:gridCol w:w="681"/>
      </w:tblGrid>
      <w:tr>
        <w:trPr/>
        <w:tc>
          <w:tcPr>
            <w:tcW w:w="907"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2" w:type="dxa"/>
            <w:tcBorders/>
            <w:shd w:fill="auto" w:val="clear"/>
            <w:vAlign w:val="center"/>
          </w:tcPr>
          <w:p>
            <w:pPr>
              <w:pStyle w:val="TableContents"/>
              <w:spacing w:before="0" w:after="283"/>
              <w:rPr>
                <w:sz w:val="4"/>
                <w:szCs w:val="4"/>
              </w:rPr>
            </w:pPr>
            <w:r>
              <w:rPr>
                <w:sz w:val="4"/>
                <w:szCs w:val="4"/>
              </w:rPr>
            </w:r>
          </w:p>
        </w:tc>
        <w:tc>
          <w:tcPr>
            <w:tcW w:w="2721"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r>
      <w:tr>
        <w:trPr/>
        <w:tc>
          <w:tcPr>
            <w:tcW w:w="25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21,294,841 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14,276,763 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6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(3,949,754)</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6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(109,453)</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6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31,512,397 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49,617,199 </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6.48 </w:t>
            </w:r>
          </w:p>
        </w:tc>
        <w:tc>
          <w:tcPr>
            <w:tcW w:w="6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16,194,103 </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0.98 </w:t>
            </w:r>
          </w:p>
        </w:tc>
        <w:tc>
          <w:tcPr>
            <w:tcW w:w="6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(7,164,077)</w:t>
            </w:r>
          </w:p>
        </w:tc>
        <w:tc>
          <w:tcPr>
            <w:tcW w:w="5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9.39 </w:t>
            </w:r>
          </w:p>
        </w:tc>
        <w:tc>
          <w:tcPr>
            <w:tcW w:w="6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(904,620)</w:t>
            </w:r>
          </w:p>
        </w:tc>
        <w:tc>
          <w:tcPr>
            <w:tcW w:w="5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5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6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57,742,605 </w:t>
            </w:r>
          </w:p>
        </w:tc>
        <w:tc>
          <w:tcPr>
            <w:tcW w:w="5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6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Times New Roman;sans-serif" w:hAnsi="Times New Roman;sans-serif"/>
          <w:b w:val="false"/>
          <w:i/>
          <w:color w:val="000000"/>
          <w:sz w:val="20"/>
        </w:rPr>
      </w:pPr>
      <w:r>
        <w:rPr>
          <w:rFonts w:ascii="Times New Roman;sans-serif" w:hAnsi="Times New Roman;sans-serif"/>
          <w:b w:val="false"/>
          <w:i/>
          <w:color w:val="000000"/>
          <w:sz w:val="20"/>
        </w:rPr>
        <w:t>Performance Restricted Stock Units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has granted PRSUs that vest based on pre-established milestones including Company performance. The grant date fair value of the Market PRSUs is recognized as expense over the vesting period under the accelerated attribution method and is not adjusted in future periods for the success or failure to achieve the specified market condition. The Company has also determined the requisite service period for the PRSUs with multiple performance conditions to be the longest of the explicit, implicit, or derived service period for each tranche.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grant date fair value of Market PRSUs was determined using a Monte Carlo simulation model that incorporated multiple valuation assumptions, including the probability of achieving the specified market condition and the following assumptions:</w:t>
      </w:r>
    </w:p>
    <w:tbl>
      <w:tblPr>
        <w:tblW w:w="4363" w:type="dxa"/>
        <w:jc w:val="left"/>
        <w:tblInd w:w="0" w:type="dxa"/>
        <w:tblCellMar>
          <w:top w:w="28" w:type="dxa"/>
          <w:left w:w="28" w:type="dxa"/>
          <w:bottom w:w="28" w:type="dxa"/>
          <w:right w:w="28" w:type="dxa"/>
        </w:tblCellMar>
      </w:tblPr>
      <w:tblGrid>
        <w:gridCol w:w="1160"/>
        <w:gridCol w:w="1020"/>
        <w:gridCol w:w="1029"/>
        <w:gridCol w:w="109"/>
        <w:gridCol w:w="109"/>
        <w:gridCol w:w="109"/>
        <w:gridCol w:w="255"/>
        <w:gridCol w:w="256"/>
        <w:gridCol w:w="316"/>
      </w:tblGrid>
      <w:tr>
        <w:trPr/>
        <w:tc>
          <w:tcPr>
            <w:tcW w:w="116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0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top w:val="single" w:sz="8" w:space="0" w:color="000000"/>
            </w:tcBorders>
            <w:shd w:fill="CFF0FC"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Expected volatility </w:t>
            </w:r>
            <w:r>
              <w:rPr>
                <w:rFonts w:ascii="Times New Roman;sans-serif" w:hAnsi="Times New Roman;sans-serif"/>
                <w:b w:val="false"/>
                <w:color w:val="000000"/>
                <w:sz w:val="13"/>
              </w:rPr>
              <w:t>(1)</w:t>
            </w:r>
          </w:p>
        </w:tc>
        <w:tc>
          <w:tcPr>
            <w:tcW w:w="327" w:type="dxa"/>
            <w:gridSpan w:val="3"/>
            <w:tcBorders>
              <w:top w:val="single" w:sz="8" w:space="0" w:color="000000"/>
            </w:tcBorders>
            <w:shd w:fill="CFF0FC"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20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Risk-free interest rate </w:t>
            </w:r>
            <w:r>
              <w:rPr>
                <w:rFonts w:ascii="Times New Roman;sans-serif" w:hAnsi="Times New Roman;sans-serif"/>
                <w:b w:val="false"/>
                <w:color w:val="000000"/>
                <w:sz w:val="13"/>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Dividend yield </w:t>
            </w:r>
            <w:r>
              <w:rPr>
                <w:rFonts w:ascii="Times New Roman;sans-serif" w:hAnsi="Times New Roman;sans-serif"/>
                <w:b w:val="false"/>
                <w:color w:val="000000"/>
                <w:sz w:val="13"/>
              </w:rPr>
              <w:t>(3)</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Expected volatility is based on a blend of peer group company historical data adjusted for the Company's leverage.</w:t>
      </w:r>
    </w:p>
    <w:p>
      <w:pPr>
        <w:pStyle w:val="TextBody"/>
        <w:spacing w:lineRule="auto" w:line="288" w:before="0" w:after="0"/>
        <w:jc w:val="both"/>
        <w:rPr/>
      </w:pPr>
      <w:r>
        <w:rPr>
          <w:rFonts w:ascii="Times New Roman;sans-serif" w:hAnsi="Times New Roman;sans-serif"/>
          <w:b w:val="false"/>
          <w:color w:val="000000"/>
          <w:sz w:val="10"/>
        </w:rPr>
        <w:t>(2)</w:t>
      </w:r>
      <w:r>
        <w:rPr>
          <w:color w:val="000000"/>
        </w:rPr>
        <w:t xml:space="preserve"> </w:t>
      </w:r>
      <w:r>
        <w:rPr>
          <w:rFonts w:ascii="Times New Roman;sans-serif" w:hAnsi="Times New Roman;sans-serif"/>
          <w:b w:val="false"/>
          <w:color w:val="000000"/>
          <w:sz w:val="16"/>
        </w:rPr>
        <w:t>Risk-free interest rate based on U.S. Treasury yields with a term equal to the remaining Performance Period at the grant date.</w:t>
      </w:r>
    </w:p>
    <w:p>
      <w:pPr>
        <w:pStyle w:val="TextBody"/>
        <w:spacing w:lineRule="auto" w:line="288" w:before="0" w:after="0"/>
        <w:jc w:val="both"/>
        <w:rPr/>
      </w:pPr>
      <w:r>
        <w:rPr>
          <w:rFonts w:ascii="Times New Roman;sans-serif" w:hAnsi="Times New Roman;sans-serif"/>
          <w:b w:val="false"/>
          <w:color w:val="000000"/>
          <w:sz w:val="10"/>
        </w:rPr>
        <w:t>(3)</w:t>
      </w:r>
      <w:r>
        <w:rPr>
          <w:color w:val="000000"/>
        </w:rPr>
        <w:t xml:space="preserve"> </w:t>
      </w:r>
      <w:r>
        <w:rPr>
          <w:rFonts w:ascii="Times New Roman;sans-serif" w:hAnsi="Times New Roman;sans-serif"/>
          <w:b w:val="false"/>
          <w:color w:val="000000"/>
          <w:sz w:val="16"/>
        </w:rPr>
        <w:t>Dividend yield was assumed to be zero as the Company does not anticipate paying dividends.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497205"/>
                <wp:effectExtent l="0" t="0" r="0" b="0"/>
                <wp:wrapNone/>
                <wp:docPr id="24" name="Frame2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PRSU activity is presented below:</w:t>
      </w:r>
    </w:p>
    <w:tbl>
      <w:tblPr>
        <w:tblW w:w="9191" w:type="dxa"/>
        <w:jc w:val="left"/>
        <w:tblInd w:w="0" w:type="dxa"/>
        <w:tblCellMar>
          <w:top w:w="28" w:type="dxa"/>
          <w:left w:w="28" w:type="dxa"/>
          <w:bottom w:w="28" w:type="dxa"/>
          <w:right w:w="28" w:type="dxa"/>
        </w:tblCellMar>
      </w:tblPr>
      <w:tblGrid>
        <w:gridCol w:w="934"/>
        <w:gridCol w:w="822"/>
        <w:gridCol w:w="824"/>
        <w:gridCol w:w="109"/>
        <w:gridCol w:w="109"/>
        <w:gridCol w:w="109"/>
        <w:gridCol w:w="540"/>
        <w:gridCol w:w="541"/>
        <w:gridCol w:w="541"/>
        <w:gridCol w:w="109"/>
        <w:gridCol w:w="109"/>
        <w:gridCol w:w="109"/>
        <w:gridCol w:w="1044"/>
        <w:gridCol w:w="2529"/>
        <w:gridCol w:w="762"/>
      </w:tblGrid>
      <w:tr>
        <w:trPr/>
        <w:tc>
          <w:tcPr>
            <w:tcW w:w="934" w:type="dxa"/>
            <w:tcBorders/>
            <w:shd w:fill="auto" w:val="clear"/>
            <w:vAlign w:val="center"/>
          </w:tcPr>
          <w:p>
            <w:pPr>
              <w:pStyle w:val="TableContents"/>
              <w:spacing w:before="0" w:after="283"/>
              <w:rPr>
                <w:sz w:val="4"/>
                <w:szCs w:val="4"/>
              </w:rPr>
            </w:pPr>
            <w:r>
              <w:rPr>
                <w:sz w:val="4"/>
                <w:szCs w:val="4"/>
              </w:rPr>
            </w:r>
          </w:p>
        </w:tc>
        <w:tc>
          <w:tcPr>
            <w:tcW w:w="822"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529" w:type="dxa"/>
            <w:tcBorders/>
            <w:shd w:fill="auto" w:val="clear"/>
            <w:vAlign w:val="center"/>
          </w:tcPr>
          <w:p>
            <w:pPr>
              <w:pStyle w:val="TableContents"/>
              <w:spacing w:before="0" w:after="283"/>
              <w:rPr>
                <w:sz w:val="4"/>
                <w:szCs w:val="4"/>
              </w:rPr>
            </w:pPr>
            <w:r>
              <w:rPr>
                <w:sz w:val="4"/>
                <w:szCs w:val="4"/>
              </w:rPr>
            </w:r>
          </w:p>
        </w:tc>
        <w:tc>
          <w:tcPr>
            <w:tcW w:w="762" w:type="dxa"/>
            <w:tcBorders/>
            <w:shd w:fill="auto" w:val="clear"/>
            <w:vAlign w:val="center"/>
          </w:tcPr>
          <w:p>
            <w:pPr>
              <w:pStyle w:val="TableContents"/>
              <w:spacing w:before="0" w:after="283"/>
              <w:rPr>
                <w:sz w:val="4"/>
                <w:szCs w:val="4"/>
              </w:rPr>
            </w:pPr>
            <w:r>
              <w:rPr>
                <w:sz w:val="4"/>
                <w:szCs w:val="4"/>
              </w:rPr>
            </w:r>
          </w:p>
        </w:tc>
      </w:tr>
      <w:tr>
        <w:trPr/>
        <w:tc>
          <w:tcPr>
            <w:tcW w:w="25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Number of PRSUs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Weighted-average grant date fair value per share</w:t>
            </w:r>
          </w:p>
        </w:tc>
      </w:tr>
      <w:tr>
        <w:trPr/>
        <w:tc>
          <w:tcPr>
            <w:tcW w:w="258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27,818,524 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(13,264)</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8.90 </w:t>
            </w:r>
          </w:p>
        </w:tc>
        <w:tc>
          <w:tcPr>
            <w:tcW w:w="7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(265,306)</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7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27,539,954 </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9.58 </w:t>
            </w:r>
          </w:p>
        </w:tc>
        <w:tc>
          <w:tcPr>
            <w:tcW w:w="76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2"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3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29,945,235 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7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Granted during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76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Non-vested at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29,945,235 </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there was $68.7 million of unrecognized share-based compensation expense related to PRSUs, which is expected to be recognized over a period of 4 years.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2020 Employee Stock Purchase Plan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6, 2021, stockholders approved the ESPP. The ESPP provides a means by which eligible employees and/or eligible service providers of either the Company or designated related companies and affiliates may be given an opportunity to purchase shares of Class A common stock at a 15.0% discount from the fair market value of the common stock as determined on specific dates at specified intervals. Subject to adjustments provided in the ESPP that are discussed below, the maximum number of shares of common stock that may be purchased under the ESPP is 10,512,025 shares, and the maximum number of shares that may be purchased on any single purchase date by any one participant is 5,000 shares. At March 31, 2023, 9,582,217 shares of Class A common stock were available for issuance under the ESPP.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ESPP includes an evergreen provision that sets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at January 7, 2021, on an as-converted basis.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offering period for the ESPP was five months, which commenced on September 1, 2021, and ended on January 31, 2022. The second offering period began on March 14, 2022, and ended November 22, 2022, and the third offering period began on November 23, 2022, and will end on May 21,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569,808 shares of the Company's Class A common stock have been purchased or distributed pursuant to the ESPP.</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assumptions that the Company used in the Black-Scholes option-pricing model to determine the fair value of the purchase rights under the ESPP for the three months ended March 31, 2023, are as follows:</w:t>
      </w:r>
    </w:p>
    <w:p>
      <w:pPr>
        <w:pStyle w:val="TextBody"/>
        <w:spacing w:before="0" w:after="0"/>
        <w:jc w:val="both"/>
        <w:rPr/>
      </w:pPr>
      <w:r>
        <w:rPr/>
      </w:r>
    </w:p>
    <w:tbl>
      <w:tblPr>
        <w:tblW w:w="4454" w:type="dxa"/>
        <w:jc w:val="left"/>
        <w:tblInd w:w="0" w:type="dxa"/>
        <w:tblCellMar>
          <w:top w:w="28" w:type="dxa"/>
          <w:left w:w="28" w:type="dxa"/>
          <w:bottom w:w="28" w:type="dxa"/>
          <w:right w:w="28" w:type="dxa"/>
        </w:tblCellMar>
      </w:tblPr>
      <w:tblGrid>
        <w:gridCol w:w="1193"/>
        <w:gridCol w:w="1049"/>
        <w:gridCol w:w="1058"/>
        <w:gridCol w:w="109"/>
        <w:gridCol w:w="109"/>
        <w:gridCol w:w="109"/>
        <w:gridCol w:w="255"/>
        <w:gridCol w:w="256"/>
        <w:gridCol w:w="316"/>
      </w:tblGrid>
      <w:tr>
        <w:trPr/>
        <w:tc>
          <w:tcPr>
            <w:tcW w:w="1193" w:type="dxa"/>
            <w:tcBorders/>
            <w:shd w:fill="auto" w:val="clear"/>
            <w:vAlign w:val="center"/>
          </w:tcPr>
          <w:p>
            <w:pPr>
              <w:pStyle w:val="TableContents"/>
              <w:spacing w:before="0" w:after="283"/>
              <w:rPr>
                <w:sz w:val="4"/>
                <w:szCs w:val="4"/>
              </w:rPr>
            </w:pPr>
            <w:r>
              <w:rPr>
                <w:sz w:val="4"/>
                <w:szCs w:val="4"/>
              </w:rPr>
            </w:r>
          </w:p>
        </w:tc>
        <w:tc>
          <w:tcPr>
            <w:tcW w:w="1049"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risk-free interest rate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0.49</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78.4 </w:t>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497205"/>
                <wp:effectExtent l="0" t="0" r="0" b="0"/>
                <wp:wrapNone/>
                <wp:docPr id="25" name="Frame2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consolidated effective tax rate of the Company for the three months ended March 31, 2023 and 2022, was 0.0%. The Company continues to be in a net operating loss and net deferred tax asset position. As a result, and in accordance with accounting standards, the Company recorded a valuation allowance to reduce the value of the net deferred tax assets to zero. The Company believes that at March 31, 2023, it had no material uncertain tax positions. Interest and penalties related to unrecognized tax expense (benefits) are recognized in income tax expense, when applicable.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liabilities for interest and penalties accrued at March 31, 2023 and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13. Net Loss per Share</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Net Loss per Share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 attributable to Class A common stockholders and Class B common stockholders (collectively, "Common Stockholders") for the years indicated was calculated as follows:</w:t>
      </w:r>
    </w:p>
    <w:tbl>
      <w:tblPr>
        <w:tblW w:w="10205" w:type="dxa"/>
        <w:jc w:val="left"/>
        <w:tblInd w:w="0" w:type="dxa"/>
        <w:tblCellMar>
          <w:top w:w="28" w:type="dxa"/>
          <w:left w:w="28" w:type="dxa"/>
          <w:bottom w:w="28" w:type="dxa"/>
          <w:right w:w="28" w:type="dxa"/>
        </w:tblCellMar>
      </w:tblPr>
      <w:tblGrid>
        <w:gridCol w:w="2560"/>
        <w:gridCol w:w="2196"/>
        <w:gridCol w:w="2237"/>
        <w:gridCol w:w="264"/>
        <w:gridCol w:w="922"/>
        <w:gridCol w:w="115"/>
        <w:gridCol w:w="115"/>
        <w:gridCol w:w="115"/>
        <w:gridCol w:w="115"/>
        <w:gridCol w:w="264"/>
        <w:gridCol w:w="922"/>
        <w:gridCol w:w="115"/>
        <w:gridCol w:w="109"/>
        <w:gridCol w:w="156"/>
      </w:tblGrid>
      <w:tr>
        <w:trPr/>
        <w:tc>
          <w:tcPr>
            <w:tcW w:w="2560"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2237"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92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265" w:type="dxa"/>
            <w:gridSpan w:val="2"/>
            <w:tcBorders/>
            <w:shd w:fill="auto" w:val="clear"/>
          </w:tcPr>
          <w:p>
            <w:pPr>
              <w:pStyle w:val="TableContents"/>
              <w:spacing w:before="0" w:after="283"/>
              <w:rPr>
                <w:sz w:val="4"/>
                <w:szCs w:val="4"/>
              </w:rPr>
            </w:pPr>
            <w:r>
              <w:rPr>
                <w:sz w:val="4"/>
                <w:szCs w:val="4"/>
              </w:rPr>
            </w:r>
          </w:p>
        </w:tc>
      </w:tr>
      <w:tr>
        <w:trPr/>
        <w:tc>
          <w:tcPr>
            <w:tcW w:w="6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4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 thousands, </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except per share and share amounts)</w:t>
            </w:r>
          </w:p>
        </w:tc>
        <w:tc>
          <w:tcPr>
            <w:tcW w:w="265" w:type="dxa"/>
            <w:gridSpan w:val="2"/>
            <w:tcBorders/>
            <w:shd w:fill="auto" w:val="clear"/>
          </w:tcPr>
          <w:p>
            <w:pPr>
              <w:pStyle w:val="TableContents"/>
              <w:spacing w:before="0" w:after="283"/>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(75,490)</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(75,490)</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93"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weighted average number of common shares and common share equivalents outstanding</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478,805,067 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473,028,651 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99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Common Stockholders—basic and diluted</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ind w:left="0" w:right="0" w:hanging="18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Because the Company had a Net loss during the three months ended March 31, 2023 and 2022, the Company's potentially dilutive securities, which include stock options, RSUs, PRSUs, preferred stock, and warrants to purchase shares of common stock and preferred stock, have been excluded from the computation of diluted net loss per share, as the effect would be anti-dilutive. Therefore, during these periods, the diluted common shares outstanding equals the average common shares outstanding.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w:t>
      </w:r>
    </w:p>
    <w:tbl>
      <w:tblPr>
        <w:tblW w:w="9659" w:type="dxa"/>
        <w:jc w:val="left"/>
        <w:tblInd w:w="0" w:type="dxa"/>
        <w:tblCellMar>
          <w:top w:w="28" w:type="dxa"/>
          <w:left w:w="28" w:type="dxa"/>
          <w:bottom w:w="28" w:type="dxa"/>
          <w:right w:w="28" w:type="dxa"/>
        </w:tblCellMar>
      </w:tblPr>
      <w:tblGrid>
        <w:gridCol w:w="2201"/>
        <w:gridCol w:w="1940"/>
        <w:gridCol w:w="1948"/>
        <w:gridCol w:w="592"/>
        <w:gridCol w:w="594"/>
        <w:gridCol w:w="208"/>
        <w:gridCol w:w="208"/>
        <w:gridCol w:w="208"/>
        <w:gridCol w:w="208"/>
        <w:gridCol w:w="540"/>
        <w:gridCol w:w="541"/>
        <w:gridCol w:w="208"/>
        <w:gridCol w:w="109"/>
        <w:gridCol w:w="154"/>
      </w:tblGrid>
      <w:tr>
        <w:trPr/>
        <w:tc>
          <w:tcPr>
            <w:tcW w:w="2201" w:type="dxa"/>
            <w:tcBorders/>
            <w:shd w:fill="auto" w:val="clear"/>
            <w:vAlign w:val="center"/>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948" w:type="dxa"/>
            <w:tcBorders/>
            <w:shd w:fill="auto" w:val="clear"/>
            <w:vAlign w:val="center"/>
          </w:tcPr>
          <w:p>
            <w:pPr>
              <w:pStyle w:val="TableContents"/>
              <w:spacing w:before="0" w:after="283"/>
              <w:rPr>
                <w:sz w:val="4"/>
                <w:szCs w:val="4"/>
              </w:rPr>
            </w:pPr>
            <w:r>
              <w:rPr>
                <w:sz w:val="4"/>
                <w:szCs w:val="4"/>
              </w:rPr>
            </w:r>
          </w:p>
        </w:tc>
        <w:tc>
          <w:tcPr>
            <w:tcW w:w="592"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30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263" w:type="dxa"/>
            <w:gridSpan w:val="2"/>
            <w:tcBorders/>
            <w:shd w:fill="auto" w:val="clear"/>
          </w:tcPr>
          <w:p>
            <w:pPr>
              <w:pStyle w:val="TableContents"/>
              <w:spacing w:before="0" w:after="283"/>
              <w:rPr>
                <w:sz w:val="4"/>
                <w:szCs w:val="4"/>
              </w:rPr>
            </w:pPr>
            <w:r>
              <w:rPr>
                <w:sz w:val="4"/>
                <w:szCs w:val="4"/>
              </w:rPr>
            </w:r>
          </w:p>
        </w:tc>
      </w:tr>
      <w:tr>
        <w:trPr/>
        <w:tc>
          <w:tcPr>
            <w:tcW w:w="60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Options to purchase common stock</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25,834,803 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32,410,176 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118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57,742,605 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31,512,397 </w:t>
            </w:r>
          </w:p>
        </w:tc>
        <w:tc>
          <w:tcPr>
            <w:tcW w:w="20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PRSUs</w:t>
            </w:r>
          </w:p>
        </w:tc>
        <w:tc>
          <w:tcPr>
            <w:tcW w:w="118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29,945,235 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27,539,954 </w:t>
            </w:r>
          </w:p>
        </w:tc>
        <w:tc>
          <w:tcPr>
            <w:tcW w:w="20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auto" w:val="clear"/>
            <w:vAlign w:val="center"/>
          </w:tcPr>
          <w:p>
            <w:pPr>
              <w:pStyle w:val="TableContents"/>
              <w:spacing w:before="0" w:after="283"/>
              <w:rPr>
                <w:sz w:val="4"/>
                <w:szCs w:val="4"/>
              </w:rPr>
            </w:pPr>
            <w:r>
              <w:rPr>
                <w:sz w:val="4"/>
                <w:szCs w:val="4"/>
              </w:rPr>
            </w:r>
          </w:p>
        </w:tc>
        <w:tc>
          <w:tcPr>
            <w:tcW w:w="1394" w:type="dxa"/>
            <w:gridSpan w:val="3"/>
            <w:tcBorders/>
            <w:shd w:fill="auto" w:val="clear"/>
            <w:vAlign w:val="center"/>
          </w:tcPr>
          <w:p>
            <w:pPr>
              <w:pStyle w:val="TableContents"/>
              <w:spacing w:before="0" w:after="283"/>
              <w:rPr>
                <w:sz w:val="4"/>
                <w:szCs w:val="4"/>
              </w:rPr>
            </w:pPr>
            <w:r>
              <w:rPr>
                <w:sz w:val="4"/>
                <w:szCs w:val="4"/>
              </w:rPr>
            </w:r>
          </w:p>
        </w:tc>
        <w:tc>
          <w:tcPr>
            <w:tcW w:w="62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0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anti-dilutive shares excluded from computation of net loss per share</w:t>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113,522,643 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624" w:type="dxa"/>
            <w:gridSpan w:val="3"/>
            <w:tcBorders>
              <w:top w:val="single" w:sz="2" w:space="0" w:color="FFFFFF"/>
              <w:bottom w:val="double" w:sz="4" w:space="0" w:color="FFFFFF"/>
            </w:tcBorders>
            <w:shd w:fill="FFFFFF" w:val="clear"/>
            <w:tcMar>
              <w:left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91,462,527 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Legal Actions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Various lawsuits against the Company may arise in the ordinary course of the Company's business. Contingent liabilities arising from ordinary course litigation, income taxes and other matters are not expected to be material in relation to the financial position of the Company. At March 31, 2023, and December 31, 2022, respectively, there were no material known contingent liabilities arising outside the normal course of business other than as set forth below.</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497205"/>
                <wp:effectExtent l="0" t="0" r="0" b="0"/>
                <wp:wrapNone/>
                <wp:docPr id="26" name="Frame2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Securities Class Actions, Derivative Litigation and Investigations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21, 2023, the parties to the securities class action entered into a memorandum of understanding providing for the settlement of the class action. Subject to negotiation of definitive documentation and final court approval, the class will receive $22 million dollars (less an award of fees and expenses to the plaintiffs’ counsel, as determined by the court), the defendants (including the Company) will receive customary releases, and the litigation will be concluded. The Company will use insurance proceeds totaling $19.5 million that have been advanced or have been committed to be advanced by the Company’s insurers to fund the settlement. The Company expects to pay $2.5 million of out-of-pocket costs to fund the settlement. As of March 31, 2023 and December 31, 2022 the Company has recorded reserves of $2,500,000 and $500,000, respectively. The Company previously filed a lawsuit in Delaware state court against certain of its insurers for full payment of its liabilities related to this securities litigation. The Company intends to continue to pursue that litigation against the insurance carrier defendants to seek to recover additional funds, and it intends to oppose any efforts by the carrier defendants to recoup any insurance proceeds that they have advanced or committed to advance to date. See “Note 18—Subsequent Events.”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Shareholder derivative actions parallel to the securities class action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497205"/>
                <wp:effectExtent l="0" t="0" r="0" b="0"/>
                <wp:wrapNone/>
                <wp:docPr id="27" name="Frame2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10, 2021, the Middle District of Tennessee shareholder derivative actions described above were consolidated under Sun v. Garipalli, et al., Case No. 3:21-cv-00311 (M.D. Tenn.) as lead case. The court designated co-lead counsel and liaison counsel and ordered the parties to submit a proposed schedule for the initial stage of the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 </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of these derivative actions remain in the preliminary stages. Given the inherent uncertainty of litigation and the legal standards that must be met, including class certification and success on the merits, the Company has determined that it is not probable or estimable that an unfavorable outcome or potential loss will occur. Clover intends to vigorously defend itself against the claims asserted against it.</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Guaranty Assessments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state guaranty assessment laws, including those related to state cooperative failures in the industry, the Company may be assessed, up to prescribed limits, for certain obligations to the policyholders and claimants of insolvent insurance companies that write the same line or lines of business as the Company.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15. Non-Insurance</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April 2021, the Company began participating in the DC Model of the Centers for Medicare &amp; Medicaid Services ("CMS"), which utilizes a structured model intended to reduce expenditures and preserve or enhance quality of care for beneficiaries in Medicare fee-for-service ("FFS"). CMS redesigned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assumes the responsibility of guaranteeing the performance of its care network. The ACO REACH Model is intended to reduce the administrative burden, support a focus on complex, chronically ill patients, and encourage physician organizations that have not typically participated in Medicare FFS to serve beneficiaries in Medicare FFS. The Company's operations in connection with both the DC Model and ACO REACH Model are included in the Non-Insurance operating segment. See Note 16 (Operating Segments) for additional information.</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Guarantees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of the Company's arrangements with third-party providers require it to guarantee the performance of its care network to CMS, which, if not obtained, could potentially result in payment to CMS. The Non-Insurance performance year obligation and receivable are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497205"/>
                <wp:effectExtent l="0" t="0" r="0" b="0"/>
                <wp:wrapNone/>
                <wp:docPr id="28" name="Frame2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pStyle w:val="TextBody"/>
        <w:spacing w:before="0" w:after="0"/>
        <w:rPr/>
      </w:pPr>
      <w:r>
        <w:rPr/>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2 (Summary of Significant Accounting Policies) and Note 22 (Non-Insurance) in the 2022 Form 10-K.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include the financial statement impacts of the performance guarantee:</w:t>
      </w:r>
    </w:p>
    <w:p>
      <w:pPr>
        <w:pStyle w:val="TextBody"/>
        <w:spacing w:before="0" w:after="0"/>
        <w:rPr/>
      </w:pPr>
      <w:r>
        <w:rPr/>
      </w:r>
    </w:p>
    <w:tbl>
      <w:tblPr>
        <w:tblW w:w="10121" w:type="dxa"/>
        <w:jc w:val="left"/>
        <w:tblInd w:w="0" w:type="dxa"/>
        <w:tblCellMar>
          <w:top w:w="28" w:type="dxa"/>
          <w:left w:w="28" w:type="dxa"/>
          <w:bottom w:w="28" w:type="dxa"/>
          <w:right w:w="28" w:type="dxa"/>
        </w:tblCellMar>
      </w:tblPr>
      <w:tblGrid>
        <w:gridCol w:w="1831"/>
        <w:gridCol w:w="1609"/>
        <w:gridCol w:w="1615"/>
        <w:gridCol w:w="143"/>
        <w:gridCol w:w="143"/>
        <w:gridCol w:w="143"/>
        <w:gridCol w:w="347"/>
        <w:gridCol w:w="1361"/>
        <w:gridCol w:w="179"/>
        <w:gridCol w:w="143"/>
        <w:gridCol w:w="143"/>
        <w:gridCol w:w="143"/>
        <w:gridCol w:w="635"/>
        <w:gridCol w:w="1221"/>
        <w:gridCol w:w="465"/>
      </w:tblGrid>
      <w:tr>
        <w:trPr/>
        <w:tc>
          <w:tcPr>
            <w:tcW w:w="1831" w:type="dxa"/>
            <w:tcBorders/>
            <w:shd w:fill="auto" w:val="clear"/>
            <w:vAlign w:val="center"/>
          </w:tcPr>
          <w:p>
            <w:pPr>
              <w:pStyle w:val="TableContents"/>
              <w:spacing w:before="0" w:after="283"/>
              <w:rPr>
                <w:sz w:val="4"/>
                <w:szCs w:val="4"/>
              </w:rPr>
            </w:pPr>
            <w:r>
              <w:rPr>
                <w:sz w:val="4"/>
                <w:szCs w:val="4"/>
              </w:rPr>
            </w:r>
          </w:p>
        </w:tc>
        <w:tc>
          <w:tcPr>
            <w:tcW w:w="1609" w:type="dxa"/>
            <w:tcBorders/>
            <w:shd w:fill="auto" w:val="clear"/>
            <w:vAlign w:val="center"/>
          </w:tcPr>
          <w:p>
            <w:pPr>
              <w:pStyle w:val="TableContents"/>
              <w:spacing w:before="0" w:after="283"/>
              <w:rPr>
                <w:sz w:val="4"/>
                <w:szCs w:val="4"/>
              </w:rPr>
            </w:pPr>
            <w:r>
              <w:rPr>
                <w:sz w:val="4"/>
                <w:szCs w:val="4"/>
              </w:rPr>
            </w:r>
          </w:p>
        </w:tc>
        <w:tc>
          <w:tcPr>
            <w:tcW w:w="161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1361"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2023</w:t>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2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37"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performance year receivable</w:t>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6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552,620 </w:t>
            </w:r>
          </w:p>
        </w:tc>
        <w:tc>
          <w:tcPr>
            <w:tcW w:w="1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Non-Insurance performance year obligation </w:t>
            </w:r>
            <w:r>
              <w:rPr>
                <w:rFonts w:ascii="Times New Roman;sans-serif" w:hAnsi="Times New Roman;sans-serif"/>
                <w:b w:val="false"/>
                <w:color w:val="000000"/>
                <w:sz w:val="13"/>
              </w:rPr>
              <w:t>(1)</w:t>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613,057 </w:t>
            </w:r>
          </w:p>
        </w:tc>
        <w:tc>
          <w:tcPr>
            <w:tcW w:w="1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73,844 </w:t>
            </w:r>
          </w:p>
        </w:tc>
        <w:tc>
          <w:tcPr>
            <w:tcW w:w="4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21" w:type="dxa"/>
            <w:gridSpan w:val="15"/>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16"/>
              </w:rPr>
              <w:t>This obligation represents the consideration due to providers, net of the shared savings or loss for the period and amortization of the liability.</w:t>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1485"/>
        <w:gridCol w:w="1307"/>
        <w:gridCol w:w="1310"/>
        <w:gridCol w:w="109"/>
        <w:gridCol w:w="109"/>
        <w:gridCol w:w="109"/>
        <w:gridCol w:w="109"/>
        <w:gridCol w:w="109"/>
        <w:gridCol w:w="450"/>
        <w:gridCol w:w="1908"/>
        <w:gridCol w:w="232"/>
        <w:gridCol w:w="109"/>
        <w:gridCol w:w="109"/>
        <w:gridCol w:w="109"/>
        <w:gridCol w:w="442"/>
        <w:gridCol w:w="1872"/>
        <w:gridCol w:w="327"/>
      </w:tblGrid>
      <w:tr>
        <w:trPr/>
        <w:tc>
          <w:tcPr>
            <w:tcW w:w="1485" w:type="dxa"/>
            <w:tcBorders/>
            <w:shd w:fill="auto" w:val="clear"/>
            <w:vAlign w:val="center"/>
          </w:tcPr>
          <w:p>
            <w:pPr>
              <w:pStyle w:val="TableContents"/>
              <w:spacing w:before="0" w:after="283"/>
              <w:rPr>
                <w:sz w:val="4"/>
                <w:szCs w:val="4"/>
              </w:rPr>
            </w:pPr>
            <w:r>
              <w:rPr>
                <w:sz w:val="4"/>
                <w:szCs w:val="4"/>
              </w:rPr>
            </w:r>
          </w:p>
        </w:tc>
        <w:tc>
          <w:tcPr>
            <w:tcW w:w="1307"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1908"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1872"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r>
      <w:tr>
        <w:trPr/>
        <w:tc>
          <w:tcPr>
            <w:tcW w:w="4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r>
      <w:tr>
        <w:trPr/>
        <w:tc>
          <w:tcPr>
            <w:tcW w:w="41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55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10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Non-Insurance performance year receivable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9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(184,207)</w:t>
            </w:r>
          </w:p>
        </w:tc>
        <w:tc>
          <w:tcPr>
            <w:tcW w:w="2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(586,715)</w:t>
            </w:r>
          </w:p>
        </w:tc>
        <w:tc>
          <w:tcPr>
            <w:tcW w:w="3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the Non-Insurance performance year obligation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184,207 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586,715 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0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205,783 </w:t>
            </w:r>
          </w:p>
        </w:tc>
        <w:tc>
          <w:tcPr>
            <w:tcW w:w="2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1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594,898 </w:t>
            </w:r>
          </w:p>
        </w:tc>
        <w:tc>
          <w:tcPr>
            <w:tcW w:w="3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16. 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manages its operations based on two reportable operating segments: Insurance and Non-Insurance. Through the Insurance segment, the Company provides PPO and HMO plans to Medicare Advantage members in several states. The Company's Non-Insurance segment consists of its operations in connection with its participation in CMS' Direct Contracting and ACO REACH programs. All other clinical services and all corporate overhead not included in the Insurance or Non-Insurance segments are included within Corporate/Other. These segment groupings are consistent with information used by the Chief Executive Officer, the Company's CODM, to assess performance and allocate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operations of the Company are organized into the following two segments: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Insurance Segment</w:t>
      </w:r>
      <w:r>
        <w:rPr>
          <w:color w:val="000000"/>
        </w:rPr>
        <w:t xml:space="preserve"> </w:t>
      </w:r>
      <w:r>
        <w:rPr>
          <w:rFonts w:ascii="Times New Roman;sans-serif" w:hAnsi="Times New Roman;sans-serif"/>
          <w:b w:val="false"/>
          <w:color w:val="000000"/>
          <w:sz w:val="20"/>
        </w:rPr>
        <w:t>includes operations related to the Company's MA plans, which generally provide access to a wide network of primary care providers, specialists, and hospitals.</w:t>
      </w:r>
    </w:p>
    <w:p>
      <w:pPr>
        <w:pStyle w:val="TextBody"/>
        <w:spacing w:before="0" w:after="0"/>
        <w:jc w:val="both"/>
        <w:rPr/>
      </w:pPr>
      <w:r>
        <w:rPr/>
      </w:r>
    </w:p>
    <w:p>
      <w:pPr>
        <w:pStyle w:val="TextBody"/>
        <w:spacing w:lineRule="auto" w:line="288" w:before="0" w:after="0"/>
        <w:ind w:left="0" w:right="0" w:hanging="360"/>
        <w:jc w:val="both"/>
        <w:rPr/>
      </w:pPr>
      <w:r>
        <w:rPr>
          <w:color w:val="000000"/>
        </w:rPr>
        <w:t>•</w:t>
      </w:r>
      <w:r>
        <w:rPr>
          <w:rFonts w:ascii="Times New Roman;sans-serif" w:hAnsi="Times New Roman;sans-serif"/>
          <w:b/>
          <w:color w:val="000000"/>
          <w:sz w:val="20"/>
        </w:rPr>
        <w:t>Non-Insurance Segment</w:t>
      </w:r>
      <w:r>
        <w:rPr>
          <w:color w:val="000000"/>
        </w:rPr>
        <w:t xml:space="preserve"> </w:t>
      </w:r>
      <w:r>
        <w:rPr>
          <w:rFonts w:ascii="Times New Roman;sans-serif" w:hAnsi="Times New Roman;sans-serif"/>
          <w:b w:val="false"/>
          <w:color w:val="000000"/>
          <w:sz w:val="20"/>
        </w:rPr>
        <w:t>includes the Company's operations relating to CMS' ACO REACH model and DC Model, which provides options aimed at reducing expenditures and preserving or enhancing quality of care for beneficiaries.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Corporate/Other includes other clinical services not included in Medicare Advantage and Direct Contracting and all other corporate overhead. Clinical services is comprised of Clover Home Care and other clinical services that are offered to eligible beneficiaries.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2022, the Company updated the names of its Medicare Advantage and Direct Contracting segments to the Insurance and Non-Insurance segments, respectively. The Company believes that this approach better reflects each segment's current role and contribution to its business. There has been no change to the existing composition of these segments, and previously reported consolidated and segment-level financial results of the Company were not impacted by these changes.</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497205"/>
                <wp:effectExtent l="0" t="0" r="0" b="0"/>
                <wp:wrapNone/>
                <wp:docPr id="29" name="Frame2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before="0" w:after="0"/>
        <w:rPr/>
      </w:pPr>
      <w:r>
        <w:rPr/>
      </w:r>
    </w:p>
    <w:p>
      <w:pPr>
        <w:pStyle w:val="TextBody"/>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the Company's results by operating segment:</w:t>
      </w:r>
    </w:p>
    <w:tbl>
      <w:tblPr>
        <w:tblW w:w="10205" w:type="dxa"/>
        <w:jc w:val="left"/>
        <w:tblInd w:w="0" w:type="dxa"/>
        <w:tblCellMar>
          <w:top w:w="28" w:type="dxa"/>
          <w:left w:w="28" w:type="dxa"/>
          <w:bottom w:w="28" w:type="dxa"/>
          <w:right w:w="28" w:type="dxa"/>
        </w:tblCellMar>
      </w:tblPr>
      <w:tblGrid>
        <w:gridCol w:w="1025"/>
        <w:gridCol w:w="519"/>
        <w:gridCol w:w="524"/>
        <w:gridCol w:w="109"/>
        <w:gridCol w:w="109"/>
        <w:gridCol w:w="109"/>
        <w:gridCol w:w="211"/>
        <w:gridCol w:w="826"/>
        <w:gridCol w:w="109"/>
        <w:gridCol w:w="109"/>
        <w:gridCol w:w="109"/>
        <w:gridCol w:w="109"/>
        <w:gridCol w:w="219"/>
        <w:gridCol w:w="1017"/>
        <w:gridCol w:w="115"/>
        <w:gridCol w:w="109"/>
        <w:gridCol w:w="109"/>
        <w:gridCol w:w="109"/>
        <w:gridCol w:w="220"/>
        <w:gridCol w:w="1020"/>
        <w:gridCol w:w="113"/>
        <w:gridCol w:w="109"/>
        <w:gridCol w:w="109"/>
        <w:gridCol w:w="109"/>
        <w:gridCol w:w="211"/>
        <w:gridCol w:w="885"/>
        <w:gridCol w:w="109"/>
        <w:gridCol w:w="109"/>
        <w:gridCol w:w="109"/>
        <w:gridCol w:w="109"/>
        <w:gridCol w:w="226"/>
        <w:gridCol w:w="1050"/>
        <w:gridCol w:w="171"/>
      </w:tblGrid>
      <w:tr>
        <w:trPr/>
        <w:tc>
          <w:tcPr>
            <w:tcW w:w="1025"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r>
      <w:tr>
        <w:trPr/>
        <w:tc>
          <w:tcPr>
            <w:tcW w:w="2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Total</w:t>
            </w:r>
          </w:p>
        </w:tc>
      </w:tr>
      <w:tr>
        <w:trPr/>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0"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317,086 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205,783 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205,783 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17,310 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Intersegment revenues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23,231 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(23,231)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197,701 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472,490 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55,285 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716,104 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936,903 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(666,810)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1,453,589 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Non-Insurance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Corporate/Other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Eliminations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Total</w:t>
            </w:r>
          </w:p>
        </w:tc>
      </w:tr>
      <w:tr>
        <w:trPr/>
        <w:tc>
          <w:tcPr>
            <w:tcW w:w="206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10" w:type="dxa"/>
            <w:gridSpan w:val="2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6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278,169 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594,898 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594,898 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27,399 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Intersegment revenues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19,136 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593,999 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861,722 </w:t>
            </w:r>
          </w:p>
        </w:tc>
        <w:tc>
          <w:tcPr>
            <w:tcW w:w="1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43,907 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3"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06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406,167 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1,859,741 </w:t>
            </w:r>
          </w:p>
        </w:tc>
        <w:tc>
          <w:tcPr>
            <w:tcW w:w="11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1,113,735 </w:t>
            </w:r>
          </w:p>
        </w:tc>
        <w:tc>
          <w:tcPr>
            <w:tcW w:w="11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(699,749)</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2,679,894 </w:t>
            </w:r>
          </w:p>
        </w:tc>
        <w:tc>
          <w:tcPr>
            <w:tcW w:w="1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160"/>
        <w:jc w:val="both"/>
        <w:rPr>
          <w:rFonts w:ascii="Times New Roman;sans-serif" w:hAnsi="Times New Roman;sans-serif"/>
          <w:b w:val="false"/>
          <w:color w:val="000000"/>
          <w:sz w:val="20"/>
        </w:rPr>
      </w:pPr>
      <w:r>
        <w:rPr>
          <w:rFonts w:ascii="Times New Roman;sans-serif" w:hAnsi="Times New Roman;sans-serif"/>
          <w:b w:val="false"/>
          <w:color w:val="000000"/>
          <w:sz w:val="20"/>
        </w:rPr>
        <w:t>A reconciliation of the reportable segments' gross profit to the Net loss included in the Consolidated Statements of Operations and Comprehensive Loss is as follows:</w:t>
      </w:r>
    </w:p>
    <w:tbl>
      <w:tblPr>
        <w:tblW w:w="6784" w:type="dxa"/>
        <w:jc w:val="left"/>
        <w:tblInd w:w="0" w:type="dxa"/>
        <w:tblCellMar>
          <w:top w:w="28" w:type="dxa"/>
          <w:left w:w="28" w:type="dxa"/>
          <w:bottom w:w="28" w:type="dxa"/>
          <w:right w:w="28" w:type="dxa"/>
        </w:tblCellMar>
      </w:tblPr>
      <w:tblGrid>
        <w:gridCol w:w="1117"/>
        <w:gridCol w:w="983"/>
        <w:gridCol w:w="990"/>
        <w:gridCol w:w="109"/>
        <w:gridCol w:w="109"/>
        <w:gridCol w:w="109"/>
        <w:gridCol w:w="109"/>
        <w:gridCol w:w="109"/>
        <w:gridCol w:w="109"/>
        <w:gridCol w:w="109"/>
        <w:gridCol w:w="109"/>
        <w:gridCol w:w="211"/>
        <w:gridCol w:w="796"/>
        <w:gridCol w:w="109"/>
        <w:gridCol w:w="109"/>
        <w:gridCol w:w="109"/>
        <w:gridCol w:w="109"/>
        <w:gridCol w:w="211"/>
        <w:gridCol w:w="796"/>
        <w:gridCol w:w="109"/>
        <w:gridCol w:w="109"/>
        <w:gridCol w:w="154"/>
      </w:tblGrid>
      <w:tr>
        <w:trPr/>
        <w:tc>
          <w:tcPr>
            <w:tcW w:w="1117" w:type="dxa"/>
            <w:tcBorders/>
            <w:shd w:fill="auto" w:val="clear"/>
            <w:vAlign w:val="center"/>
          </w:tcPr>
          <w:p>
            <w:pPr>
              <w:pStyle w:val="TableContents"/>
              <w:spacing w:before="0" w:after="283"/>
              <w:rPr>
                <w:sz w:val="4"/>
                <w:szCs w:val="4"/>
              </w:rPr>
            </w:pPr>
            <w:r>
              <w:rPr>
                <w:sz w:val="4"/>
                <w:szCs w:val="4"/>
              </w:rPr>
            </w:r>
          </w:p>
        </w:tc>
        <w:tc>
          <w:tcPr>
            <w:tcW w:w="983"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1116"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9" w:type="dxa"/>
            <w:gridSpan w:val="9"/>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17. Dividend Restrictions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March 31, 2023 and December 31, 2022, neither of the regulated insurance subsidiaries had been authorized nor paid any dividends.</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497205"/>
                <wp:effectExtent l="0" t="0" r="0" b="0"/>
                <wp:wrapNone/>
                <wp:docPr id="30" name="Frame3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18. Subsequent Events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Certain Business Transformation Initiatives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17, 2023, Clover announced it would implement certain business transformation initiatives, including an agreement to move its core plan operations to UST HealthProof’s (“UST HealthProof’) integrated technology platform and additional corporate restructuring actions. The agreement with UST HealthProof includes the transition of certain of the Company’s plan operation functions in support of its Medicare Advantage members pursuant to a master services agreement (the “Master Services Agreement”).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16, 2023, the Company entered into the Master Services Agreement, effective as of April 14, 2023, pursuant to which UST HealthProof will perform certain of the Company’s plan operation functions in support of its Medicare Advantage members, including claims, enrollment, contact center, medical management, payment integrity, revenue integrity, print, fulfillment, and related configuration and certain IT functions (the “Services”). The initial term of the services UST HealthProof will provide under the Master Services Agreement continues through December 31, 2028, and is then renewable at the option of the Company for two successive one-year terms unless earlier terminated by either party in accordance with the terms of the Master Services Agreement. The Company will pay UST HealthProof for the Services primarily through a fixed monthly charge per member. The Company may also engage UST HealthProof on a time and materials basis to perform discretionary enhancements and other ancillary project work. The Master Services Agreement is non-exclusive and the Company is entitled to remove any of the Services from UST HealthProof, subject to payment of certain minimum charges.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its arrangement with UST HealthProof, the Company also announced a recently conducted reduction in force to better align its SG&amp;A cost structure with its revenue base. This restructuring resulted in the elimination of approximately 10% of the Company’s workforce.</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Notice of Potential Nasdaq Delisting</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Clover received a written notice (the “Notice”) from The Nasdaq Stock Market LLC (“Nasdaq”) notifying the Company that, for the last 30 consecutive business days, the bid price for the Company’s Class A common stock (the “Common Stock”) had closed below the $1.00 per share minimum bid price requirement for continued inclusion on The Nasdaq Global Select Market pursuant to Nasdaq Listing Rule 5450(a)(1) (the “Minimum Bid Price Requirement”). The Notice has no immediate effect on the listing of the Common Stock, which continues to trade on The Nasdaq Global Select Market under the symbol “CLOV”.</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accordance with Nasdaq Listing Rule 5810(c)(3)(A), the Company has a period of 180 calendar days, or until October 17, 2023, to regain compliance with the Minimum Bid Price Requirement. To regain compliance, the closing bid price of the Company’s Common Stock must be at least $1.00 per share for a minimum of 10 consecutive business days as required under Nasdaq Listing Rule 5810(c)(3)(A) (unless the Nasdaq staff exercises its discretion to extend this 10-day period pursuant to Nasdaq Listing Rule 5810(c)(3)(H)) during the 180-day period prior to October 17, 2023.</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does not regain compliance by October 17, 2023, the Company may be eligible for an additional 180-calendar day compliance period if it elects (and meets the listing standards) to transfer to The Nasdaq Capital Market to take advantage of the additional compliance period offered on that market. To qualify, the Company would be required, among other things, to meet the continued listing requirement for market value of publicly held shares as well as all other standards for initial listing on The Nasdaq Capital Market, with the exception of the bid price requirement, and would need to provide written notice of its intention to cure the bid price deficiency during the second compliance period. If the Company fails to regain compliance during the compliance period (including a second compliance period provided by a transfer to The Nasdaq Capital Market, if applicable), then Nasdaq will notify the Company of its determination to delist its Common Stock, at which point the Company may appeal Nasdaq’s delisting determination to a Nasdaq hearing panel.</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Agreement to Settle Securities Class Action Litigation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2023, the Company announced that, on April 21, 2023, it entered into a memorandum of understanding providing for the settlement of the securities class action captioned Bond v. Clover Health Investments, Corp. et al., Case No. 3:21-CV-00096 (M.D. Tenn.) (the “securities class action”), which was filed in February 2021. The proposed settlement contains no admission of liability or wrongdoing by any of the defendants, including the Company, and is subject to definitive documentation and final court approval.</w:t>
      </w: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497205"/>
                <wp:effectExtent l="0" t="0" r="0" b="0"/>
                <wp:wrapNone/>
                <wp:docPr id="31" name="Frame3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Subject to negotiation of definitive documentation and final court approval, the class will receive $22 million dollars (less an award of fees and expenses to the plaintiffs’ counsel, as determined by the court), the defendants (including the Company) will receive customary releases, and the litigation will be concluded. The Company will use insurance proceeds totaling $19.5 million that have been advanced or have been committed to be advanced by the Company’s insurers to fund the settlement. The Company expects to pay $2.5 million of out-of-pocket costs to fund the settlement. As of March 31, 2023 and December 31, 2022 the Company has recorded reserves of $2,500,000 and $500,000, respectively.</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previously filed a lawsuit in Delaware state court against certain of its insurers for full payment of its liabilities related to this securities class action, as well as certain liabilities relating to other matters. The Company intends to continue to pursue that litigation against the insurance carrier defendants to seek to recover additional funds, and it intends to oppose any efforts by the carrier defendants to recoup any insurance proceeds that they have advanced or committed to advance to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497205"/>
                <wp:effectExtent l="0" t="0" r="0" b="0"/>
                <wp:wrapNone/>
                <wp:docPr id="32" name="Frame3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that management believes is relevant to an assessment and understanding of our consolidated results of operations and financial condition. The discussion should be read in conjunction with the unaudited condensed consolidated financial statements and notes thereto for the three months ended March 31, 2023, contained in this Quarterly Report on Form 10-Q (the "Form 10-Q") and the consolidated financial statements and notes thereto for the year ended December 31, 2022, contained in the Company's Annual Report on Form 10-K for the year ended December 31, 2022, filed with the Securities and Exchange Commission (the "SEC") on March 1, 2023 (the "2022 Form 10-K"). This discussion contains forward-looking statements and involves numerous risks and uncertainties, including, but not limited to, those described in the "Risk Factors" section of the 2022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Clover Health, our vision is to empower Medicare physicians to identify and manage chronic diseases early. Our strategy is to improve the care of our Medicare beneficiaries,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 This software is used in both our Insurance segment and our Non-Insurance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operate Preferred Provider Organization ("PPO") and Health Maintenance Organization ("HMO") Medicare Advantage ("MA") plans for Medicare-eligible consumers. We aim to provide high-quality, affordable healthcare for all Medicare beneficiaries. We offer most members in our MA plans (the "members") among the lowest average out-of-pocket costs for primary care provider and specialist co-pays, drug deductibles and drug costs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March 31, 2023, we operated our MA plans in eight states and 220 counties, with 83,794 members.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 2021, our subsidiary, Clover Health Partners, LLC ("Health Partners"), began participating as a Direct Contracting Entity ("DCE") in the Global and Professional Direct Contracting Model ("DC Model") of the Centers for Medicare and Medicaid Services ("CMS"), which transitioned to the Accountable Care Organization Realizing Equity, Access, and Community Health Model ("ACO REACH Model" or "ACO REACH") in January 2023. Our DCE assumes full risk (i.e., 100.0% shared savings and shared losses) for the total cost of care of aligned Original Medicare beneficiaries (the "Non-Insurance Beneficiaries" and, collectively with the members, "Lives under Clover Management" or the "beneficiaries"). Through our Direct Contracting operations, we focus on leveraging Clover Assistant to enhance healthcare delivery, reduce expenditures, and improve care for our Non-Insurance Beneficiaries. At the beginning of January 2023, we had approximately 605 contracted participant providers who manage primary care for our Non-Insurance Beneficiaries in 13 states. Additionally, at the beginning of January 2023, we had approximately 1,540 preferred providers and preferred facilities in our ACO REACH network. At March 31, 2023, we had approximately 615 contracted participant providers who manage primary care for our Non-Insurance Beneficiaries in 13 states. Additionally, at March 31, 2023, we had approximately 1,400 preferred providers and preferred facilities in our ACO REACH network. In connection with the 2023 performance year, we strategically reduced the number of ACO REACH participating physicians, which resulted in a shift in our beneficiary alignment. Our participation in the DC Model has enabled us to move beyond the MA market and target the Medicare fee-for-service ("FFS") market, which is the largest segment of Medicare. We believe that expanding into the FFS market is not only a strategic milestone for Clover but also demonstrates the scalability of Clover Assistant. Furthermore, we believe that offering providers multiple options within CMS' "Pathways to Success" will enable us to be accessible to more practices. Beyond ACO REACH, exploring other additional plans such as MSSP-A ("Medicare Shared Savings Program BASIC level A") and Medicare Shared Savings Plan ENHANCED ("MSSP Enhanced"), would diversify our portfolio, allow for potential growth in lives under management, and provide an opportunity for better balancing the overall risk profile of the business.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we were partnering with providers to care for 137,410 Lives under Clover Management, which included 83,794 Insurance members and 53,616 aligned Non-Insurance beneficiaries.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497205"/>
                <wp:effectExtent l="0" t="0" r="0" b="0"/>
                <wp:wrapNone/>
                <wp:docPr id="33" name="Frame33"/>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Recent Developments </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Geographic Expansion</w:t>
      </w:r>
    </w:p>
    <w:p>
      <w:pPr>
        <w:pStyle w:val="TextBody"/>
        <w:spacing w:lineRule="auto" w:line="288"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July 14, 2022, we announced plans to make our MA plans available in 13 new counties beginning in 2023. This expansion makes our MA plans available in a total of 220 counties across eight states.</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Impact of COVID-19</w:t>
      </w:r>
    </w:p>
    <w:p>
      <w:pPr>
        <w:pStyle w:val="TextBody"/>
        <w:spacing w:lineRule="auto" w:line="288"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Coronavirus Disease 2019 ("COVID-19") pandemic and its variants continues to evolve, and the impact on our business, results of operations, financial condition, and cash flows stabilized during the year ended December 31, 2022. We are continuing to monitor the ongoing impact of COVID-19 on our business and operations and are making adjustments accordingly. A large portion of our membership is elderly and generally in the high-risk category for COVID-19, and we have worked closely with our network of providers to ensure that members are receiving necessary care. During the years ended December 31, 2022 and 2021, we incurred elevated costs as compared to prior to the outbreak of the pandemic in 2020 to diagnose and care for those members who had contracted the virus. Indirect costs attributable to the COVID-19 pandemic were elevated as well, as deferral of services and increased costs related to conditions that were exacerbated by a lack of diagnosis and treatment in the earlier periods of the pandemic contributed to increased utilization.</w:t>
      </w:r>
    </w:p>
    <w:p>
      <w:pPr>
        <w:pStyle w:val="TextBody"/>
        <w:spacing w:lineRule="auto" w:line="288" w:before="240" w:after="120"/>
        <w:jc w:val="both"/>
        <w:rPr>
          <w:rFonts w:ascii="Times New Roman;sans-serif" w:hAnsi="Times New Roman;sans-serif"/>
          <w:b/>
          <w:i/>
          <w:color w:val="000000"/>
          <w:sz w:val="20"/>
        </w:rPr>
      </w:pPr>
      <w:r>
        <w:rPr>
          <w:rFonts w:ascii="Times New Roman;sans-serif" w:hAnsi="Times New Roman;sans-serif"/>
          <w:b/>
          <w:i/>
          <w:color w:val="000000"/>
          <w:sz w:val="20"/>
        </w:rPr>
        <w:t>Reduction in Force</w:t>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announced a recently conducted reduction in force to better align its SG&amp;A cost structure with its revenue base. This restructuring resulted in the elimination of approximately 10% of the Company’s workforce.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Key Performance Measures of Our Operating Segments</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Operating Segments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operations based on two reportable operating segments: Insurance and Non-Insurance. Through our Insurance segment, we provide PPO and HMO plans to Medicare Advantage members in several states. Our Non-Insurance segment consists of our operations in connection with our participation in the DC Model, which transitioned to the ACO REACH Model beginning in 2023. All other clinical services and all corporate overhead not included in the reportable segments are included within Corporate/Other.</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These segment groupings are consistent with the information used by our Chief Executive Officer (identified as our chief operating decision maker) to assess performance and allocate the Company's resources.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Insurance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p>
      <w:pPr>
        <w:pStyle w:val="TextBody"/>
        <w:spacing w:before="0" w:after="0"/>
        <w:jc w:val="both"/>
        <w:rPr/>
      </w:pPr>
      <w:r>
        <w:rPr/>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497205"/>
                <wp:effectExtent l="0" t="0" r="0" b="0"/>
                <wp:wrapNone/>
                <wp:docPr id="34" name="Frame34"/>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before="0" w:after="0"/>
        <w:rPr/>
      </w:pPr>
      <w:r>
        <w:rPr/>
      </w:r>
    </w:p>
    <w:p>
      <w:pPr>
        <w:pStyle w:val="TextBody"/>
        <w:spacing w:before="0" w:after="0"/>
        <w:jc w:val="both"/>
        <w:rPr/>
      </w:pPr>
      <w:r>
        <w:rPr/>
      </w:r>
    </w:p>
    <w:tbl>
      <w:tblPr>
        <w:tblW w:w="10205" w:type="dxa"/>
        <w:jc w:val="left"/>
        <w:tblInd w:w="0" w:type="dxa"/>
        <w:tblCellMar>
          <w:top w:w="28" w:type="dxa"/>
          <w:left w:w="28" w:type="dxa"/>
          <w:bottom w:w="28" w:type="dxa"/>
          <w:right w:w="28" w:type="dxa"/>
        </w:tblCellMar>
      </w:tblPr>
      <w:tblGrid>
        <w:gridCol w:w="1426"/>
        <w:gridCol w:w="1247"/>
        <w:gridCol w:w="1254"/>
        <w:gridCol w:w="109"/>
        <w:gridCol w:w="109"/>
        <w:gridCol w:w="109"/>
        <w:gridCol w:w="211"/>
        <w:gridCol w:w="826"/>
        <w:gridCol w:w="271"/>
        <w:gridCol w:w="109"/>
        <w:gridCol w:w="109"/>
        <w:gridCol w:w="109"/>
        <w:gridCol w:w="211"/>
        <w:gridCol w:w="616"/>
        <w:gridCol w:w="109"/>
        <w:gridCol w:w="109"/>
        <w:gridCol w:w="109"/>
        <w:gridCol w:w="109"/>
        <w:gridCol w:w="211"/>
        <w:gridCol w:w="826"/>
        <w:gridCol w:w="271"/>
        <w:gridCol w:w="109"/>
        <w:gridCol w:w="109"/>
        <w:gridCol w:w="109"/>
        <w:gridCol w:w="211"/>
        <w:gridCol w:w="616"/>
        <w:gridCol w:w="109"/>
        <w:gridCol w:w="109"/>
        <w:gridCol w:w="109"/>
        <w:gridCol w:w="109"/>
        <w:gridCol w:w="155"/>
      </w:tblGrid>
      <w:tr>
        <w:trPr/>
        <w:tc>
          <w:tcPr>
            <w:tcW w:w="1426" w:type="dxa"/>
            <w:tcBorders/>
            <w:shd w:fill="auto" w:val="clear"/>
            <w:vAlign w:val="center"/>
          </w:tcPr>
          <w:p>
            <w:pPr>
              <w:pStyle w:val="TableContents"/>
              <w:spacing w:before="0" w:after="283"/>
              <w:rPr>
                <w:sz w:val="4"/>
                <w:szCs w:val="4"/>
              </w:rPr>
            </w:pPr>
            <w:r>
              <w:rPr>
                <w:sz w:val="4"/>
                <w:szCs w:val="4"/>
              </w:rPr>
            </w:r>
          </w:p>
        </w:tc>
        <w:tc>
          <w:tcPr>
            <w:tcW w:w="1247"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4" w:type="dxa"/>
            <w:gridSpan w:val="2"/>
            <w:tcBorders/>
            <w:shd w:fill="auto" w:val="clear"/>
          </w:tcPr>
          <w:p>
            <w:pPr>
              <w:pStyle w:val="TableContents"/>
              <w:spacing w:before="0" w:after="283"/>
              <w:rPr>
                <w:sz w:val="4"/>
                <w:szCs w:val="4"/>
              </w:rPr>
            </w:pPr>
            <w:r>
              <w:rPr>
                <w:sz w:val="4"/>
                <w:szCs w:val="4"/>
              </w:rPr>
            </w:r>
          </w:p>
        </w:tc>
      </w:tr>
      <w:tr>
        <w:trPr/>
        <w:tc>
          <w:tcPr>
            <w:tcW w:w="39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 xml:space="preserve">PMPM </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0"/>
              <w:jc w:val="center"/>
              <w:rPr/>
            </w:pPr>
            <w:r>
              <w:rPr>
                <w:rFonts w:ascii="Times New Roman;sans-serif" w:hAnsi="Times New Roman;sans-serif"/>
                <w:b/>
                <w:color w:val="000000"/>
                <w:sz w:val="20"/>
              </w:rPr>
              <w:t xml:space="preserve">PMPM </w:t>
            </w:r>
            <w:r>
              <w:rPr>
                <w:rFonts w:ascii="Times New Roman;sans-serif" w:hAnsi="Times New Roman;sans-serif"/>
                <w:b/>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69"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(Premium and expense amounts in thousands, except PMPM amounts)</w:t>
            </w:r>
          </w:p>
        </w:tc>
        <w:tc>
          <w:tcPr>
            <w:tcW w:w="482" w:type="dxa"/>
            <w:gridSpan w:val="4"/>
            <w:tcBorders/>
            <w:shd w:fill="auto" w:val="clear"/>
          </w:tcPr>
          <w:p>
            <w:pPr>
              <w:pStyle w:val="TableContents"/>
              <w:spacing w:before="0" w:after="283"/>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members at period end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83,794 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gross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317,208 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278,288 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317,086 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medical claim expense incurred, gross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274,557 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268,214 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Insurance net medical claims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274,504 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Medical care ratio, gross</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39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Medical care ratio,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Calculated per member per month ("PMPM") figures are based on the applicable amount divided by member months in the given period. Member months represents the number of months members are enrolled in a Clover Health plan in the period.</w:t>
      </w:r>
    </w:p>
    <w:p>
      <w:pPr>
        <w:pStyle w:val="TextBody"/>
        <w:spacing w:lineRule="auto" w:line="288" w:before="120" w:after="283"/>
        <w:ind w:left="0" w:right="0" w:hanging="180"/>
        <w:jc w:val="both"/>
        <w:rPr/>
      </w:pPr>
      <w:r>
        <w:rPr>
          <w:rFonts w:ascii="Times New Roman;sans-serif" w:hAnsi="Times New Roman;sans-serif"/>
          <w:b w:val="false"/>
          <w:color w:val="000000"/>
          <w:sz w:val="10"/>
        </w:rPr>
        <w:t>(2)    </w:t>
      </w:r>
      <w:r>
        <w:rPr>
          <w:rFonts w:ascii="Times New Roman;sans-serif" w:hAnsi="Times New Roman;sans-serif"/>
          <w:b w:val="false"/>
          <w:color w:val="000000"/>
          <w:sz w:val="16"/>
        </w:rPr>
        <w:t>Defined as Insurance gross medical claims incurred divided by premiums earned, gross.</w:t>
      </w:r>
    </w:p>
    <w:p>
      <w:pPr>
        <w:pStyle w:val="TextBody"/>
        <w:spacing w:before="60" w:after="283"/>
        <w:ind w:left="0" w:right="0" w:hanging="180"/>
        <w:jc w:val="both"/>
        <w:rPr/>
      </w:pPr>
      <w:r>
        <w:rPr/>
      </w:r>
    </w:p>
    <w:p>
      <w:pPr>
        <w:pStyle w:val="TextBody"/>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Membership and associated premiums earned and medical claim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important metrics to assess our financial performance; member growth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and documentation of members' chronic conditions, helping to lower PMPM medical claim expenses.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Premiums earned, gross.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generally accepted accounting principles in the United States ("GAAP").</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Premiums earned, net.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gross is the amount received, or to be received, for insurance policies written by us during a specific period of time without reduction for premiums ceded to reinsurance. 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497205"/>
                <wp:effectExtent l="0" t="0" r="0" b="0"/>
                <wp:wrapNone/>
                <wp:docPr id="35" name="Frame35"/>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gross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Insurance net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Medical care ratio, gross and net.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Non-Insurance segment</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Non-Insurance segment consists of operations in connection with our participation in the Direct Contracting program, which we began in April 2021 and which transitioned to the ACO REACH Model beginning in 2023. As part of our Non-Insurance operations, we empower providers with Clover Assistant and offer a variety of programs aimed at reducing expenditures and preserving or enhancing the quality of care for our Non-Insurance Beneficiaries.</w:t>
      </w:r>
    </w:p>
    <w:p>
      <w:pPr>
        <w:pStyle w:val="TextBody"/>
        <w:spacing w:before="0" w:after="0"/>
        <w:jc w:val="both"/>
        <w:rPr/>
      </w:pPr>
      <w:r>
        <w:rPr/>
      </w:r>
    </w:p>
    <w:tbl>
      <w:tblPr>
        <w:tblW w:w="9425" w:type="dxa"/>
        <w:jc w:val="left"/>
        <w:tblInd w:w="0" w:type="dxa"/>
        <w:tblCellMar>
          <w:top w:w="28" w:type="dxa"/>
          <w:left w:w="28" w:type="dxa"/>
          <w:bottom w:w="28" w:type="dxa"/>
          <w:right w:w="28" w:type="dxa"/>
        </w:tblCellMar>
      </w:tblPr>
      <w:tblGrid>
        <w:gridCol w:w="1296"/>
        <w:gridCol w:w="1139"/>
        <w:gridCol w:w="1149"/>
        <w:gridCol w:w="109"/>
        <w:gridCol w:w="109"/>
        <w:gridCol w:w="109"/>
        <w:gridCol w:w="211"/>
        <w:gridCol w:w="826"/>
        <w:gridCol w:w="271"/>
        <w:gridCol w:w="109"/>
        <w:gridCol w:w="109"/>
        <w:gridCol w:w="109"/>
        <w:gridCol w:w="211"/>
        <w:gridCol w:w="616"/>
        <w:gridCol w:w="109"/>
        <w:gridCol w:w="109"/>
        <w:gridCol w:w="109"/>
        <w:gridCol w:w="109"/>
        <w:gridCol w:w="211"/>
        <w:gridCol w:w="826"/>
        <w:gridCol w:w="271"/>
        <w:gridCol w:w="109"/>
        <w:gridCol w:w="109"/>
        <w:gridCol w:w="109"/>
        <w:gridCol w:w="211"/>
        <w:gridCol w:w="616"/>
        <w:gridCol w:w="154"/>
      </w:tblGrid>
      <w:tr>
        <w:trPr/>
        <w:tc>
          <w:tcPr>
            <w:tcW w:w="1296" w:type="dxa"/>
            <w:tcBorders/>
            <w:shd w:fill="auto" w:val="clear"/>
            <w:vAlign w:val="center"/>
          </w:tcPr>
          <w:p>
            <w:pPr>
              <w:pStyle w:val="TableContents"/>
              <w:spacing w:before="0" w:after="283"/>
              <w:rPr>
                <w:sz w:val="4"/>
                <w:szCs w:val="4"/>
              </w:rPr>
            </w:pPr>
            <w:r>
              <w:rPr>
                <w:sz w:val="4"/>
                <w:szCs w:val="4"/>
              </w:rPr>
            </w:r>
          </w:p>
        </w:tc>
        <w:tc>
          <w:tcPr>
            <w:tcW w:w="1139" w:type="dxa"/>
            <w:tcBorders/>
            <w:shd w:fill="auto" w:val="clear"/>
            <w:vAlign w:val="center"/>
          </w:tcPr>
          <w:p>
            <w:pPr>
              <w:pStyle w:val="TableContents"/>
              <w:spacing w:before="0" w:after="283"/>
              <w:rPr>
                <w:sz w:val="4"/>
                <w:szCs w:val="4"/>
              </w:rPr>
            </w:pPr>
            <w:r>
              <w:rPr>
                <w:sz w:val="4"/>
                <w:szCs w:val="4"/>
              </w:rPr>
            </w:r>
          </w:p>
        </w:tc>
        <w:tc>
          <w:tcPr>
            <w:tcW w:w="114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5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PBPM </w:t>
            </w:r>
            <w:r>
              <w:rPr>
                <w:rFonts w:ascii="Times New Roman;sans-serif" w:hAnsi="Times New Roman;sans-serif"/>
                <w:b/>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 xml:space="preserve">PBPM </w:t>
            </w:r>
            <w:r>
              <w:rPr>
                <w:rFonts w:ascii="Times New Roman;sans-serif" w:hAnsi="Times New Roman;sans-serif"/>
                <w:b/>
                <w:color w:val="000000"/>
                <w:sz w:val="13"/>
              </w:rPr>
              <w:t>(1)</w:t>
            </w:r>
          </w:p>
        </w:tc>
      </w:tr>
      <w:tr>
        <w:trPr/>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4" w:type="dxa"/>
            <w:gridSpan w:val="2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(Revenue and claims amounts in thousands, except PBPM amounts)</w:t>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Beneficiaries at period 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172,416 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205,783 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594,898 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net medical claims incurred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197,701 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593,999 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Non-Insurance MCR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spacing w:lineRule="auto" w:line="288" w:before="60" w:after="283"/>
        <w:ind w:left="0" w:right="0" w:hanging="180"/>
        <w:jc w:val="both"/>
        <w:rPr/>
      </w:pPr>
      <w:r>
        <w:rPr>
          <w:rFonts w:ascii="Times New Roman;sans-serif" w:hAnsi="Times New Roman;sans-serif"/>
          <w:b w:val="false"/>
          <w:color w:val="000000"/>
          <w:sz w:val="10"/>
        </w:rPr>
        <w:t xml:space="preserve">(1) </w:t>
      </w:r>
      <w:r>
        <w:rPr>
          <w:rFonts w:ascii="Times New Roman;sans-serif" w:hAnsi="Times New Roman;sans-serif"/>
          <w:b w:val="false"/>
          <w:color w:val="000000"/>
          <w:sz w:val="16"/>
        </w:rPr>
        <w:t>Calculated per beneficiary per month ("PBPM") figures are based on the applicable amount divided by beneficiary months in the given period. Beneficiary months represents the number of months beneficiaries are aligned to our DCE model and ACO REACH model in the period.</w:t>
      </w:r>
    </w:p>
    <w:p>
      <w:pPr>
        <w:pStyle w:val="TextBody"/>
        <w:spacing w:lineRule="auto" w:line="288" w:before="60" w:after="283"/>
        <w:ind w:left="0" w:right="0" w:hanging="180"/>
        <w:jc w:val="both"/>
        <w:rPr/>
      </w:pPr>
      <w:r>
        <w:rPr>
          <w:rFonts w:ascii="Times New Roman;sans-serif" w:hAnsi="Times New Roman;sans-serif"/>
          <w:b w:val="false"/>
          <w:color w:val="000000"/>
          <w:sz w:val="10"/>
        </w:rPr>
        <w:t xml:space="preserve">(2) </w:t>
      </w:r>
      <w:r>
        <w:rPr>
          <w:rFonts w:ascii="Times New Roman;sans-serif" w:hAnsi="Times New Roman;sans-serif"/>
          <w:b w:val="false"/>
          <w:color w:val="000000"/>
          <w:sz w:val="16"/>
        </w:rPr>
        <w:t>Defined as Non-Insurance net medical claims incurred divided by Non-Insurance revenues.</w:t>
      </w:r>
    </w:p>
    <w:p>
      <w:pPr>
        <w:pStyle w:val="TextBody"/>
        <w:spacing w:lineRule="auto" w:line="288" w:before="3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Beneficiaries.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Non-Insurance Beneficiary is defined as an eligible Original Medicare covered life that has been aligned to our DCE and ACO REACH, Health Partners, via attribution to a DCE-participant and ACO REACH-participant provider through alignment based on claims data or by beneficiary election through voluntary alignment. A beneficiary alignment is effective at the first of the month, for the full calendar month, regardless of whether eligibility is lost during the course of the month.</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Non-Insurance revenue represents CMS' total expense incurred for medical services provided on behalf of Non-Insurance Beneficiaries during months in which they were alignment eligible during the performance year. Non-Insurance revenue is the sum of the capitation payments made to us for services within the scope of our capitation arrangement and FFS payments made to providers directly from CMS. Non-Insurance revenue is also known in the DC model and ACO REACH model as performance year expenditures and is the primary component used to calculate shared savings or shared loss versus the performance year benchmark. Non-Insurance revenue includes a direct reduction or increase of shared savings or loss, as applicable. Premiums and recoupments incurred in direct relation to the DC model and ACO REACH model are recognized as a reduction or increase in Non-Insurance revenue, as applicable. We believe Non-Insurance revenue provides useful insight into the gross economic benefit generated by our business operations and allows us to evaluate our performance without regard to changes in our underlying reinsurance structure.</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497205"/>
                <wp:effectExtent l="0" t="0" r="0" b="0"/>
                <wp:wrapNone/>
                <wp:docPr id="36" name="Frame36"/>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net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Non-Insurance net medical claims incurred consist of the total incurred expense that CMS and we will remit for medical services provided on behalf of Non-Insurance Beneficiaries during the months in which they are alignment eligible and aligned to the DCE and ACO REACH. Additionally, Non-Insurance net medical claims incurred are inclusive of fees paid to providers for Clover Assistant usage, care coordination, and any shared savings or shared loss agreements with providers.</w:t>
      </w:r>
    </w:p>
    <w:p>
      <w:pPr>
        <w:pStyle w:val="TextBody"/>
        <w:spacing w:lineRule="auto" w:line="288" w:before="24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Non-Insurance MCR.</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our MCR by dividing Non-Insurance net medical claims incurred by Non-Insurance revenue in a given period. We believe our MCR is an indicator of our gross profitability and the ability to capture and analyze data over time to generate actionable insights for returning beneficiaries to improve care and reduce medical expenses.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before="0" w:after="0"/>
        <w:jc w:val="both"/>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2023 and 2022</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consolidated results of operations for the three months ended March 31, 2023 and 2022. The period-to-period comparison of results is not necessarily indicative of results for future periods.</w:t>
      </w:r>
    </w:p>
    <w:tbl>
      <w:tblPr>
        <w:tblW w:w="10205" w:type="dxa"/>
        <w:jc w:val="left"/>
        <w:tblInd w:w="0" w:type="dxa"/>
        <w:tblCellMar>
          <w:top w:w="28" w:type="dxa"/>
          <w:left w:w="28" w:type="dxa"/>
          <w:bottom w:w="28" w:type="dxa"/>
          <w:right w:w="28" w:type="dxa"/>
        </w:tblCellMar>
      </w:tblPr>
      <w:tblGrid>
        <w:gridCol w:w="1730"/>
        <w:gridCol w:w="1282"/>
        <w:gridCol w:w="1291"/>
        <w:gridCol w:w="211"/>
        <w:gridCol w:w="826"/>
        <w:gridCol w:w="109"/>
        <w:gridCol w:w="109"/>
        <w:gridCol w:w="109"/>
        <w:gridCol w:w="109"/>
        <w:gridCol w:w="211"/>
        <w:gridCol w:w="826"/>
        <w:gridCol w:w="109"/>
        <w:gridCol w:w="109"/>
        <w:gridCol w:w="109"/>
        <w:gridCol w:w="109"/>
        <w:gridCol w:w="109"/>
        <w:gridCol w:w="109"/>
        <w:gridCol w:w="211"/>
        <w:gridCol w:w="721"/>
        <w:gridCol w:w="109"/>
        <w:gridCol w:w="109"/>
        <w:gridCol w:w="109"/>
        <w:gridCol w:w="109"/>
        <w:gridCol w:w="306"/>
        <w:gridCol w:w="310"/>
        <w:gridCol w:w="271"/>
        <w:gridCol w:w="109"/>
        <w:gridCol w:w="109"/>
        <w:gridCol w:w="109"/>
        <w:gridCol w:w="156"/>
      </w:tblGrid>
      <w:tr>
        <w:trPr/>
        <w:tc>
          <w:tcPr>
            <w:tcW w:w="1730" w:type="dxa"/>
            <w:tcBorders/>
            <w:shd w:fill="auto" w:val="clear"/>
            <w:vAlign w:val="center"/>
          </w:tcPr>
          <w:p>
            <w:pPr>
              <w:pStyle w:val="TableContents"/>
              <w:spacing w:before="0" w:after="283"/>
              <w:rPr>
                <w:sz w:val="4"/>
                <w:szCs w:val="4"/>
              </w:rPr>
            </w:pPr>
            <w:r>
              <w:rPr>
                <w:sz w:val="4"/>
                <w:szCs w:val="4"/>
              </w:rPr>
            </w:r>
          </w:p>
        </w:tc>
        <w:tc>
          <w:tcPr>
            <w:tcW w:w="1282" w:type="dxa"/>
            <w:tcBorders/>
            <w:shd w:fill="auto" w:val="clear"/>
            <w:vAlign w:val="center"/>
          </w:tcPr>
          <w:p>
            <w:pPr>
              <w:pStyle w:val="TableContents"/>
              <w:spacing w:before="0" w:after="283"/>
              <w:rPr>
                <w:sz w:val="4"/>
                <w:szCs w:val="4"/>
              </w:rPr>
            </w:pPr>
            <w:r>
              <w:rPr>
                <w:sz w:val="4"/>
                <w:szCs w:val="4"/>
              </w:rPr>
            </w:r>
          </w:p>
        </w:tc>
        <w:tc>
          <w:tcPr>
            <w:tcW w:w="129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March 31,</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7" w:type="dxa"/>
            <w:gridSpan w:val="7"/>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Change between</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 and 2022</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483" w:type="dxa"/>
            <w:gridSpan w:val="4"/>
            <w:tcBorders/>
            <w:shd w:fill="auto" w:val="clear"/>
          </w:tcPr>
          <w:p>
            <w:pPr>
              <w:pStyle w:val="TableContents"/>
              <w:spacing w:before="0" w:after="283"/>
              <w:rPr>
                <w:sz w:val="4"/>
                <w:szCs w:val="4"/>
              </w:rPr>
            </w:pPr>
            <w:r>
              <w:rPr>
                <w:sz w:val="4"/>
                <w:szCs w:val="4"/>
              </w:rPr>
            </w:r>
          </w:p>
        </w:tc>
      </w:tr>
      <w:tr>
        <w:trPr/>
        <w:tc>
          <w:tcPr>
            <w:tcW w:w="4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bottom w:val="single" w:sz="2" w:space="0" w:color="FFFFFF"/>
            </w:tcBorders>
            <w:shd w:fill="auto" w:val="clear"/>
            <w:tcMar>
              <w:left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37" w:type="dxa"/>
            <w:gridSpan w:val="11"/>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op w:val="single" w:sz="2" w:space="0" w:color="FFFFFF"/>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Premiums earned, net (Net of ceded premiums of $122 and $119 for the three months ended March 31, 2023 and 2022, respectively)</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317,086 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278,169 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27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Non-Insurance revenue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594,898 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(389,115)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273.9 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(346,604)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medical claims incurred</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861,722 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(389,232)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Salaries and benefits</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Premium deficiency reserve benefit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25,666 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961,860 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FFFFFF"/>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investment</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430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(72,606)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(75,490)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bottom w:val="double" w:sz="4" w:space="0" w:color="FFFFFF"/>
            </w:tcBorders>
            <w:shd w:fill="CCEEFF" w:val="clear"/>
            <w:tcMar>
              <w:top w:w="0" w:type="dxa"/>
              <w:left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180"/>
        <w:jc w:val="both"/>
        <w:rPr>
          <w:rFonts w:ascii="Times New Roman;sans-serif" w:hAnsi="Times New Roman;sans-serif"/>
          <w:b w:val="false"/>
          <w:color w:val="000000"/>
          <w:sz w:val="18"/>
        </w:rPr>
      </w:pPr>
      <w:r>
        <w:rPr>
          <w:rFonts w:ascii="Times New Roman;sans-serif" w:hAnsi="Times New Roman;sans-serif"/>
          <w:b w:val="false"/>
          <w:color w:val="000000"/>
          <w:sz w:val="18"/>
        </w:rPr>
        <w:t>*    Not presented because the current or prior period amount is zero or the amount for the line item changed from a gain to a loss (or vice versa) and thus yields a result that is not meaningful.</w:t>
      </w:r>
    </w:p>
    <w:p>
      <w:pPr>
        <w:pStyle w:val="TextBody"/>
        <w:spacing w:lineRule="auto" w:line="288" w:before="300" w:after="283"/>
        <w:jc w:val="both"/>
        <w:rPr>
          <w:rFonts w:ascii="Times New Roman;sans-serif" w:hAnsi="Times New Roman;sans-serif"/>
          <w:b/>
          <w:i/>
          <w:color w:val="000000"/>
          <w:sz w:val="20"/>
        </w:rPr>
      </w:pPr>
      <w:r>
        <w:rPr>
          <w:rFonts w:ascii="Times New Roman;sans-serif" w:hAnsi="Times New Roman;sans-serif"/>
          <w:b/>
          <w:i/>
          <w:color w:val="000000"/>
          <w:sz w:val="20"/>
        </w:rPr>
        <w:t>Premiums earned, net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Premiums earned, net increased $38.9 million, or 14.0%, to $317.1 million for the three months ended March 31, 2023, compared to the three months ended March 31, 2022. The increase was primarily due to the increased CMS premiums as a result of the 3.0 to 3.5 star rating effective January 1, 2023 and an increase in our risk adjustment revenue driving favorability as a result of the Company focusing on member retention.</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497205"/>
                <wp:effectExtent l="0" t="0" r="0" b="0"/>
                <wp:wrapNone/>
                <wp:docPr id="37" name="Frame37"/>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before="0" w:after="0"/>
        <w:rPr/>
      </w:pPr>
      <w:r>
        <w:rPr/>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Non-Insurance revenue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Non-Insurance revenue decreased $389.1 million, or 65.4%, to $205.8 million for the three months ended March 31, 2023, compared to the three months ended March 31, 2022. The decrease was primarily driven by a decrease in the number of our aligned Non-Insurance Beneficiaries from 172,416 at March 31, 2022, to 53,616 at March 31, 2023 primarily driven by the strategic reduction in Non-insurance Beneficiaries which occurred during the 2023 performance year.</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$3.6 million, or 273.9%, to $4.9 million for the three months ended March 31, 2023, compared to the three months ended March 31, 2022. The increase was primarily attributable to an increase from investment income partially impacted by a more favorable interest rate environment as compared to the prior period.</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Net medical claims incurred</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Net medical claims incurred for both Insurance and Non-Insurance decreased $389.2 million, or 45.2%, to $472.5 million for the three months ended March 31, 2023, compared to the three months ended March 31, 2022. The decrease was primarily driven by a decrease in net medical claims related to to our strategic reduction in Non-Insurance Beneficiaries from $594.0 million for the three months ended March 31, 2022, to $197.7 million for the three months ended March 31, 2023. This, was driven by a decrease in the number of our aligned Non-Insurance Beneficiaries from 172,416 at March 31, 2022, to 53,616 at March 31, 2023.</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Salaries and benefits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Salaries and benefits increased $1.1 million, or 1.6%, to $70.2 million for the three months ended March 31, 2023, compared to the three months ended March 31, 2022. This impact was consistent for the three months ended March 31, 2023 as compared to the three months ended March 31,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$1.5 million, or 2.6%, to $59.2 million for the three months ended March 31, 2023, compared to the three months ended March 31, 2022. The increase was primarily driven by an increase in expenses related to our new LiveHealthy rewards program; this increase was partially offset by a decrease in professional fees and broker commissions expenses for the three months ended March 31, 2023, compared to the three months ended March 31, 2022.</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Premium deficiency reserve benefit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approximately $1.8 million premium deficiency reserve benefit was recorded for the three months ended March 31, 2023, which was primarily driven by amortization associated with the 2022 recorded reserve. In addition, we recorded an additional benefit of $9.1 million as a result of our change in accounting policy, which allows us to include anticipated net investment income in our premium deficiency reserve calculation, for more information please see Note 2 (Summary of Significant Accounting Policies). A $27.5 million premium deficiency reserve expense was recorded for the three months ended March 31, 2022, associated with amortization of the reserve that was deemed necessary as of the end of fiscal year 2021 for fiscal year 2022. </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Gain on investment</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February 2022, Character Biosciences completed a private capital transaction in which it raised $17.9 million from the issuance of 16,210,602 shares of its preferred stock. After evaluating our ownership interest in Character Biosciences, we began applying the equity method of accounting during the three months ended March 31, 2022, and recorded a gain on investment of $12.4 million, which is attributable to our proportionate share of the gain on equity of that entity during that period. Prior to the first quarter of 2022, this entity was consolidated on our financial statements, and therefore we did not recognize a loss or gain on investment. In accordance with ASC 323, for the year ended December 31, 2022, we recognized the proportionate share of Character Bioscience's net losses up to the investment carrying amount. At December 31, 2022, we discontinued applying the equity method to account for our common stock interest in Character Biosciences as our net losses exceeded the investment carrying amount. The equity method investment in Character Biosciences was reduced to zero and no further losses were recorded in our consolidated financial statements as we did not guarantee obligations of the investee company or commit additional funding.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497205"/>
                <wp:effectExtent l="0" t="0" r="0" b="0"/>
                <wp:wrapNone/>
                <wp:docPr id="38" name="Frame38"/>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we have financed our operations primarily from the proceeds we received through public and private sales of equity securities, funds received in connection with the business combination which occurred early in 2021,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Consolidated Entities</w:t>
      </w:r>
    </w:p>
    <w:p>
      <w:pPr>
        <w:pStyle w:val="TextBody"/>
        <w:spacing w:before="0" w:after="0"/>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total restricted and unrestricted cash, cash equivalents, and investments were $635.2 million. At December 31, 2022, we had cash, cash equivalents, restricted cash, and investments of $555.3 million. Additionally, at March 31, 2023, we had $292.4 million of available-for-sale and held-to-maturity investment securities. Our cash equivalents and investment securities consist primarily of money market funds, U.S. government debt securities, and corporate debt securities.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Unregulated Entities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total restricted and unrestricted cash, cash equivalents, and investments for the parent company, Clover Health Investments, Corp., and unregulated subsidiaries were $331.1 million. We operate as a holding company in a highly regulated industry. As such, we may receive dividends and administrative expense reimbursements from our subsidiaries, two of which are subject to regulatory restrictions. We continue to maintain significant levels of aggregate excess statutory capital and surplus in our state-regulated insurance subsidiaries. Cash, cash equivalents, and short-term investments at the parent company, Clover Health Investments, Corp., were $76.7 million and $101.4 million at March 31, 2023 and December 31, 2022, respectively. This decrease at the parent company primarily reflects operating expenses and capital contributions made to our regulated insurance subsidiaries. Additionally, the parent company held $122.7 million and $136.5 million of available-for-sale and held-to-maturity investment securities at March 31, 2023 and December 31, 2022. Our unregulated subsidiaries held $131.7 million and $93.7 million of cash, cash equivalents, restricted cash, and short-term investments at March 31, 2023 and December 31, 2022, respectively. Our unregulated subsidiaries held no available-for-sale and held-to-maturity securities at either March 31, 2023 or December 31, 2022.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Regulated Entities</w:t>
      </w:r>
    </w:p>
    <w:p>
      <w:pPr>
        <w:pStyle w:val="TextBody"/>
        <w:spacing w:before="0" w:after="0"/>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2023 total cash, cash equivalents, restricted cash, and investments for our regulated subsidiaries were $304.1 million. Additionally, our regulated insurance subsidiaries held $169.8 million and $191.1 million of available-for-sale and held-to-maturity investment securities at March 31, 2023 and December 31, 2022, respectively. Our use of operating cash derived from our unregulated subsidiaries is generally not restricted by departments of insurance (or comparable state regulatory agencies).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detailed discussion of our regulatory requirements, including aggregate statutory capital and surplus as well as dividends paid from the subsidiaries to the parent, please refer to Notes 24, 25, and 26 in our 2022 Form 10-K.</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Cash Flows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consolidated cash flows for the three months ended March 31, 2023 and 2022. </w:t>
      </w:r>
    </w:p>
    <w:tbl>
      <w:tblPr>
        <w:tblW w:w="8136" w:type="dxa"/>
        <w:jc w:val="left"/>
        <w:tblInd w:w="0" w:type="dxa"/>
        <w:tblCellMar>
          <w:top w:w="28" w:type="dxa"/>
          <w:left w:w="28" w:type="dxa"/>
          <w:bottom w:w="28" w:type="dxa"/>
          <w:right w:w="28" w:type="dxa"/>
        </w:tblCellMar>
      </w:tblPr>
      <w:tblGrid>
        <w:gridCol w:w="1913"/>
        <w:gridCol w:w="1680"/>
        <w:gridCol w:w="1687"/>
        <w:gridCol w:w="109"/>
        <w:gridCol w:w="109"/>
        <w:gridCol w:w="109"/>
        <w:gridCol w:w="211"/>
        <w:gridCol w:w="721"/>
        <w:gridCol w:w="109"/>
        <w:gridCol w:w="109"/>
        <w:gridCol w:w="109"/>
        <w:gridCol w:w="109"/>
        <w:gridCol w:w="211"/>
        <w:gridCol w:w="796"/>
        <w:gridCol w:w="154"/>
      </w:tblGrid>
      <w:tr>
        <w:trPr/>
        <w:tc>
          <w:tcPr>
            <w:tcW w:w="1913" w:type="dxa"/>
            <w:tcBorders/>
            <w:shd w:fill="auto" w:val="clear"/>
            <w:vAlign w:val="center"/>
          </w:tcPr>
          <w:p>
            <w:pPr>
              <w:pStyle w:val="TableContents"/>
              <w:spacing w:before="0" w:after="283"/>
              <w:rPr>
                <w:sz w:val="4"/>
                <w:szCs w:val="4"/>
              </w:rPr>
            </w:pPr>
            <w:r>
              <w:rPr>
                <w:sz w:val="4"/>
                <w:szCs w:val="4"/>
              </w:rPr>
            </w:r>
          </w:p>
        </w:tc>
        <w:tc>
          <w:tcPr>
            <w:tcW w:w="1680" w:type="dxa"/>
            <w:tcBorders/>
            <w:shd w:fill="auto" w:val="clear"/>
            <w:vAlign w:val="center"/>
          </w:tcPr>
          <w:p>
            <w:pPr>
              <w:pStyle w:val="TableContents"/>
              <w:spacing w:before="0" w:after="283"/>
              <w:rPr>
                <w:sz w:val="4"/>
                <w:szCs w:val="4"/>
              </w:rPr>
            </w:pPr>
            <w:r>
              <w:rPr>
                <w:sz w:val="4"/>
                <w:szCs w:val="4"/>
              </w:rPr>
            </w:r>
          </w:p>
        </w:tc>
        <w:tc>
          <w:tcPr>
            <w:tcW w:w="16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2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8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2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Data:</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1"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(57,042)</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FF0FC"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10,181 </w:t>
            </w:r>
          </w:p>
        </w:tc>
        <w:tc>
          <w:tcPr>
            <w:tcW w:w="109"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CFF0FC"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36,513 </w:t>
            </w:r>
          </w:p>
        </w:tc>
        <w:tc>
          <w:tcPr>
            <w:tcW w:w="154" w:type="dxa"/>
            <w:tcBorders/>
            <w:shd w:fill="CFF0FC"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87,079 </w:t>
            </w:r>
          </w:p>
        </w:tc>
        <w:tc>
          <w:tcPr>
            <w:tcW w:w="10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(26,137)</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497205"/>
                <wp:effectExtent l="0" t="0" r="0" b="0"/>
                <wp:wrapNone/>
                <wp:docPr id="39" name="Frame39"/>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Cash Requirements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pStyle w:val="TextBody"/>
        <w:spacing w:before="0" w:after="0"/>
        <w:jc w:val="both"/>
        <w:rPr/>
      </w:pPr>
      <w:r>
        <w:rPr/>
      </w:r>
    </w:p>
    <w:p>
      <w:pPr>
        <w:pStyle w:val="TextBody"/>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largest source of operating cash flows is capitated payments from CMS. Our primary uses of cash from operating activities are payments for medical benefits and payments of operating expenses.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2023, Net cash provided by operating activities was $79.0 million, which reflects a Net loss of $72.6 million. Non-cash activities included a $38.6 million charge to Stock-based compensation expense, approximately $1.8 million of amortization of the 2023 Premium deficiency reserve. A prepayment of $107.6 million was received during the period from CMS for April 2023. Payments due to CMS related to our Non-Insurance operations increased by $12.8 million.</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2022, Net cash used in operating activities was $57.0 million, which reflects a Net loss of $75.5 million. Non-cash activities included a $40.6 million charge to Stock-based compensation expense, $27.5 million amortization of the 2022 Premium deficiency reserve, and a $12.4 million Gain on investment related to the change in the equity structure of Clover Therapeutics. Payments due to CMS related to our Non-Insurance operations increased by $43.2 million. Change in our working capital included an increase in Unpaid claims of $25.3 million.</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provided by investing activities for the three months ended March 31, 2023, of $10.2 million was primarily due to $78.3 million provided from the sale and maturity of investment securities. This was offset by $67.9 million used to purchase investments. </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three months ended March 31, 2022, of $36.5 million was primarily due to $113.1 million used to purchase investment securities, offset by $150.0 million provided from the sale and maturity of investment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regarding our investing activities, please refer to Note 3 (Investment Securities) to our condensed consolidated financial statements included in this Form 10-Q.</w:t>
      </w:r>
    </w:p>
    <w:p>
      <w:pPr>
        <w:pStyle w:val="TextBody"/>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 for the three months ended March 31, 2023 of $2.1 million was primarily the result of the acquisition of $3.0 million in Treasury stock.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three months ended March 31, 2022 of $5.6 million was primarily the result of the acquisition of $5.9 million in Treasury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Financing Arrangements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financing arrangements at March 31, 2023, as compared to those disclosed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Contractual Obligations and Commitments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 cash requirements from known contractual obligations and commitments at March 31, 2023 include: (1) the recognition of a performance guarantee of $613.1 million in connection with the Company's participation in the ACO REACH model and (2) operating lease obligations of $5.8 million. These commitments are associated with contracts that were enforceable and legally binding at March 31, 2023,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March 31, 2023. For additional information regarding our remaining estimated contractual obligations and commitments, see Note 12 (Notes and Securities Payable), Note 15 (Leases), Note 21 (Commitments and Contingencies), and Note 22 (Non-Insurance) to the consolidated financial statements included in the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497205"/>
                <wp:effectExtent l="0" t="0" r="0" b="0"/>
                <wp:wrapNone/>
                <wp:docPr id="40" name="Frame40"/>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before="0" w:after="0"/>
        <w:rPr/>
      </w:pPr>
      <w:r>
        <w:rPr/>
      </w: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spacing w:lineRule="auto" w:line="288" w:before="240" w:after="283"/>
        <w:jc w:val="both"/>
        <w:rPr/>
      </w:pPr>
      <w:r>
        <w:rPr>
          <w:rFonts w:ascii="Times New Roman;sans-serif" w:hAnsi="Times New Roman;sans-serif"/>
          <w:b w:val="false"/>
          <w:color w:val="000000"/>
          <w:sz w:val="20"/>
        </w:rPr>
        <w:t xml:space="preserve">We believe that the accounting policies and estimates involve a significant degree of judgment and complexity. For the three months ended March 31, 2023, the Company has made one significant accounting policy change related to its calculation of premium deficiency reserve, as compared to the critical accounting policies and estimates disclosed in the section titled </w:t>
      </w:r>
      <w:r>
        <w:rPr>
          <w:rFonts w:ascii="Times New Roman;sans-serif" w:hAnsi="Times New Roman;sans-serif"/>
          <w:b w:val="false"/>
          <w:i/>
          <w:color w:val="000000"/>
          <w:sz w:val="20"/>
        </w:rPr>
        <w:t>"Management's Discussion and Analysis of Financial Condition and Results of Operations"</w:t>
      </w:r>
      <w:r>
        <w:rPr>
          <w:color w:val="000000"/>
        </w:rPr>
        <w:t xml:space="preserve"> </w:t>
      </w:r>
      <w:r>
        <w:rPr>
          <w:rFonts w:ascii="Times New Roman;sans-serif" w:hAnsi="Times New Roman;sans-serif"/>
          <w:b w:val="false"/>
          <w:color w:val="000000"/>
          <w:sz w:val="20"/>
        </w:rPr>
        <w:t>included in the 2022 Form 10-K with the exception of a voluntary change to the method of determining our premium deficiency reserves. For more information on this change please see Note 2 (Summary of Significant Accounting Policies).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jc w:val="both"/>
        <w:rPr>
          <w:rFonts w:ascii="Times New Roman;sans-serif" w:hAnsi="Times New Roman;sans-serif"/>
          <w:b/>
          <w:color w:val="000000"/>
          <w:sz w:val="20"/>
        </w:rPr>
      </w:pPr>
      <w:r>
        <w:rPr>
          <w:rFonts w:ascii="Times New Roman;sans-serif" w:hAnsi="Times New Roman;sans-serif"/>
          <w:b/>
          <w:color w:val="000000"/>
          <w:sz w:val="20"/>
        </w:rPr>
        <w:t>Recently Issued and Adopted Accounting Pronouncements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2 (Summary of Significant Accounting Policies) to the financial statements in this report for a discussion of accounting pronouncements recently adopted and recently issued accounting pronouncements not yet adopted and their potential impact to our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credit risk on our investment portfolio. We manage the exposure to credit risk in our portfolio by investing in high quality securities and diversifying our holdings.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March 31, 2023, none of our fixed maturity securities portfolio was unrated or rated below investment grade.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March 31, 2023, pursuant to Rule 13a-15(b) under the Securities Exchange Act of 1934, as amended (the "Exchange Act"). Based upon that evaluation, our Certifying Officers concluded that, at March 31, 2023, our disclosure controls and procedures were effective.</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497205"/>
                <wp:effectExtent l="0" t="0" r="0" b="0"/>
                <wp:wrapNone/>
                <wp:docPr id="41" name="Frame41"/>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before="0" w:after="60"/>
        <w:ind w:left="0" w:right="0" w:hanging="180"/>
        <w:jc w:val="both"/>
        <w:rPr/>
      </w:pPr>
      <w:r>
        <w:rPr/>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pStyle w:val="TextBody"/>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pStyle w:val="TextBody"/>
        <w:spacing w:before="0" w:after="0"/>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497205"/>
                <wp:effectExtent l="0" t="0" r="0" b="0"/>
                <wp:wrapNone/>
                <wp:docPr id="42" name="Frame42"/>
                <a:graphic xmlns:a="http://schemas.openxmlformats.org/drawingml/2006/main">
                  <a:graphicData uri="http://schemas.microsoft.com/office/word/2010/wordprocessingShape">
                    <wps:wsp>
                      <wps:cNvSpPr txBox="1"/>
                      <wps:spPr>
                        <a:xfrm>
                          <a:off x="0" y="0"/>
                          <a:ext cx="6480175" cy="497205"/>
                        </a:xfrm>
                        <a:prstGeom prst="rect"/>
                      </wps:spPr>
                      <wps:txb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before="0" w:after="60"/>
        <w:ind w:left="0" w:right="0" w:hanging="180"/>
        <w:jc w:val="both"/>
        <w:rPr/>
      </w:pPr>
      <w:r>
        <w:rPr/>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spacing w:lineRule="auto" w:line="288" w:before="120" w:after="283"/>
        <w:jc w:val="both"/>
        <w:rPr/>
      </w:pPr>
      <w:r>
        <w:rPr>
          <w:rFonts w:ascii="Times New Roman;sans-serif" w:hAnsi="Times New Roman;sans-serif"/>
          <w:b w:val="false"/>
          <w:color w:val="231F20"/>
          <w:sz w:val="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sans-serif" w:hAnsi="Times New Roman;sans-serif"/>
          <w:b w:val="false"/>
          <w:color w:val="000000"/>
          <w:sz w:val="20"/>
        </w:rPr>
        <w:t>results</w:t>
      </w:r>
      <w:r>
        <w:rPr>
          <w:color w:val="231F20"/>
        </w:rPr>
        <w:t xml:space="preserve"> </w:t>
      </w:r>
      <w:r>
        <w:rPr>
          <w:rFonts w:ascii="Times New Roman;sans-serif" w:hAnsi="Times New Roman;sans-serif"/>
          <w:b w:val="false"/>
          <w:color w:val="231F20"/>
          <w:sz w:val="20"/>
        </w:rPr>
        <w:t>of operation.</w:t>
      </w:r>
    </w:p>
    <w:p>
      <w:pPr>
        <w:pStyle w:val="TextBody"/>
        <w:spacing w:before="0" w:after="0"/>
        <w:jc w:val="both"/>
        <w:rPr/>
      </w:pPr>
      <w:r>
        <w:rPr/>
      </w:r>
    </w:p>
    <w:p>
      <w:pPr>
        <w:pStyle w:val="TextBody"/>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legal proceedings can be found in Note 14 (Commitments and Contingencies) to the condensed consolidated financial statements included in Part I, Item 1 of this Form 10-Q, which information is incorporated by reference into this item.</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risk factors are provided to update the risk factors of the Company previously disclosed in the 2022 Form 10-K. In the course of conducting our business operations, we are exposed to a variety of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"Risk Factors" section in the 2022 Form 10-K.</w:t>
      </w:r>
    </w:p>
    <w:p>
      <w:pPr>
        <w:pStyle w:val="TextBody"/>
        <w:spacing w:before="0" w:after="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We have been notified by The Nasdaq Stock Market LLC of our failure to comply with certain continued listing requirements and, if we are unable to regain compliance with all applicable continued listing requirements and standards of Nasdaq, our Class A common stock could be delisted from Nasdaq, which would have an adverse impact on the trading, liquidity, and market price of our Class A common stock.</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April 20, 2023, we received a written notice from The Nasdaq Stock Market LLC ("Nasdaq") notifying us that, because the bid price for our Class A common stock has fallen below $1.00 per share for 30 consecutive business days, we no longer comply with the $1.00 Minimum Bid Price requirement set forth in Nasdaq Listing Rule 5450(a)(1) for continued listing on The Nasdaq Global Select Market (the "Minimum Bid Price Requirement"). In accordance with Nasdaq Listing Rule 5810(c)(3)(A), the Company has a period of 180 calendar days, or until October 17, 2023, to regain compliance with the Minimum Bid Price Requirement. To regain compliance, the closing bid price of the Company's Class A common stock must be at least $1.00 per share for a minimum of 10 consecutive business days as required under Nasdaq Listing Rule 5810(c)(3)(A) (unless the Nasdaq staff exercises its discretion to extend this 10-day period pursuant to Nasdaq Listing Rule 5810(c)(3)(H)) during the 180-day period prior to October 17, 2023.</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the Company does not regain compliance by October 17, 2023, the Company may be eligible for an additional 180-calendar day compliance period if it elects (and meets the listing standards) to transfer to The Nasdaq Capital Market to take advantage of the additional compliance period offered on that market. To qualify, the Company would be required, among other things, to meet the continued listing requirement for market value of publicly held shares as well as all other standards for initial listing on The Nasdaq Capital Market, with the exception of the bid price requirement, and would need to provide written notice of its intention to cure the bid price deficiency during the second compliance period. If the Company fails to regain compliance during the compliance period (including a second compliance period provided by a transfer to The Nasdaq Capital Market, if applicable), then Nasdaq will notify the Company of its determination to delist its Class A common stock, at which point the Company may appeal Nasdaq's delisting determination to a Nasdaq hearing panel.</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monitor the bid price levels for our Class A common stock and will consider appropriate alternatives to achieve compliance with the Minimum Bid Price Requirement within the compliance period, including, among other things, a potential reverse stock split. However, we cannot assure you that the price of our Class A common stock will subsequently remain in compliance with the required listing standard or that we will remain in compliance with any of the other applicable continued listing standards of Nasdaq. Any continuing failure to remain in compliance with Nasdaq's continued listing standards, and any subsequent failure to timely resume compliance with Nasdaq's continued listing standards within the applicable cure period could have adverse consequences, and among other things, substantially impair our ability to raise additional funds and could result in a loss of institutional investor interest and fewer development opportunities for us. Furthermore, a delisting would likely have a negative effect on the price of our Class A common stock and would impair the ability of stockholders to sell or purchase our Class A common stock when they wish to do so. In the event of a delisting, we would expect to take actions to restore our compliance with Nasdaq's listing requirements, but we can provide no assurance that any such action taken by us would allow our Class A common stock to become listed again, lead to stability in the market price of our Class A common stock, improve the liquidity of our Class A common stock, prevent our Class A common stock from dropping below the Nasdaq minimum bid price requirement, or prevent future non-compliance with Nasdaq's listing requirements. As a result of these factors, a delisting of our Class A common stock from Nasdaq would have an adverse impact on the trading, liquidity, and market price of our Class A common stock.</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before="0" w:after="60"/>
        <w:ind w:left="0" w:right="0" w:hanging="180"/>
        <w:jc w:val="both"/>
        <w:rPr/>
      </w:pPr>
      <w:r>
        <w:rPr/>
      </w:r>
    </w:p>
    <w:p>
      <w:pPr>
        <w:pStyle w:val="TextBody"/>
        <w:spacing w:lineRule="auto" w:line="268" w:before="0" w:after="0"/>
        <w:jc w:val="both"/>
        <w:rPr>
          <w:rFonts w:ascii="Times New Roman;sans-serif" w:hAnsi="Times New Roman;sans-serif"/>
          <w:b/>
          <w:i/>
          <w:color w:val="000000"/>
          <w:sz w:val="20"/>
        </w:rPr>
      </w:pPr>
      <w:r>
        <w:rPr>
          <w:rFonts w:ascii="Times New Roman;sans-serif" w:hAnsi="Times New Roman;sans-serif"/>
          <w:b/>
          <w:i/>
          <w:color w:val="000000"/>
          <w:sz w:val="20"/>
        </w:rPr>
        <w:t>Our growth depends in part on the success of our strategic relationships with third parties.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grow our business, we anticipate that we will continue to depend on our relationships with third parties to perform certain operational functions and services, to support and use our Clover Assistant and technology platforms, and to support our general services and administration functions. These third parties include, for example, insurance brokers, our information technology system providers, data submission providers, coders, quality metrics auditors, pharmacy benefit management ("PBM"), services suppliers, enrollment administration providers, and customer service, provider support line, call center and claim and billing service providers. We also rely on integrations with EHR providers and clinical software developers. We have entered into agreements with our PBM services suppliers to provide us and certain of our beneficiaries with certain PBM services, such as claims processing, mail pharmacy services, specialty pharmacy services, retail network pharmacy network services, participating pharmacy audit services, reporting, and formulary services. In April 2023, we entered into an agreement with UST HealthProof pursuant to which UST HealthProof will perform certain of our plan operation functions in support of our Medicare Advantage members, including claims, enrollment, contact center, medical management, payment integrity, revenue integrity, print, fulfillment, and related configuration and certain IT functions. However, we may be unable to realize all of the expected benefits, including cost savings, in connection with this agreement within the expected time frame, or at all, and we may incur additional and/or unexpected costs to realize them. If the services become unavailable or are not adequately performed, our operations and business strategies could be significantly disrupted which could have a material adverse effect on our business, brand, reputation, and results of operations.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if any such agreements were to terminate for any reason or one of our PBM services supplier's ability to perform their respective obligations under their agreements with us were impaired, we may not be able to find an alternative supplier in a timely manner or on acceptable financial terms. As a result, our costs may increase, we would not realize the anticipated benefits of our agreements for PBM services, we could become overly dependent on such agreements, which could cause us to lose core competencies and we may not be able to meet the full demands of our beneficiaries. Any of these events could have a material adverse effect on our business, brand, reputation, and results of operations. Furthermore, certain legislative authorities have in recent years discussed or proposed legislation that would restrict outsourcing of certain services. In addition, we may be held accountable for any failure of performance by our vendors. Significant failure by a third party to perform in accordance with the terms of our contracts or applicable law could subject us to fines or other sanctions or otherwise have a material adverse effect on our business and results of operations. A termination of our agreements with, or disruption in the performance of, one or more of these service providers could result in service disruption or unavailability, and harm our ability to continue to develop, maintain and improve Clover Assistant. This could decrease the usefulness of Clover Assistant and result in decreased adoption by providers and potentially higher medical costs for our beneficiaries, increased or duplicative costs for us, and our inability to meet our obligations to our beneficiaries; it could also require us to seek alternative service providers on less favorable contract terms, any of which can adversely affect our business, brand, reputation and results of operating. Additionally, if our service partners and vendors do not utilize industry standards with respect to privacy and data requirements, or other applicable safeguards, we may be exposed to additional liability, the breach of our patient data, or loss of our ability to provide plans and services.</w:t>
      </w:r>
    </w:p>
    <w:p>
      <w:pPr>
        <w:pStyle w:val="TextBody"/>
        <w:spacing w:before="0" w:after="0"/>
        <w:jc w:val="both"/>
        <w:rPr/>
      </w:pPr>
      <w:r>
        <w:rPr/>
      </w:r>
    </w:p>
    <w:p>
      <w:pPr>
        <w:pStyle w:val="TextBody"/>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Identifying partners, and negotiating and documenting relationships with them, requires significant time and resources. In addition, acquisitions of our partners by our competitors could result in a decrease in the number of our beneficiaries and provider users, as our partners may no longer facilitate the enrollment of Medicare-eligible beneficiaries into, or the effective and efficient operations of, our Insurance and Non-Insurance businesses or the adoption of Clover Assistant by providers. If we are unsuccessful in establishing or maintaining our relationships with third parties, our ability to compete in the marketplace or to grow our revenues could be impaired and our results of operations may suffer. Even if we are successful, we cannot assure you that these relationships will result in increased revenues or an increase in the number of beneficiaries or provider users of Clover Assistant.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before="0" w:after="60"/>
        <w:ind w:left="0" w:right="0" w:hanging="180"/>
        <w:jc w:val="both"/>
        <w:rPr/>
      </w:pPr>
      <w:r>
        <w:rPr/>
      </w:r>
    </w:p>
    <w:p>
      <w:pPr>
        <w:pStyle w:val="TextBody"/>
        <w:spacing w:lineRule="auto" w:line="288" w:before="360" w:after="283"/>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spacing w:lineRule="auto" w:line="26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24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6. Exhibits and Financial Statement Schedules</w:t>
      </w:r>
    </w:p>
    <w:p>
      <w:pPr>
        <w:pStyle w:val="TextBody"/>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list of exhibits to this Form 10-Q is set forth below:</w:t>
      </w:r>
    </w:p>
    <w:p>
      <w:pPr>
        <w:pStyle w:val="TextBody"/>
        <w:spacing w:before="240" w:after="283"/>
        <w:rPr/>
      </w:pPr>
      <w:r>
        <w:rPr/>
      </w:r>
    </w:p>
    <w:tbl>
      <w:tblPr>
        <w:tblW w:w="10205" w:type="dxa"/>
        <w:jc w:val="left"/>
        <w:tblInd w:w="0" w:type="dxa"/>
        <w:tblCellMar>
          <w:top w:w="28" w:type="dxa"/>
          <w:left w:w="28" w:type="dxa"/>
          <w:bottom w:w="28" w:type="dxa"/>
          <w:right w:w="28" w:type="dxa"/>
        </w:tblCellMar>
      </w:tblPr>
      <w:tblGrid>
        <w:gridCol w:w="265"/>
        <w:gridCol w:w="232"/>
        <w:gridCol w:w="234"/>
        <w:gridCol w:w="109"/>
        <w:gridCol w:w="109"/>
        <w:gridCol w:w="109"/>
        <w:gridCol w:w="2674"/>
        <w:gridCol w:w="2655"/>
        <w:gridCol w:w="2680"/>
        <w:gridCol w:w="109"/>
        <w:gridCol w:w="109"/>
        <w:gridCol w:w="109"/>
        <w:gridCol w:w="109"/>
        <w:gridCol w:w="109"/>
        <w:gridCol w:w="109"/>
        <w:gridCol w:w="109"/>
        <w:gridCol w:w="109"/>
        <w:gridCol w:w="109"/>
        <w:gridCol w:w="157"/>
      </w:tblGrid>
      <w:tr>
        <w:trPr/>
        <w:tc>
          <w:tcPr>
            <w:tcW w:w="265"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4" w:type="dxa"/>
            <w:tcBorders/>
            <w:shd w:fill="auto" w:val="clear"/>
            <w:vAlign w:val="center"/>
          </w:tcPr>
          <w:p>
            <w:pPr>
              <w:pStyle w:val="TableContents"/>
              <w:spacing w:before="0" w:after="283"/>
              <w:rPr>
                <w:sz w:val="4"/>
                <w:szCs w:val="4"/>
              </w:rPr>
            </w:pPr>
            <w:r>
              <w:rPr>
                <w:sz w:val="4"/>
                <w:szCs w:val="4"/>
              </w:rPr>
            </w:r>
          </w:p>
        </w:tc>
        <w:tc>
          <w:tcPr>
            <w:tcW w:w="2655" w:type="dxa"/>
            <w:tcBorders/>
            <w:shd w:fill="auto" w:val="clear"/>
            <w:vAlign w:val="center"/>
          </w:tcPr>
          <w:p>
            <w:pPr>
              <w:pStyle w:val="TableContents"/>
              <w:spacing w:before="0" w:after="283"/>
              <w:rPr>
                <w:sz w:val="4"/>
                <w:szCs w:val="4"/>
              </w:rPr>
            </w:pPr>
            <w:r>
              <w:rPr>
                <w:sz w:val="4"/>
                <w:szCs w:val="4"/>
              </w:rPr>
            </w:r>
          </w:p>
        </w:tc>
        <w:tc>
          <w:tcPr>
            <w:tcW w:w="26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Exhibit</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0"/>
              <w:jc w:val="left"/>
              <w:rPr/>
            </w:pPr>
            <w:hyperlink r:id="rId2">
              <w:r>
                <w:rPr>
                  <w:rStyle w:val="InternetLink"/>
                  <w:rFonts w:ascii="Times New Roman;sans-serif" w:hAnsi="Times New Roman;sans-serif"/>
                  <w:b w:val="false"/>
                  <w:color w:val="0000FF"/>
                  <w:sz w:val="20"/>
                  <w:u w:val="single"/>
                </w:rPr>
                <w:t>Board Observer Agreement dated as of March 16, 2023 between the Registrant and Zach Weinberg** (incorporated by reference to Exhibit 10.1 to the Registrant's Current Report on Form 8-K filed on March 17, 2023)</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3312023-exx102.htm">
              <w:r>
                <w:rPr>
                  <w:rStyle w:val="InternetLink"/>
                  <w:rFonts w:ascii="Times New Roman;sans-serif" w:hAnsi="Times New Roman;sans-serif"/>
                  <w:b w:val="false"/>
                  <w:color w:val="0000FF"/>
                  <w:sz w:val="20"/>
                  <w:u w:val="single"/>
                </w:rPr>
                <w:t>Employment Agreement dated as of February 24, 2022 between the Registrant and Conrad Wai**</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r:id="rId3">
              <w:r>
                <w:rPr>
                  <w:rStyle w:val="InternetLink"/>
                  <w:rFonts w:ascii="Times New Roman;sans-serif" w:hAnsi="Times New Roman;sans-serif"/>
                  <w:b w:val="false"/>
                  <w:color w:val="0000FF"/>
                  <w:sz w:val="20"/>
                  <w:u w:val="single"/>
                </w:rPr>
                <w:t>Separation and Consulting Agreement, dated as of February 23, 2023, between the Registrant and Prabhdeep Singh (incorporated by reference to Exhibit 10.1 to the Company's Annual Report on Form 10-K filed March 1, 2023)</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3312023-exx181.htm">
              <w:r>
                <w:rPr>
                  <w:rStyle w:val="InternetLink"/>
                  <w:rFonts w:ascii="Times New Roman;sans-serif" w:hAnsi="Times New Roman;sans-serif"/>
                  <w:b w:val="false"/>
                  <w:color w:val="0000FF"/>
                  <w:sz w:val="20"/>
                  <w:u w:val="single"/>
                </w:rPr>
                <w:t>Preferability letter from Ernst &amp; Young LLP regarding change in accounting principle</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3312023-exx311.htm">
              <w:r>
                <w:rPr>
                  <w:rStyle w:val="InternetLink"/>
                  <w:rFonts w:ascii="Times New Roman;sans-serif" w:hAnsi="Times New Roman;sans-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3312023-exx312.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3312023-ex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a3312023-ex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XBRL tags are embedded within the Inline XBRL document.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73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jc w:val="both"/>
        <w:rPr>
          <w:rFonts w:ascii="Arial;sans-serif" w:hAnsi="Arial;sans-serif"/>
          <w:b w:val="false"/>
          <w:color w:val="000000"/>
          <w:sz w:val="24"/>
        </w:rPr>
      </w:pPr>
      <w:r>
        <w:rPr>
          <w:rFonts w:ascii="Arial;sans-serif" w:hAnsi="Arial;sans-serif"/>
          <w:b w:val="false"/>
          <w:color w:val="000000"/>
          <w:sz w:val="24"/>
        </w:rPr>
        <w:t>_____________</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spacing w:lineRule="auto" w:line="268" w:before="0" w:after="0"/>
        <w:rPr>
          <w:rFonts w:ascii="Times New Roman;sans-serif" w:hAnsi="Times New Roman;sans-serif"/>
          <w:b w:val="false"/>
          <w:color w:val="000000"/>
          <w:sz w:val="20"/>
        </w:rPr>
      </w:pPr>
      <w:r>
        <w:rPr>
          <w:rFonts w:ascii="Times New Roman;sans-serif" w:hAnsi="Times New Roman;sans-serif"/>
          <w:b w:val="false"/>
          <w:color w:val="000000"/>
          <w:sz w:val="20"/>
        </w:rPr>
        <w:t>** Certain identified information has been excluded from this exhibit because it is not material and is the type of information that the Registrant customarily and actually treats as private and confidential. Redacted information is indicated by [***].</w:t>
      </w:r>
    </w:p>
    <w:p>
      <w:pPr>
        <w:pStyle w:val="TextBody"/>
        <w:spacing w:lineRule="auto" w:line="288" w:before="120" w:after="283"/>
        <w:jc w:val="both"/>
        <w:rPr>
          <w:color w:val="000000"/>
        </w:rPr>
      </w:pPr>
      <w:r>
        <w:rPr>
          <w:color w:val="000000"/>
        </w:rPr>
        <w:t xml:space="preserve">† </w:t>
      </w:r>
      <w:r>
        <w:rPr>
          <w:rFonts w:ascii="Times New Roman;sans-serif" w:hAnsi="Times New Roman;sans-serif"/>
          <w:b w:val="false"/>
          <w:color w:val="000000"/>
          <w:sz w:val="20"/>
        </w:rPr>
        <w:t>Furnished herewith.</w:t>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60"/>
        <w:ind w:left="0" w:right="0" w:hanging="180"/>
        <w:jc w:val="both"/>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8116" w:type="dxa"/>
        <w:jc w:val="left"/>
        <w:tblInd w:w="0" w:type="dxa"/>
        <w:tblCellMar>
          <w:top w:w="28" w:type="dxa"/>
          <w:left w:w="28" w:type="dxa"/>
          <w:bottom w:w="28" w:type="dxa"/>
          <w:right w:w="28" w:type="dxa"/>
        </w:tblCellMar>
      </w:tblPr>
      <w:tblGrid>
        <w:gridCol w:w="591"/>
        <w:gridCol w:w="520"/>
        <w:gridCol w:w="523"/>
        <w:gridCol w:w="621"/>
        <w:gridCol w:w="621"/>
        <w:gridCol w:w="621"/>
        <w:gridCol w:w="1349"/>
        <w:gridCol w:w="1349"/>
        <w:gridCol w:w="1921"/>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349" w:type="dxa"/>
            <w:tcBorders/>
            <w:shd w:fill="auto" w:val="clear"/>
            <w:vAlign w:val="center"/>
          </w:tcPr>
          <w:p>
            <w:pPr>
              <w:pStyle w:val="TableContents"/>
              <w:spacing w:before="0" w:after="283"/>
              <w:rPr>
                <w:sz w:val="4"/>
                <w:szCs w:val="4"/>
              </w:rPr>
            </w:pPr>
            <w:r>
              <w:rPr>
                <w:sz w:val="4"/>
                <w:szCs w:val="4"/>
              </w:rPr>
            </w:r>
          </w:p>
        </w:tc>
        <w:tc>
          <w:tcPr>
            <w:tcW w:w="1921"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82" w:type="dxa"/>
            <w:gridSpan w:val="6"/>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CLOVER HEALTH INVESTMENTS, CORP.</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186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Toy</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Toy</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1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 (Principal Executive Officer)</w:t>
            </w:r>
          </w:p>
        </w:tc>
      </w:tr>
    </w:tbl>
    <w:p>
      <w:pPr>
        <w:pStyle w:val="TextBody"/>
        <w:spacing w:before="0" w:after="0"/>
        <w:jc w:val="center"/>
        <w:rPr/>
      </w:pPr>
      <w:r>
        <w:rPr/>
      </w:r>
    </w:p>
    <w:p>
      <w:pPr>
        <w:pStyle w:val="TextBody"/>
        <w:spacing w:before="0" w:after="0"/>
        <w:jc w:val="center"/>
        <w:rPr/>
      </w:pPr>
      <w:r>
        <w:rPr/>
      </w:r>
    </w:p>
    <w:tbl>
      <w:tblPr>
        <w:tblW w:w="9448" w:type="dxa"/>
        <w:jc w:val="left"/>
        <w:tblInd w:w="0" w:type="dxa"/>
        <w:tblCellMar>
          <w:top w:w="28" w:type="dxa"/>
          <w:left w:w="28" w:type="dxa"/>
          <w:bottom w:w="28" w:type="dxa"/>
          <w:right w:w="28" w:type="dxa"/>
        </w:tblCellMar>
      </w:tblPr>
      <w:tblGrid>
        <w:gridCol w:w="591"/>
        <w:gridCol w:w="520"/>
        <w:gridCol w:w="523"/>
        <w:gridCol w:w="134"/>
        <w:gridCol w:w="134"/>
        <w:gridCol w:w="136"/>
        <w:gridCol w:w="2166"/>
        <w:gridCol w:w="2166"/>
        <w:gridCol w:w="3078"/>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3078"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J. Leffler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jc w:val="right"/>
        <w:rPr/>
      </w:pPr>
      <w:r>
        <w:rPr/>
        <w:drawing>
          <wp:inline distT="0" distB="63500" distL="0" distR="0">
            <wp:extent cx="3562350" cy="390525"/>
            <wp:effectExtent l="0" t="0" r="0" b="0"/>
            <wp:docPr id="46"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 descr=""/>
                    <pic:cNvPicPr>
                      <a:picLocks noChangeAspect="1" noChangeArrowheads="1"/>
                    </pic:cNvPicPr>
                  </pic:nvPicPr>
                  <pic:blipFill>
                    <a:blip r:embed="rId4"/>
                    <a:stretch>
                      <a:fillRect/>
                    </a:stretch>
                  </pic:blipFill>
                  <pic:spPr bwMode="auto">
                    <a:xfrm>
                      <a:off x="0" y="0"/>
                      <a:ext cx="3562350" cy="390525"/>
                    </a:xfrm>
                    <a:prstGeom prst="rect">
                      <a:avLst/>
                    </a:prstGeom>
                  </pic:spPr>
                </pic:pic>
              </a:graphicData>
            </a:graphic>
          </wp:inline>
        </w:drawing>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01.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rFonts w:ascii="Arial;sans-serif" w:hAnsi="Arial;sans-serif"/>
          <w:b w:val="false"/>
          <w:color w:val="000000"/>
          <w:sz w:val="24"/>
        </w:rPr>
      </w:pPr>
      <w:r>
        <w:rPr>
          <w:rFonts w:ascii="Arial;sans-serif" w:hAnsi="Arial;sans-serif"/>
          <w:b w:val="false"/>
          <w:color w:val="000000"/>
          <w:sz w:val="24"/>
        </w:rPr>
        <w:t>Certain identified information has been excluded from this exhibit because it is not material and is the type of information that the Registrant customarily and actually treats as private and confidential. Redacted information is indicated by [***].</w:t>
      </w:r>
    </w:p>
    <w:p>
      <w:pPr>
        <w:pStyle w:val="TextBody"/>
        <w:spacing w:before="0" w:after="0"/>
        <w:rPr/>
      </w:pPr>
      <w:r>
        <w:rPr/>
      </w:r>
    </w:p>
    <w:p>
      <w:pPr>
        <w:pStyle w:val="TextBody"/>
        <w:spacing w:lineRule="auto" w:line="276" w:before="0" w:after="0"/>
        <w:ind w:left="0" w:right="0" w:firstLine="100"/>
        <w:rPr>
          <w:rFonts w:ascii="Arial;sans-serif" w:hAnsi="Arial;sans-serif"/>
          <w:b w:val="false"/>
          <w:color w:val="000000"/>
          <w:sz w:val="24"/>
          <w:u w:val="single"/>
        </w:rPr>
      </w:pPr>
      <w:r>
        <w:rPr>
          <w:rFonts w:ascii="Arial;sans-serif" w:hAnsi="Arial;sans-serif"/>
          <w:b w:val="false"/>
          <w:color w:val="000000"/>
          <w:sz w:val="24"/>
          <w:u w:val="single"/>
        </w:rPr>
        <w:t>CONFIDENTIAL</w:t>
      </w:r>
    </w:p>
    <w:p>
      <w:pPr>
        <w:pStyle w:val="TextBody"/>
        <w:spacing w:lineRule="auto" w:line="276" w:before="0" w:after="0"/>
        <w:ind w:left="0" w:right="0" w:firstLine="100"/>
        <w:rPr/>
      </w:pPr>
      <w:r>
        <w:rPr>
          <w:rFonts w:ascii="Arial;sans-serif" w:hAnsi="Arial;sans-serif"/>
          <w:b w:val="false"/>
          <w:color w:val="000000"/>
          <w:sz w:val="22"/>
        </w:rPr>
        <w:t>February</w:t>
      </w:r>
      <w:r>
        <w:rPr>
          <w:color w:val="000000"/>
        </w:rPr>
        <w:t xml:space="preserve"> </w:t>
      </w:r>
      <w:r>
        <w:rPr>
          <w:rFonts w:ascii="Arial;sans-serif" w:hAnsi="Arial;sans-serif"/>
          <w:b w:val="false"/>
          <w:color w:val="000000"/>
          <w:sz w:val="22"/>
        </w:rPr>
        <w:t>24,</w:t>
      </w:r>
      <w:r>
        <w:rPr>
          <w:color w:val="000000"/>
        </w:rPr>
        <w:t xml:space="preserve"> </w:t>
      </w:r>
      <w:r>
        <w:rPr>
          <w:rFonts w:ascii="Arial;sans-serif" w:hAnsi="Arial;sans-serif"/>
          <w:b w:val="false"/>
          <w:color w:val="000000"/>
          <w:sz w:val="24"/>
        </w:rPr>
        <w:t>2022</w:t>
      </w:r>
    </w:p>
    <w:p>
      <w:pPr>
        <w:pStyle w:val="TextBody"/>
        <w:spacing w:before="0" w:after="0"/>
        <w:rPr/>
      </w:pPr>
      <w:r>
        <w:rPr/>
      </w:r>
    </w:p>
    <w:p>
      <w:pPr>
        <w:pStyle w:val="TextBody"/>
        <w:spacing w:lineRule="auto" w:line="268" w:before="0" w:after="0"/>
        <w:ind w:left="0" w:right="0" w:firstLine="100"/>
        <w:rPr/>
      </w:pPr>
      <w:r>
        <w:rPr>
          <w:rFonts w:ascii="Arial;sans-serif" w:hAnsi="Arial;sans-serif"/>
          <w:b w:val="false"/>
          <w:color w:val="000000"/>
          <w:sz w:val="22"/>
        </w:rPr>
        <w:t>Clover</w:t>
      </w:r>
      <w:r>
        <w:rPr>
          <w:color w:val="000000"/>
        </w:rPr>
        <w:t xml:space="preserve"> </w:t>
      </w:r>
      <w:r>
        <w:rPr>
          <w:rFonts w:ascii="Arial;sans-serif" w:hAnsi="Arial;sans-serif"/>
          <w:b w:val="false"/>
          <w:color w:val="000000"/>
          <w:sz w:val="22"/>
        </w:rPr>
        <w:t>Health</w:t>
      </w:r>
      <w:r>
        <w:rPr>
          <w:color w:val="000000"/>
        </w:rPr>
        <w:t xml:space="preserve"> </w:t>
      </w:r>
      <w:r>
        <w:rPr>
          <w:rFonts w:ascii="Arial;sans-serif" w:hAnsi="Arial;sans-serif"/>
          <w:b w:val="false"/>
          <w:color w:val="000000"/>
          <w:sz w:val="22"/>
        </w:rPr>
        <w:t>Investments,</w:t>
      </w:r>
      <w:r>
        <w:rPr>
          <w:color w:val="000000"/>
        </w:rPr>
        <w:t xml:space="preserve"> </w:t>
      </w:r>
      <w:r>
        <w:rPr>
          <w:rFonts w:ascii="Arial;sans-serif" w:hAnsi="Arial;sans-serif"/>
          <w:b w:val="false"/>
          <w:color w:val="000000"/>
          <w:sz w:val="22"/>
        </w:rPr>
        <w:t>Corp. 725</w:t>
      </w:r>
      <w:r>
        <w:rPr>
          <w:color w:val="000000"/>
        </w:rPr>
        <w:t xml:space="preserve"> </w:t>
      </w:r>
      <w:r>
        <w:rPr>
          <w:rFonts w:ascii="Arial;sans-serif" w:hAnsi="Arial;sans-serif"/>
          <w:b w:val="false"/>
          <w:color w:val="000000"/>
          <w:sz w:val="22"/>
        </w:rPr>
        <w:t>Cool</w:t>
      </w:r>
      <w:r>
        <w:rPr>
          <w:color w:val="000000"/>
        </w:rPr>
        <w:t xml:space="preserve"> </w:t>
      </w:r>
      <w:r>
        <w:rPr>
          <w:rFonts w:ascii="Arial;sans-serif" w:hAnsi="Arial;sans-serif"/>
          <w:b w:val="false"/>
          <w:color w:val="000000"/>
          <w:sz w:val="22"/>
        </w:rPr>
        <w:t>Springs</w:t>
      </w:r>
      <w:r>
        <w:rPr>
          <w:color w:val="000000"/>
        </w:rPr>
        <w:t xml:space="preserve"> </w:t>
      </w:r>
      <w:r>
        <w:rPr>
          <w:rFonts w:ascii="Arial;sans-serif" w:hAnsi="Arial;sans-serif"/>
          <w:b w:val="false"/>
          <w:color w:val="000000"/>
          <w:sz w:val="22"/>
        </w:rPr>
        <w:t>Blvd,</w:t>
      </w:r>
      <w:r>
        <w:rPr>
          <w:color w:val="000000"/>
        </w:rPr>
        <w:t xml:space="preserve"> </w:t>
      </w:r>
      <w:r>
        <w:rPr>
          <w:rFonts w:ascii="Arial;sans-serif" w:hAnsi="Arial;sans-serif"/>
          <w:b w:val="false"/>
          <w:color w:val="000000"/>
          <w:sz w:val="22"/>
        </w:rPr>
        <w:t>Suite</w:t>
      </w:r>
      <w:r>
        <w:rPr>
          <w:color w:val="000000"/>
        </w:rPr>
        <w:t xml:space="preserve"> </w:t>
      </w:r>
      <w:r>
        <w:rPr>
          <w:rFonts w:ascii="Arial;sans-serif" w:hAnsi="Arial;sans-serif"/>
          <w:b w:val="false"/>
          <w:color w:val="000000"/>
          <w:sz w:val="24"/>
        </w:rPr>
        <w:t>300</w:t>
      </w:r>
    </w:p>
    <w:p>
      <w:pPr>
        <w:pStyle w:val="TextBody"/>
        <w:spacing w:lineRule="auto" w:line="268" w:before="0" w:after="0"/>
        <w:ind w:left="0" w:right="0" w:firstLine="100"/>
        <w:rPr/>
      </w:pPr>
      <w:r>
        <w:rPr>
          <w:rFonts w:ascii="Arial;sans-serif" w:hAnsi="Arial;sans-serif"/>
          <w:b w:val="false"/>
          <w:color w:val="000000"/>
          <w:sz w:val="22"/>
        </w:rPr>
        <w:t>Franklin,</w:t>
      </w:r>
      <w:r>
        <w:rPr>
          <w:color w:val="000000"/>
        </w:rPr>
        <w:t xml:space="preserve"> </w:t>
      </w:r>
      <w:r>
        <w:rPr>
          <w:rFonts w:ascii="Arial;sans-serif" w:hAnsi="Arial;sans-serif"/>
          <w:b w:val="false"/>
          <w:color w:val="000000"/>
          <w:sz w:val="22"/>
        </w:rPr>
        <w:t>Tennessee</w:t>
      </w:r>
      <w:r>
        <w:rPr>
          <w:color w:val="000000"/>
        </w:rPr>
        <w:t xml:space="preserve"> </w:t>
      </w:r>
      <w:r>
        <w:rPr>
          <w:rFonts w:ascii="Arial;sans-serif" w:hAnsi="Arial;sans-serif"/>
          <w:b w:val="false"/>
          <w:color w:val="000000"/>
          <w:sz w:val="24"/>
        </w:rPr>
        <w:t>37067</w:t>
      </w:r>
    </w:p>
    <w:p>
      <w:pPr>
        <w:pStyle w:val="TextBody"/>
        <w:spacing w:before="0" w:after="0"/>
        <w:rPr/>
      </w:pPr>
      <w:r>
        <w:rPr/>
      </w:r>
    </w:p>
    <w:p>
      <w:pPr>
        <w:pStyle w:val="TextBody"/>
        <w:spacing w:lineRule="auto" w:line="268" w:before="0" w:after="0"/>
        <w:ind w:left="0" w:right="0" w:firstLine="100"/>
        <w:rPr/>
      </w:pPr>
      <w:r>
        <w:rPr>
          <w:rFonts w:ascii="Arial;sans-serif" w:hAnsi="Arial;sans-serif"/>
          <w:b/>
          <w:color w:val="000000"/>
          <w:sz w:val="24"/>
        </w:rPr>
        <w:t xml:space="preserve">Re: </w:t>
      </w:r>
      <w:r>
        <w:rPr>
          <w:rFonts w:ascii="Arial;sans-serif" w:hAnsi="Arial;sans-serif"/>
          <w:b/>
          <w:color w:val="000000"/>
          <w:sz w:val="24"/>
          <w:u w:val="single"/>
        </w:rPr>
        <w:t>EMPLOYMENT AGREEMENT</w:t>
      </w:r>
    </w:p>
    <w:p>
      <w:pPr>
        <w:pStyle w:val="TextBody"/>
        <w:spacing w:before="0" w:after="0"/>
        <w:rPr/>
      </w:pPr>
      <w:r>
        <w:rPr/>
      </w:r>
    </w:p>
    <w:p>
      <w:pPr>
        <w:pStyle w:val="TextBody"/>
        <w:spacing w:lineRule="auto" w:line="276" w:before="0" w:after="0"/>
        <w:rPr>
          <w:color w:val="000000"/>
        </w:rPr>
      </w:pPr>
      <w:r>
        <w:rPr>
          <w:color w:val="000000"/>
        </w:rPr>
        <w:t xml:space="preserve">——————————————————————————————————————— </w:t>
      </w:r>
    </w:p>
    <w:p>
      <w:pPr>
        <w:pStyle w:val="TextBody"/>
        <w:spacing w:lineRule="auto" w:line="268" w:before="0" w:after="0"/>
        <w:ind w:left="0" w:right="0" w:firstLine="100"/>
        <w:jc w:val="both"/>
        <w:rPr/>
      </w:pPr>
      <w:r>
        <w:rPr>
          <w:rFonts w:ascii="Arial;sans-serif" w:hAnsi="Arial;sans-serif"/>
          <w:b w:val="false"/>
          <w:color w:val="000000"/>
          <w:sz w:val="22"/>
        </w:rPr>
        <w:t>Dear</w:t>
      </w:r>
      <w:r>
        <w:rPr>
          <w:color w:val="000000"/>
        </w:rPr>
        <w:t xml:space="preserve"> </w:t>
      </w:r>
      <w:r>
        <w:rPr>
          <w:rFonts w:ascii="Arial;sans-serif" w:hAnsi="Arial;sans-serif"/>
          <w:b w:val="false"/>
          <w:color w:val="000000"/>
          <w:sz w:val="22"/>
        </w:rPr>
        <w:t>Conrad</w:t>
      </w:r>
      <w:r>
        <w:rPr>
          <w:color w:val="000000"/>
        </w:rPr>
        <w:t xml:space="preserve"> </w:t>
      </w:r>
      <w:r>
        <w:rPr>
          <w:rFonts w:ascii="Arial;sans-serif" w:hAnsi="Arial;sans-serif"/>
          <w:b w:val="false"/>
          <w:color w:val="000000"/>
          <w:sz w:val="24"/>
        </w:rPr>
        <w:t>Wai,</w:t>
      </w:r>
    </w:p>
    <w:p>
      <w:pPr>
        <w:pStyle w:val="TextBody"/>
        <w:spacing w:before="0" w:after="0"/>
        <w:rPr/>
      </w:pPr>
      <w:r>
        <w:rPr/>
      </w:r>
    </w:p>
    <w:p>
      <w:pPr>
        <w:pStyle w:val="TextBody"/>
        <w:spacing w:before="0" w:after="0"/>
        <w:rPr/>
      </w:pPr>
      <w:r>
        <w:rPr/>
      </w:r>
    </w:p>
    <w:p>
      <w:pPr>
        <w:pStyle w:val="TextBody"/>
        <w:spacing w:lineRule="auto" w:line="276" w:before="0" w:after="0"/>
        <w:ind w:left="0" w:right="0" w:firstLine="100"/>
        <w:jc w:val="both"/>
        <w:rPr/>
      </w:pPr>
      <w:r>
        <w:rPr>
          <w:rFonts w:ascii="Arial;sans-serif" w:hAnsi="Arial;sans-serif"/>
          <w:b w:val="false"/>
          <w:color w:val="000000"/>
          <w:sz w:val="22"/>
        </w:rPr>
        <w:t>This Employment Agreement (the “</w:t>
      </w:r>
      <w:r>
        <w:rPr>
          <w:rFonts w:ascii="Arial;sans-serif" w:hAnsi="Arial;sans-serif"/>
          <w:b/>
          <w:i/>
          <w:color w:val="000000"/>
          <w:sz w:val="24"/>
        </w:rPr>
        <w:t>Agreement</w:t>
      </w:r>
      <w:r>
        <w:rPr>
          <w:color w:val="000000"/>
        </w:rPr>
        <w:t>”</w:t>
      </w:r>
      <w:r>
        <w:rPr>
          <w:rFonts w:ascii="Arial;sans-serif" w:hAnsi="Arial;sans-serif"/>
          <w:b w:val="false"/>
          <w:color w:val="000000"/>
          <w:sz w:val="22"/>
        </w:rPr>
        <w:t>) between you (referred to hereinafter as the “</w:t>
      </w:r>
      <w:r>
        <w:rPr>
          <w:rFonts w:ascii="Arial;sans-serif" w:hAnsi="Arial;sans-serif"/>
          <w:b/>
          <w:i/>
          <w:color w:val="000000"/>
          <w:sz w:val="24"/>
        </w:rPr>
        <w:t>Executive</w:t>
      </w:r>
      <w:r>
        <w:rPr>
          <w:color w:val="000000"/>
        </w:rPr>
        <w:t>”</w:t>
      </w:r>
      <w:r>
        <w:rPr>
          <w:rFonts w:ascii="Arial;sans-serif" w:hAnsi="Arial;sans-serif"/>
          <w:b w:val="false"/>
          <w:color w:val="000000"/>
          <w:sz w:val="22"/>
        </w:rPr>
        <w:t>) and Clover Health Labs, LLC (the “</w:t>
      </w:r>
      <w:r>
        <w:rPr>
          <w:rFonts w:ascii="Arial;sans-serif" w:hAnsi="Arial;sans-serif"/>
          <w:b/>
          <w:i/>
          <w:color w:val="000000"/>
          <w:sz w:val="24"/>
        </w:rPr>
        <w:t>Company</w:t>
      </w:r>
      <w:r>
        <w:rPr>
          <w:color w:val="000000"/>
        </w:rPr>
        <w:t>”</w:t>
      </w:r>
      <w:r>
        <w:rPr>
          <w:rFonts w:ascii="Arial;sans-serif" w:hAnsi="Arial;sans-serif"/>
          <w:b w:val="false"/>
          <w:color w:val="000000"/>
          <w:sz w:val="22"/>
        </w:rPr>
        <w:t>) sets forth the terms and conditions that shall govern</w:t>
      </w:r>
      <w:r>
        <w:rPr>
          <w:color w:val="000000"/>
        </w:rPr>
        <w:t xml:space="preserve"> </w:t>
      </w:r>
      <w:r>
        <w:rPr>
          <w:rFonts w:ascii="Arial;sans-serif" w:hAnsi="Arial;sans-serif"/>
          <w:b w:val="false"/>
          <w:color w:val="000000"/>
          <w:sz w:val="22"/>
        </w:rPr>
        <w:t>Executive’s employment with the Company (referred to hereinafter as “</w:t>
      </w:r>
      <w:r>
        <w:rPr>
          <w:rFonts w:ascii="Arial;sans-serif" w:hAnsi="Arial;sans-serif"/>
          <w:b/>
          <w:i/>
          <w:color w:val="000000"/>
          <w:sz w:val="24"/>
        </w:rPr>
        <w:t>Employment</w:t>
      </w:r>
      <w:r>
        <w:rPr>
          <w:color w:val="000000"/>
        </w:rPr>
        <w:t xml:space="preserve">” </w:t>
      </w:r>
      <w:r>
        <w:rPr>
          <w:rFonts w:ascii="Arial;sans-serif" w:hAnsi="Arial;sans-serif"/>
          <w:b w:val="false"/>
          <w:color w:val="000000"/>
          <w:sz w:val="22"/>
        </w:rPr>
        <w:t>or the “</w:t>
      </w:r>
      <w:r>
        <w:rPr>
          <w:rFonts w:ascii="Arial;sans-serif" w:hAnsi="Arial;sans-serif"/>
          <w:b/>
          <w:i/>
          <w:color w:val="000000"/>
          <w:sz w:val="24"/>
        </w:rPr>
        <w:t>Employment Period</w:t>
      </w:r>
      <w:r>
        <w:rPr>
          <w:color w:val="000000"/>
        </w:rPr>
        <w:t>”</w:t>
      </w:r>
      <w:r>
        <w:rPr>
          <w:rFonts w:ascii="Arial;sans-serif" w:hAnsi="Arial;sans-serif"/>
          <w:b w:val="false"/>
          <w:color w:val="000000"/>
          <w:sz w:val="22"/>
        </w:rPr>
        <w:t>), effective as of February 28, 2022.</w:t>
      </w:r>
    </w:p>
    <w:p>
      <w:pPr>
        <w:pStyle w:val="TextBody"/>
        <w:spacing w:before="0" w:after="0"/>
        <w:rPr/>
      </w:pPr>
      <w:r>
        <w:rPr/>
      </w:r>
    </w:p>
    <w:p>
      <w:pPr>
        <w:pStyle w:val="TextBody"/>
        <w:spacing w:lineRule="auto" w:line="268" w:before="0" w:after="0"/>
        <w:ind w:left="0" w:right="0" w:hanging="360"/>
        <w:rPr/>
      </w:pPr>
      <w:r>
        <w:rPr>
          <w:rFonts w:ascii="Arial;sans-serif" w:hAnsi="Arial;sans-serif"/>
          <w:b/>
          <w:color w:val="000000"/>
          <w:sz w:val="22"/>
        </w:rPr>
        <w:t>1.</w:t>
      </w:r>
      <w:r>
        <w:rPr>
          <w:rFonts w:ascii="Arial;sans-serif" w:hAnsi="Arial;sans-serif"/>
          <w:b/>
          <w:color w:val="000000"/>
          <w:sz w:val="24"/>
          <w:u w:val="single"/>
        </w:rPr>
        <w:t>Duties and Scope of Employment</w:t>
      </w:r>
      <w:r>
        <w:rPr>
          <w:rFonts w:ascii="Arial;sans-serif" w:hAnsi="Arial;sans-serif"/>
          <w:b/>
          <w:color w:val="000000"/>
          <w:sz w:val="24"/>
        </w:rPr>
        <w:t>.</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a.</w:t>
      </w:r>
      <w:r>
        <w:rPr>
          <w:rFonts w:ascii="Arial;sans-serif" w:hAnsi="Arial;sans-serif"/>
          <w:b/>
          <w:color w:val="000000"/>
          <w:sz w:val="24"/>
          <w:u w:val="single"/>
        </w:rPr>
        <w:t>At-Will Employment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Executive’s Employment with the Company is for no specified period and constitutes “at will” employment.</w:t>
      </w:r>
      <w:r>
        <w:rPr>
          <w:color w:val="000000"/>
        </w:rPr>
        <w:t xml:space="preserve"> </w:t>
      </w:r>
      <w:r>
        <w:rPr>
          <w:rFonts w:ascii="Arial;sans-serif" w:hAnsi="Arial;sans-serif"/>
          <w:b w:val="false"/>
          <w:color w:val="000000"/>
          <w:sz w:val="22"/>
        </w:rPr>
        <w:t>Except as otherwise set forth</w:t>
      </w:r>
      <w:r>
        <w:rPr>
          <w:color w:val="000000"/>
        </w:rPr>
        <w:t xml:space="preserve"> </w:t>
      </w:r>
      <w:r>
        <w:rPr>
          <w:rFonts w:ascii="Arial;sans-serif" w:hAnsi="Arial;sans-serif"/>
          <w:b w:val="false"/>
          <w:color w:val="000000"/>
          <w:sz w:val="22"/>
        </w:rPr>
        <w:t>herein,</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free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terminate</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without advance notice, and for any reason or for no reason.</w:t>
      </w:r>
      <w:r>
        <w:rPr>
          <w:color w:val="000000"/>
        </w:rPr>
        <w:t xml:space="preserve"> </w:t>
      </w:r>
      <w:r>
        <w:rPr>
          <w:rFonts w:ascii="Arial;sans-serif" w:hAnsi="Arial;sans-serif"/>
          <w:b w:val="false"/>
          <w:color w:val="000000"/>
          <w:sz w:val="22"/>
        </w:rPr>
        <w:t>Similarly, the Company is free to terminate Executive’s Employment at any time, with or without advance notice,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defined</w:t>
      </w:r>
      <w:r>
        <w:rPr>
          <w:color w:val="000000"/>
        </w:rPr>
        <w:t xml:space="preserve"> </w:t>
      </w:r>
      <w:r>
        <w:rPr>
          <w:rFonts w:ascii="Arial;sans-serif" w:hAnsi="Arial;sans-serif"/>
          <w:b w:val="false"/>
          <w:color w:val="000000"/>
          <w:sz w:val="22"/>
        </w:rPr>
        <w:t>below).</w:t>
      </w:r>
      <w:r>
        <w:rPr>
          <w:color w:val="000000"/>
        </w:rPr>
        <w:t xml:space="preserve"> </w:t>
      </w:r>
      <w:r>
        <w:rPr>
          <w:rFonts w:ascii="Arial;sans-serif" w:hAnsi="Arial;sans-serif"/>
          <w:b w:val="false"/>
          <w:color w:val="000000"/>
          <w:sz w:val="22"/>
        </w:rPr>
        <w:t>Furthermore,</w:t>
      </w:r>
      <w:r>
        <w:rPr>
          <w:color w:val="000000"/>
        </w:rPr>
        <w:t xml:space="preserve"> </w:t>
      </w:r>
      <w:r>
        <w:rPr>
          <w:rFonts w:ascii="Arial;sans-serif" w:hAnsi="Arial;sans-serif"/>
          <w:b w:val="false"/>
          <w:color w:val="000000"/>
          <w:sz w:val="22"/>
        </w:rPr>
        <w:t>although</w:t>
      </w:r>
      <w:r>
        <w:rPr>
          <w:color w:val="000000"/>
        </w:rPr>
        <w:t xml:space="preserve"> </w:t>
      </w:r>
      <w:r>
        <w:rPr>
          <w:rFonts w:ascii="Arial;sans-serif" w:hAnsi="Arial;sans-serif"/>
          <w:b w:val="false"/>
          <w:color w:val="000000"/>
          <w:sz w:val="22"/>
        </w:rPr>
        <w:t>terms and conditions of Executive’s Employment with the Company may change over time, nothing shall change the at-will nature of Executive’s Employment.</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Position and Responsibilities</w:t>
      </w:r>
      <w:r>
        <w:rPr>
          <w:rFonts w:ascii="Arial;sans-serif" w:hAnsi="Arial;sans-serif"/>
          <w:b/>
          <w:color w:val="000000"/>
          <w:sz w:val="24"/>
        </w:rPr>
        <w:t xml:space="preserve">. </w:t>
      </w:r>
      <w:r>
        <w:rPr>
          <w:rFonts w:ascii="Arial;sans-serif" w:hAnsi="Arial;sans-serif"/>
          <w:b w:val="false"/>
          <w:color w:val="000000"/>
          <w:sz w:val="22"/>
        </w:rPr>
        <w:t>During the Employment Period, the Company agrees</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employ</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position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Chief</w:t>
      </w:r>
      <w:r>
        <w:rPr>
          <w:color w:val="000000"/>
        </w:rPr>
        <w:t xml:space="preserve"> </w:t>
      </w:r>
      <w:r>
        <w:rPr>
          <w:rFonts w:ascii="Arial;sans-serif" w:hAnsi="Arial;sans-serif"/>
          <w:b w:val="false"/>
          <w:color w:val="000000"/>
          <w:sz w:val="22"/>
        </w:rPr>
        <w:t>Technology</w:t>
      </w:r>
      <w:r>
        <w:rPr>
          <w:color w:val="000000"/>
        </w:rPr>
        <w:t xml:space="preserve"> </w:t>
      </w:r>
      <w:r>
        <w:rPr>
          <w:rFonts w:ascii="Arial;sans-serif" w:hAnsi="Arial;sans-serif"/>
          <w:b w:val="false"/>
          <w:color w:val="000000"/>
          <w:sz w:val="22"/>
        </w:rPr>
        <w:t>Officer.</w:t>
      </w:r>
      <w:r>
        <w:rPr>
          <w:color w:val="000000"/>
        </w:rPr>
        <w:t xml:space="preserve"> </w:t>
      </w:r>
      <w:r>
        <w:rPr>
          <w:rFonts w:ascii="Arial;sans-serif" w:hAnsi="Arial;sans-serif"/>
          <w:b w:val="false"/>
          <w:color w:val="000000"/>
          <w:sz w:val="22"/>
        </w:rPr>
        <w:t xml:space="preserve">Executive will report to the Company’s President, </w:t>
      </w:r>
      <w:r>
        <w:rPr>
          <w:rFonts w:ascii="Arial;sans-serif" w:hAnsi="Arial;sans-serif"/>
          <w:b w:val="false"/>
          <w:color w:val="212121"/>
          <w:sz w:val="24"/>
        </w:rPr>
        <w:t>Andrew Toy</w:t>
      </w:r>
      <w:r>
        <w:rPr>
          <w:rFonts w:ascii="Arial;sans-serif" w:hAnsi="Arial;sans-serif"/>
          <w:b w:val="false"/>
          <w:color w:val="000000"/>
          <w:sz w:val="22"/>
        </w:rPr>
        <w:t>, or to such other Person as the Company subsequently may determine (Executive’s “</w:t>
      </w:r>
      <w:r>
        <w:rPr>
          <w:rFonts w:ascii="Arial;sans-serif" w:hAnsi="Arial;sans-serif"/>
          <w:b/>
          <w:i/>
          <w:color w:val="000000"/>
          <w:sz w:val="24"/>
        </w:rPr>
        <w:t>Supervisor</w:t>
      </w:r>
      <w:r>
        <w:rPr>
          <w:color w:val="000000"/>
        </w:rPr>
        <w:t>”</w:t>
      </w:r>
      <w:r>
        <w:rPr>
          <w:rFonts w:ascii="Arial;sans-serif" w:hAnsi="Arial;sans-serif"/>
          <w:b w:val="false"/>
          <w:color w:val="000000"/>
          <w:sz w:val="22"/>
        </w:rPr>
        <w:t>), and Executive will be working remotely and based out of California.</w:t>
      </w:r>
      <w:r>
        <w:rPr>
          <w:color w:val="000000"/>
        </w:rPr>
        <w:t xml:space="preserve"> </w:t>
      </w:r>
      <w:r>
        <w:rPr>
          <w:rFonts w:ascii="Arial;sans-serif" w:hAnsi="Arial;sans-serif"/>
          <w:b w:val="false"/>
          <w:color w:val="000000"/>
          <w:sz w:val="22"/>
        </w:rPr>
        <w:t>Executive will perform the duties and have the responsibilities and authority customarily performed and held by an employee in Executive’s position or as otherwise may be assigned or delegated to Executive by Executive’s Supervisor.</w:t>
      </w:r>
    </w:p>
    <w:p>
      <w:pPr>
        <w:pStyle w:val="TextBody"/>
        <w:spacing w:before="0" w:after="0"/>
        <w:jc w:val="both"/>
        <w:rPr/>
      </w:pPr>
      <w:r>
        <w:rPr/>
      </w:r>
    </w:p>
    <w:p>
      <w:pPr>
        <w:pStyle w:val="TextBody"/>
        <w:spacing w:lineRule="auto" w:line="276"/>
        <w:ind w:left="0" w:right="0" w:hanging="360"/>
        <w:jc w:val="both"/>
        <w:rPr/>
      </w:pPr>
      <w:r>
        <w:rPr>
          <w:rFonts w:ascii="Arial;sans-serif" w:hAnsi="Arial;sans-serif"/>
          <w:b w:val="false"/>
          <w:color w:val="000000"/>
          <w:sz w:val="22"/>
        </w:rPr>
        <w:t>c.</w:t>
      </w:r>
      <w:r>
        <w:rPr>
          <w:rFonts w:ascii="Arial;sans-serif" w:hAnsi="Arial;sans-serif"/>
          <w:b/>
          <w:color w:val="000000"/>
          <w:sz w:val="24"/>
          <w:u w:val="single"/>
        </w:rPr>
        <w:t>Obligations to the Company</w:t>
      </w:r>
      <w:r>
        <w:rPr>
          <w:rFonts w:ascii="Arial;sans-serif" w:hAnsi="Arial;sans-serif"/>
          <w:b/>
          <w:color w:val="000000"/>
          <w:sz w:val="24"/>
        </w:rPr>
        <w:t xml:space="preserve">. </w:t>
      </w:r>
      <w:r>
        <w:rPr>
          <w:rFonts w:ascii="Arial;sans-serif" w:hAnsi="Arial;sans-serif"/>
          <w:b w:val="false"/>
          <w:color w:val="000000"/>
          <w:sz w:val="22"/>
        </w:rPr>
        <w:t>During the Employment Period, Executive shall perform Executive’s duties faithfully and to the best of Executive’s ability and will devote Executive’s full business efforts and time to the Company.</w:t>
      </w:r>
      <w:r>
        <w:rPr>
          <w:color w:val="000000"/>
        </w:rPr>
        <w:t xml:space="preserve"> </w:t>
      </w:r>
      <w:r>
        <w:rPr>
          <w:rFonts w:ascii="Arial;sans-serif" w:hAnsi="Arial;sans-serif"/>
          <w:b w:val="false"/>
          <w:color w:val="000000"/>
          <w:sz w:val="22"/>
        </w:rPr>
        <w:t xml:space="preserve">During the Employment Period, without the prior written approval of Executive’s Supervisor,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Executive shall not render services in any capacity to any other Person and shall not act as a sole proprietor, advisor or partner of any other Person or own more than</w:t>
      </w:r>
      <w:r>
        <w:rPr>
          <w:color w:val="000000"/>
        </w:rPr>
        <w:t xml:space="preserve"> </w:t>
      </w:r>
      <w:r>
        <w:rPr>
          <w:rFonts w:ascii="Arial;sans-serif" w:hAnsi="Arial;sans-serif"/>
          <w:b w:val="false"/>
          <w:color w:val="000000"/>
          <w:sz w:val="22"/>
        </w:rPr>
        <w:t>five percent (5%) of the</w:t>
      </w:r>
      <w:r>
        <w:rPr>
          <w:color w:val="000000"/>
        </w:rPr>
        <w:t xml:space="preserve"> </w:t>
      </w:r>
      <w:r>
        <w:rPr>
          <w:rFonts w:ascii="Arial;sans-serif" w:hAnsi="Arial;sans-serif"/>
          <w:b w:val="false"/>
          <w:color w:val="000000"/>
          <w:sz w:val="22"/>
        </w:rPr>
        <w:t>stock of any other corporation.</w:t>
      </w:r>
      <w:r>
        <w:rPr>
          <w:color w:val="000000"/>
        </w:rPr>
        <w:t xml:space="preserve"> </w:t>
      </w:r>
      <w:r>
        <w:rPr>
          <w:rFonts w:ascii="Arial;sans-serif" w:hAnsi="Arial;sans-serif"/>
          <w:b w:val="false"/>
          <w:color w:val="000000"/>
          <w:sz w:val="22"/>
        </w:rPr>
        <w:t xml:space="preserve">Notwithstanding the </w:t>
      </w:r>
      <w:r>
        <w:rPr>
          <w:rFonts w:ascii="Arial;sans-serif" w:hAnsi="Arial;sans-serif"/>
          <w:b w:val="false"/>
          <w:color w:val="000000"/>
          <w:sz w:val="24"/>
        </w:rPr>
        <w:t xml:space="preserve">foregoing, Executive may serve on civic or charitable boards or committees, deliver </w:t>
      </w:r>
      <w:r>
        <w:rPr>
          <w:rFonts w:ascii="Arial;sans-serif" w:hAnsi="Arial;sans-serif"/>
          <w:b w:val="false"/>
          <w:color w:val="000000"/>
          <w:sz w:val="22"/>
        </w:rPr>
        <w:t>lectures,</w:t>
      </w:r>
      <w:r>
        <w:rPr>
          <w:color w:val="000000"/>
        </w:rPr>
        <w:t xml:space="preserve"> </w:t>
      </w:r>
      <w:r>
        <w:rPr>
          <w:rFonts w:ascii="Arial;sans-serif" w:hAnsi="Arial;sans-serif"/>
          <w:b w:val="false"/>
          <w:color w:val="000000"/>
          <w:sz w:val="22"/>
        </w:rPr>
        <w:t>fulfill</w:t>
      </w:r>
      <w:r>
        <w:rPr>
          <w:color w:val="000000"/>
        </w:rPr>
        <w:t xml:space="preserve"> </w:t>
      </w:r>
      <w:r>
        <w:rPr>
          <w:rFonts w:ascii="Arial;sans-serif" w:hAnsi="Arial;sans-serif"/>
          <w:b w:val="false"/>
          <w:color w:val="000000"/>
          <w:sz w:val="22"/>
        </w:rPr>
        <w:t>speaking</w:t>
      </w:r>
      <w:r>
        <w:rPr>
          <w:color w:val="000000"/>
        </w:rPr>
        <w:t xml:space="preserve"> </w:t>
      </w:r>
      <w:r>
        <w:rPr>
          <w:rFonts w:ascii="Arial;sans-serif" w:hAnsi="Arial;sans-serif"/>
          <w:b w:val="false"/>
          <w:color w:val="000000"/>
          <w:sz w:val="22"/>
        </w:rPr>
        <w:t>engagements,</w:t>
      </w:r>
      <w:r>
        <w:rPr>
          <w:color w:val="000000"/>
        </w:rPr>
        <w:t xml:space="preserve"> </w:t>
      </w:r>
      <w:r>
        <w:rPr>
          <w:rFonts w:ascii="Arial;sans-serif" w:hAnsi="Arial;sans-serif"/>
          <w:b w:val="false"/>
          <w:color w:val="000000"/>
          <w:sz w:val="22"/>
        </w:rPr>
        <w:t>teach</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educational</w:t>
      </w:r>
      <w:r>
        <w:rPr>
          <w:color w:val="000000"/>
        </w:rPr>
        <w:t xml:space="preserve"> </w:t>
      </w:r>
      <w:r>
        <w:rPr>
          <w:rFonts w:ascii="Arial;sans-serif" w:hAnsi="Arial;sans-serif"/>
          <w:b w:val="false"/>
          <w:color w:val="000000"/>
          <w:sz w:val="22"/>
        </w:rPr>
        <w:t>institutions,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manage personal investments without advance written consent of Executive’s Supervisor; provided that such activities do not individually or in the aggregate interfere with the performance of Executive’s duties under this Agreement or create a potential business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fiduciary</w:t>
      </w:r>
      <w:r>
        <w:rPr>
          <w:color w:val="000000"/>
        </w:rPr>
        <w:t xml:space="preserve"> </w:t>
      </w:r>
      <w:r>
        <w:rPr>
          <w:rFonts w:ascii="Arial;sans-serif" w:hAnsi="Arial;sans-serif"/>
          <w:b w:val="false"/>
          <w:color w:val="000000"/>
          <w:sz w:val="22"/>
        </w:rPr>
        <w:t>conflict.</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comply</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policies and rules, as they may be in effect from time to time during Executive’s Employment.</w:t>
      </w:r>
      <w:r>
        <w:rPr>
          <w:color w:val="000000"/>
        </w:rPr>
        <w:t xml:space="preserve"> </w:t>
      </w:r>
      <w:r>
        <w:rPr>
          <w:rFonts w:ascii="Arial;sans-serif" w:hAnsi="Arial;sans-serif"/>
          <w:b w:val="false"/>
          <w:color w:val="000000"/>
          <w:sz w:val="22"/>
        </w:rPr>
        <w:t xml:space="preserve">Executive represents and warrants to the Company that Executive has returned all property and confidential information belonging to any prior </w:t>
      </w:r>
      <w:r>
        <w:rPr>
          <w:rFonts w:ascii="Arial;sans-serif" w:hAnsi="Arial;sans-serif"/>
          <w:b w:val="false"/>
          <w:color w:val="000000"/>
          <w:sz w:val="24"/>
        </w:rPr>
        <w:t>employer.</w:t>
      </w:r>
    </w:p>
    <w:p>
      <w:pPr>
        <w:pStyle w:val="TextBody"/>
        <w:spacing w:before="0" w:after="0"/>
        <w:ind w:left="0" w:right="0" w:firstLine="1540"/>
        <w:jc w:val="both"/>
        <w:rPr/>
      </w:pPr>
      <w:r>
        <w:rPr/>
      </w:r>
    </w:p>
    <w:p>
      <w:pPr>
        <w:pStyle w:val="TextBody"/>
        <w:spacing w:lineRule="auto" w:line="268" w:before="0" w:after="0"/>
        <w:ind w:left="0" w:right="0" w:hanging="360"/>
        <w:rPr/>
      </w:pPr>
      <w:r>
        <w:rPr>
          <w:rFonts w:ascii="Arial;sans-serif" w:hAnsi="Arial;sans-serif"/>
          <w:b/>
          <w:color w:val="000000"/>
          <w:sz w:val="22"/>
        </w:rPr>
        <w:t>2.</w:t>
      </w:r>
      <w:r>
        <w:rPr>
          <w:rFonts w:ascii="Arial;sans-serif" w:hAnsi="Arial;sans-serif"/>
          <w:b/>
          <w:color w:val="000000"/>
          <w:sz w:val="24"/>
          <w:u w:val="single"/>
        </w:rPr>
        <w:t>Cash and Incentive Compensation</w:t>
      </w:r>
      <w:r>
        <w:rPr>
          <w:rFonts w:ascii="Arial;sans-serif" w:hAnsi="Arial;sans-serif"/>
          <w:b/>
          <w:color w:val="000000"/>
          <w:sz w:val="24"/>
        </w:rPr>
        <w:t>.</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a.</w:t>
      </w:r>
      <w:r>
        <w:rPr>
          <w:rFonts w:ascii="Arial;sans-serif" w:hAnsi="Arial;sans-serif"/>
          <w:b/>
          <w:color w:val="000000"/>
          <w:sz w:val="24"/>
          <w:u w:val="single"/>
        </w:rPr>
        <w:t>Base Salary</w:t>
      </w:r>
      <w:r>
        <w:rPr>
          <w:rFonts w:ascii="Arial;sans-serif" w:hAnsi="Arial;sans-serif"/>
          <w:b/>
          <w:color w:val="000000"/>
          <w:sz w:val="24"/>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pay</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compensation</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Executive’s services, a base salary at a gross annual rate of $450,000, less all required tax withholdings and other applicable deductions, in accordance with the Company’s standard payroll procedures.</w:t>
      </w:r>
      <w:r>
        <w:rPr>
          <w:color w:val="000000"/>
        </w:rPr>
        <w:t xml:space="preserve"> </w:t>
      </w:r>
      <w:r>
        <w:rPr>
          <w:rFonts w:ascii="Arial;sans-serif" w:hAnsi="Arial;sans-serif"/>
          <w:b w:val="false"/>
          <w:color w:val="000000"/>
          <w:sz w:val="22"/>
        </w:rPr>
        <w:t>The annual compensation specified in this subsection (a), together with any modifications in such compensation that the Company may make from time to time, is referred to in this Agreement as the “</w:t>
      </w:r>
      <w:r>
        <w:rPr>
          <w:rFonts w:ascii="Arial;sans-serif" w:hAnsi="Arial;sans-serif"/>
          <w:b/>
          <w:i/>
          <w:color w:val="000000"/>
          <w:sz w:val="24"/>
        </w:rPr>
        <w:t>Base Salary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Base</w:t>
      </w:r>
      <w:r>
        <w:rPr>
          <w:color w:val="000000"/>
        </w:rPr>
        <w:t xml:space="preserve"> </w:t>
      </w:r>
      <w:r>
        <w:rPr>
          <w:rFonts w:ascii="Arial;sans-serif" w:hAnsi="Arial;sans-serif"/>
          <w:b w:val="false"/>
          <w:color w:val="000000"/>
          <w:sz w:val="22"/>
        </w:rPr>
        <w:t>Salary</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subject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review</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adjustments that will be made based upon the Company’s normal performance review practices.</w:t>
      </w:r>
      <w:r>
        <w:rPr>
          <w:color w:val="000000"/>
        </w:rPr>
        <w:t xml:space="preserve"> </w:t>
      </w:r>
      <w:r>
        <w:rPr>
          <w:rFonts w:ascii="Arial;sans-serif" w:hAnsi="Arial;sans-serif"/>
          <w:b w:val="false"/>
          <w:color w:val="000000"/>
          <w:sz w:val="22"/>
        </w:rPr>
        <w:t>Effective as of the date of any change to Executive’s Base Salary, the Base Salary as so changed shall be considered the new Base Salary for all purposes of this Agreement.</w:t>
      </w:r>
    </w:p>
    <w:p>
      <w:pPr>
        <w:pStyle w:val="TextBody"/>
        <w:spacing w:before="0" w:after="0"/>
        <w:jc w:val="both"/>
        <w:rPr/>
      </w:pPr>
      <w:r>
        <w:rPr/>
      </w:r>
    </w:p>
    <w:p>
      <w:pPr>
        <w:pStyle w:val="TextBody"/>
        <w:spacing w:lineRule="auto" w:line="276"/>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Cash Incentive Bonus</w:t>
      </w:r>
      <w:r>
        <w:rPr>
          <w:rFonts w:ascii="Arial;sans-serif" w:hAnsi="Arial;sans-serif"/>
          <w:b/>
          <w:color w:val="000000"/>
          <w:sz w:val="24"/>
        </w:rPr>
        <w:t xml:space="preserve">. </w:t>
      </w:r>
      <w:r>
        <w:rPr>
          <w:rFonts w:ascii="Arial;sans-serif" w:hAnsi="Arial;sans-serif"/>
          <w:b w:val="false"/>
          <w:color w:val="000000"/>
          <w:sz w:val="22"/>
        </w:rPr>
        <w:t>Executive will be eligible to</w:t>
      </w:r>
      <w:r>
        <w:rPr>
          <w:color w:val="000000"/>
        </w:rPr>
        <w:t xml:space="preserve"> </w:t>
      </w:r>
      <w:r>
        <w:rPr>
          <w:rFonts w:ascii="Arial;sans-serif" w:hAnsi="Arial;sans-serif"/>
          <w:b w:val="false"/>
          <w:color w:val="000000"/>
          <w:sz w:val="22"/>
        </w:rPr>
        <w:t>be considered</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an</w:t>
      </w:r>
      <w:r>
        <w:rPr>
          <w:color w:val="000000"/>
        </w:rPr>
        <w:t xml:space="preserve"> </w:t>
      </w:r>
      <w:r>
        <w:rPr>
          <w:rFonts w:ascii="Arial;sans-serif" w:hAnsi="Arial;sans-serif"/>
          <w:b w:val="false"/>
          <w:color w:val="000000"/>
          <w:sz w:val="22"/>
        </w:rPr>
        <w:t>annual cash incentive bonus (the “</w:t>
      </w:r>
      <w:r>
        <w:rPr>
          <w:rFonts w:ascii="Arial;sans-serif" w:hAnsi="Arial;sans-serif"/>
          <w:b/>
          <w:i/>
          <w:color w:val="000000"/>
          <w:sz w:val="24"/>
        </w:rPr>
        <w:t>Cash Bonus</w:t>
      </w:r>
      <w:r>
        <w:rPr>
          <w:color w:val="000000"/>
        </w:rPr>
        <w:t>”</w:t>
      </w:r>
      <w:r>
        <w:rPr>
          <w:rFonts w:ascii="Arial;sans-serif" w:hAnsi="Arial;sans-serif"/>
          <w:b w:val="false"/>
          <w:color w:val="000000"/>
          <w:sz w:val="22"/>
        </w:rPr>
        <w:t>) each calendar year during the Employment Period (the</w:t>
      </w:r>
      <w:r>
        <w:rPr>
          <w:color w:val="000000"/>
        </w:rPr>
        <w:t xml:space="preserve"> “</w:t>
      </w:r>
      <w:r>
        <w:rPr>
          <w:rFonts w:ascii="Arial;sans-serif" w:hAnsi="Arial;sans-serif"/>
          <w:b/>
          <w:i/>
          <w:color w:val="000000"/>
          <w:sz w:val="24"/>
        </w:rPr>
        <w:t>Performance Period</w:t>
      </w:r>
      <w:r>
        <w:rPr>
          <w:color w:val="000000"/>
        </w:rPr>
        <w:t>”</w:t>
      </w:r>
      <w:r>
        <w:rPr>
          <w:rFonts w:ascii="Arial;sans-serif" w:hAnsi="Arial;sans-serif"/>
          <w:b w:val="false"/>
          <w:color w:val="000000"/>
          <w:sz w:val="22"/>
        </w:rPr>
        <w:t>) based upon</w:t>
      </w:r>
      <w:r>
        <w:rPr>
          <w:color w:val="000000"/>
        </w:rPr>
        <w:t xml:space="preserve"> </w:t>
      </w:r>
      <w:r>
        <w:rPr>
          <w:rFonts w:ascii="Arial;sans-serif" w:hAnsi="Arial;sans-serif"/>
          <w:b w:val="false"/>
          <w:color w:val="000000"/>
          <w:sz w:val="22"/>
        </w:rPr>
        <w:t>the achievement of certain objective or</w:t>
      </w:r>
      <w:r>
        <w:rPr>
          <w:color w:val="000000"/>
        </w:rPr>
        <w:t xml:space="preserve"> </w:t>
      </w:r>
      <w:r>
        <w:rPr>
          <w:rFonts w:ascii="Arial;sans-serif" w:hAnsi="Arial;sans-serif"/>
          <w:b w:val="false"/>
          <w:color w:val="000000"/>
          <w:sz w:val="22"/>
        </w:rPr>
        <w:t>subjective criteria</w:t>
      </w:r>
      <w:r>
        <w:rPr>
          <w:color w:val="000000"/>
        </w:rPr>
        <w:t xml:space="preserve"> </w:t>
      </w:r>
      <w:r>
        <w:rPr>
          <w:rFonts w:ascii="Arial;sans-serif" w:hAnsi="Arial;sans-serif"/>
          <w:b w:val="false"/>
          <w:color w:val="000000"/>
          <w:sz w:val="22"/>
        </w:rPr>
        <w:t>(collectively, the</w:t>
      </w:r>
      <w:r>
        <w:rPr>
          <w:color w:val="000000"/>
        </w:rPr>
        <w:t xml:space="preserve"> “</w:t>
      </w:r>
      <w:r>
        <w:rPr>
          <w:rFonts w:ascii="Arial;sans-serif" w:hAnsi="Arial;sans-serif"/>
          <w:b/>
          <w:i/>
          <w:color w:val="000000"/>
          <w:sz w:val="24"/>
        </w:rPr>
        <w:t>Performance Goals</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In compliance with all relevant legal requirements and based on Executive’s level within the Company, the Performance Goals for Executive’s Cash Bonus for a particular</w:t>
      </w:r>
      <w:r>
        <w:rPr>
          <w:color w:val="000000"/>
        </w:rPr>
        <w:t xml:space="preserve"> </w:t>
      </w:r>
      <w:r>
        <w:rPr>
          <w:rFonts w:ascii="Arial;sans-serif" w:hAnsi="Arial;sans-serif"/>
          <w:b w:val="false"/>
          <w:color w:val="000000"/>
          <w:sz w:val="22"/>
        </w:rPr>
        <w:t>year</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established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sole</w:t>
      </w:r>
      <w:r>
        <w:rPr>
          <w:color w:val="000000"/>
        </w:rPr>
        <w:t xml:space="preserve"> </w:t>
      </w:r>
      <w:r>
        <w:rPr>
          <w:rFonts w:ascii="Arial;sans-serif" w:hAnsi="Arial;sans-serif"/>
          <w:b w:val="false"/>
          <w:color w:val="000000"/>
          <w:sz w:val="22"/>
        </w:rPr>
        <w:t>discretion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 Board</w:t>
      </w:r>
      <w:r>
        <w:rPr>
          <w:color w:val="000000"/>
        </w:rPr>
        <w:t xml:space="preserve"> </w:t>
      </w:r>
      <w:r>
        <w:rPr>
          <w:rFonts w:ascii="Arial;sans-serif" w:hAnsi="Arial;sans-serif"/>
          <w:b w:val="false"/>
          <w:color w:val="000000"/>
          <w:sz w:val="22"/>
        </w:rPr>
        <w:t>of Directors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i/>
          <w:color w:val="000000"/>
          <w:sz w:val="24"/>
        </w:rPr>
        <w:t>Board</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Compensation</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Board</w:t>
      </w:r>
      <w:r>
        <w:rPr>
          <w:color w:val="000000"/>
        </w:rPr>
        <w:t xml:space="preserve"> </w:t>
      </w:r>
      <w:r>
        <w:rPr>
          <w:rFonts w:ascii="Arial;sans-serif" w:hAnsi="Arial;sans-serif"/>
          <w:b w:val="false"/>
          <w:color w:val="000000"/>
          <w:sz w:val="22"/>
        </w:rPr>
        <w:t>(the “</w:t>
      </w:r>
      <w:r>
        <w:rPr>
          <w:rFonts w:ascii="Arial;sans-serif" w:hAnsi="Arial;sans-serif"/>
          <w:b/>
          <w:i/>
          <w:color w:val="000000"/>
          <w:sz w:val="24"/>
        </w:rPr>
        <w:t>Committee</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delegate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either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Board</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i/>
          <w:color w:val="000000"/>
          <w:sz w:val="24"/>
        </w:rPr>
        <w:t>Delegate</w:t>
      </w:r>
      <w:r>
        <w:rPr>
          <w:color w:val="000000"/>
        </w:rPr>
        <w:t>”</w:t>
      </w:r>
      <w:r>
        <w:rPr>
          <w:rFonts w:ascii="Arial;sans-serif" w:hAnsi="Arial;sans-serif"/>
          <w:b w:val="false"/>
          <w:color w:val="000000"/>
          <w:sz w:val="22"/>
        </w:rPr>
        <w:t>), as</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initial</w:t>
      </w:r>
      <w:r>
        <w:rPr>
          <w:color w:val="000000"/>
        </w:rPr>
        <w:t xml:space="preserve"> </w:t>
      </w:r>
      <w:r>
        <w:rPr>
          <w:rFonts w:ascii="Arial;sans-serif" w:hAnsi="Arial;sans-serif"/>
          <w:b w:val="false"/>
          <w:color w:val="000000"/>
          <w:sz w:val="22"/>
        </w:rPr>
        <w:t>target</w:t>
      </w:r>
      <w:r>
        <w:rPr>
          <w:color w:val="000000"/>
        </w:rPr>
        <w:t xml:space="preserve"> </w:t>
      </w:r>
      <w:r>
        <w:rPr>
          <w:rFonts w:ascii="Arial;sans-serif" w:hAnsi="Arial;sans-serif"/>
          <w:b w:val="false"/>
          <w:color w:val="000000"/>
          <w:sz w:val="22"/>
        </w:rPr>
        <w:t>amount</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Bonus</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up</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60% of</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Base</w:t>
      </w:r>
      <w:r>
        <w:rPr>
          <w:color w:val="000000"/>
        </w:rPr>
        <w:t xml:space="preserve"> </w:t>
      </w:r>
      <w:r>
        <w:rPr>
          <w:rFonts w:ascii="Arial;sans-serif" w:hAnsi="Arial;sans-serif"/>
          <w:b w:val="false"/>
          <w:color w:val="000000"/>
          <w:sz w:val="22"/>
        </w:rPr>
        <w:t>Salary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i/>
          <w:color w:val="000000"/>
          <w:sz w:val="24"/>
        </w:rPr>
        <w:t>Target Bonus Percentage</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less</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tax withholdings and other applicable deductions.</w:t>
      </w:r>
      <w:r>
        <w:rPr>
          <w:color w:val="000000"/>
        </w:rPr>
        <w:t xml:space="preserve"> </w:t>
      </w:r>
      <w:r>
        <w:rPr>
          <w:rFonts w:ascii="Arial;sans-serif" w:hAnsi="Arial;sans-serif"/>
          <w:b w:val="false"/>
          <w:color w:val="000000"/>
          <w:sz w:val="22"/>
        </w:rPr>
        <w:t>The determinations of the Board, the</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Delegate,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respect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Bonus</w:t>
      </w:r>
      <w:r>
        <w:rPr>
          <w:color w:val="000000"/>
        </w:rPr>
        <w:t xml:space="preserve"> </w:t>
      </w:r>
      <w:r>
        <w:rPr>
          <w:rFonts w:ascii="Arial;sans-serif" w:hAnsi="Arial;sans-serif"/>
          <w:b w:val="false"/>
          <w:color w:val="000000"/>
          <w:sz w:val="22"/>
        </w:rPr>
        <w:t>or the</w:t>
      </w:r>
      <w:r>
        <w:rPr>
          <w:color w:val="000000"/>
        </w:rPr>
        <w:t xml:space="preserve"> </w:t>
      </w:r>
      <w:r>
        <w:rPr>
          <w:rFonts w:ascii="Arial;sans-serif" w:hAnsi="Arial;sans-serif"/>
          <w:b w:val="false"/>
          <w:color w:val="000000"/>
          <w:sz w:val="22"/>
        </w:rPr>
        <w:t>Target</w:t>
      </w:r>
      <w:r>
        <w:rPr>
          <w:color w:val="000000"/>
        </w:rPr>
        <w:t xml:space="preserve"> </w:t>
      </w:r>
      <w:r>
        <w:rPr>
          <w:rFonts w:ascii="Arial;sans-serif" w:hAnsi="Arial;sans-serif"/>
          <w:b w:val="false"/>
          <w:color w:val="000000"/>
          <w:sz w:val="22"/>
        </w:rPr>
        <w:t>Bonus</w:t>
      </w:r>
      <w:r>
        <w:rPr>
          <w:color w:val="000000"/>
        </w:rPr>
        <w:t xml:space="preserve"> </w:t>
      </w:r>
      <w:r>
        <w:rPr>
          <w:rFonts w:ascii="Arial;sans-serif" w:hAnsi="Arial;sans-serif"/>
          <w:b w:val="false"/>
          <w:color w:val="000000"/>
          <w:sz w:val="22"/>
        </w:rPr>
        <w:t>Percentage</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final</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binding.</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Target</w:t>
      </w:r>
      <w:r>
        <w:rPr>
          <w:color w:val="000000"/>
        </w:rPr>
        <w:t xml:space="preserve"> </w:t>
      </w:r>
      <w:r>
        <w:rPr>
          <w:rFonts w:ascii="Arial;sans-serif" w:hAnsi="Arial;sans-serif"/>
          <w:b w:val="false"/>
          <w:color w:val="000000"/>
          <w:sz w:val="22"/>
        </w:rPr>
        <w:t>Bonus Percentage</w:t>
      </w:r>
      <w:r>
        <w:rPr>
          <w:color w:val="000000"/>
        </w:rPr>
        <w:t xml:space="preserve"> </w:t>
      </w:r>
      <w:r>
        <w:rPr>
          <w:rFonts w:ascii="Arial;sans-serif" w:hAnsi="Arial;sans-serif"/>
          <w:b w:val="false"/>
          <w:color w:val="000000"/>
          <w:sz w:val="22"/>
        </w:rPr>
        <w:t>for any</w:t>
      </w:r>
      <w:r>
        <w:rPr>
          <w:color w:val="000000"/>
        </w:rPr>
        <w:t xml:space="preserve"> </w:t>
      </w:r>
      <w:r>
        <w:rPr>
          <w:rFonts w:ascii="Arial;sans-serif" w:hAnsi="Arial;sans-serif"/>
          <w:b w:val="false"/>
          <w:color w:val="000000"/>
          <w:sz w:val="22"/>
        </w:rPr>
        <w:t>subsequent year</w:t>
      </w:r>
      <w:r>
        <w:rPr>
          <w:color w:val="000000"/>
        </w:rPr>
        <w:t xml:space="preserve"> </w:t>
      </w:r>
      <w:r>
        <w:rPr>
          <w:rFonts w:ascii="Arial;sans-serif" w:hAnsi="Arial;sans-serif"/>
          <w:b w:val="false"/>
          <w:color w:val="000000"/>
          <w:sz w:val="22"/>
        </w:rPr>
        <w:t>may</w:t>
      </w:r>
      <w:r>
        <w:rPr>
          <w:color w:val="000000"/>
        </w:rPr>
        <w:t xml:space="preserve"> </w:t>
      </w:r>
      <w:r>
        <w:rPr>
          <w:rFonts w:ascii="Arial;sans-serif" w:hAnsi="Arial;sans-serif"/>
          <w:b w:val="false"/>
          <w:color w:val="000000"/>
          <w:sz w:val="22"/>
        </w:rPr>
        <w:t>be adjusted up</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down, as determined in the sole discretion of the Board, the Committee or the Delegate, as applicable. Executive</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earn</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Bonus</w:t>
      </w:r>
      <w:r>
        <w:rPr>
          <w:color w:val="000000"/>
        </w:rPr>
        <w:t xml:space="preserve"> </w:t>
      </w:r>
      <w:r>
        <w:rPr>
          <w:rFonts w:ascii="Arial;sans-serif" w:hAnsi="Arial;sans-serif"/>
          <w:b w:val="false"/>
          <w:color w:val="000000"/>
          <w:sz w:val="22"/>
        </w:rPr>
        <w:t>unless</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(i)</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been</w:t>
      </w:r>
      <w:r>
        <w:rPr>
          <w:color w:val="000000"/>
        </w:rPr>
        <w:t xml:space="preserve"> </w:t>
      </w:r>
      <w:r>
        <w:rPr>
          <w:rFonts w:ascii="Arial;sans-serif" w:hAnsi="Arial;sans-serif"/>
          <w:b w:val="false"/>
          <w:color w:val="000000"/>
          <w:sz w:val="22"/>
        </w:rPr>
        <w:t>employed</w:t>
      </w:r>
      <w:r>
        <w:rPr>
          <w:color w:val="000000"/>
        </w:rPr>
        <w:t xml:space="preserve"> </w:t>
      </w:r>
      <w:r>
        <w:rPr>
          <w:rFonts w:ascii="Arial;sans-serif" w:hAnsi="Arial;sans-serif"/>
          <w:b w:val="false"/>
          <w:color w:val="000000"/>
          <w:sz w:val="22"/>
        </w:rPr>
        <w:t>by the Company for a minimum of three (3) months of the Performance Period and (ii)</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employed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good</w:t>
      </w:r>
      <w:r>
        <w:rPr>
          <w:color w:val="000000"/>
        </w:rPr>
        <w:t xml:space="preserve"> </w:t>
      </w:r>
      <w:r>
        <w:rPr>
          <w:rFonts w:ascii="Arial;sans-serif" w:hAnsi="Arial;sans-serif"/>
          <w:b w:val="false"/>
          <w:color w:val="000000"/>
          <w:sz w:val="22"/>
        </w:rPr>
        <w:t>standing</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when</w:t>
      </w:r>
      <w:r>
        <w:rPr>
          <w:color w:val="000000"/>
        </w:rPr>
        <w:t xml:space="preserve"> </w:t>
      </w:r>
      <w:r>
        <w:rPr>
          <w:rFonts w:ascii="Arial;sans-serif" w:hAnsi="Arial;sans-serif"/>
          <w:b w:val="false"/>
          <w:color w:val="000000"/>
          <w:sz w:val="22"/>
        </w:rPr>
        <w:t xml:space="preserve">such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Bonus</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actually</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been</w:t>
      </w:r>
      <w:r>
        <w:rPr>
          <w:color w:val="000000"/>
        </w:rPr>
        <w:t xml:space="preserve"> </w:t>
      </w:r>
      <w:r>
        <w:rPr>
          <w:rFonts w:ascii="Arial;sans-serif" w:hAnsi="Arial;sans-serif"/>
          <w:b w:val="false"/>
          <w:color w:val="000000"/>
          <w:sz w:val="22"/>
        </w:rPr>
        <w:t>employed 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Performance</w:t>
      </w:r>
      <w:r>
        <w:rPr>
          <w:color w:val="000000"/>
        </w:rPr>
        <w:t xml:space="preserve"> </w:t>
      </w:r>
      <w:r>
        <w:rPr>
          <w:rFonts w:ascii="Arial;sans-serif" w:hAnsi="Arial;sans-serif"/>
          <w:b w:val="false"/>
          <w:color w:val="000000"/>
          <w:sz w:val="22"/>
        </w:rPr>
        <w:t>Period</w:t>
      </w:r>
      <w:r>
        <w:rPr>
          <w:color w:val="000000"/>
        </w:rPr>
        <w:t xml:space="preserve"> </w:t>
      </w:r>
      <w:r>
        <w:rPr>
          <w:rFonts w:ascii="Arial;sans-serif" w:hAnsi="Arial;sans-serif"/>
          <w:b w:val="false"/>
          <w:color w:val="000000"/>
          <w:sz w:val="22"/>
        </w:rPr>
        <w:t>associated</w:t>
      </w:r>
      <w:r>
        <w:rPr>
          <w:color w:val="000000"/>
        </w:rPr>
        <w:t xml:space="preserve"> </w:t>
      </w:r>
      <w:r>
        <w:rPr>
          <w:rFonts w:ascii="Arial;sans-serif" w:hAnsi="Arial;sans-serif"/>
          <w:b w:val="false"/>
          <w:color w:val="000000"/>
          <w:sz w:val="22"/>
        </w:rPr>
        <w:t>with the</w:t>
      </w:r>
      <w:r>
        <w:rPr>
          <w:color w:val="000000"/>
        </w:rPr>
        <w:t xml:space="preserve"> </w:t>
      </w: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Bonus, Executive</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eligible</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Bonus</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year;</w:t>
      </w:r>
      <w:r>
        <w:rPr>
          <w:color w:val="000000"/>
        </w:rPr>
        <w:t xml:space="preserve"> </w:t>
      </w:r>
      <w:r>
        <w:rPr>
          <w:rFonts w:ascii="Arial;sans-serif" w:hAnsi="Arial;sans-serif"/>
          <w:b w:val="false"/>
          <w:color w:val="000000"/>
          <w:sz w:val="22"/>
        </w:rPr>
        <w:t>instead,</w:t>
      </w:r>
      <w:r>
        <w:rPr>
          <w:color w:val="000000"/>
        </w:rPr>
        <w:t xml:space="preserve"> </w:t>
      </w:r>
      <w:r>
        <w:rPr>
          <w:rFonts w:ascii="Arial;sans-serif" w:hAnsi="Arial;sans-serif"/>
          <w:b w:val="false"/>
          <w:color w:val="000000"/>
          <w:sz w:val="22"/>
        </w:rPr>
        <w:t>Executive’s Cash</w:t>
      </w:r>
      <w:r>
        <w:rPr>
          <w:color w:val="000000"/>
        </w:rPr>
        <w:t xml:space="preserve"> </w:t>
      </w:r>
      <w:r>
        <w:rPr>
          <w:rFonts w:ascii="Arial;sans-serif" w:hAnsi="Arial;sans-serif"/>
          <w:b w:val="false"/>
          <w:color w:val="000000"/>
          <w:sz w:val="22"/>
        </w:rPr>
        <w:t>Bonus</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prorated</w:t>
      </w:r>
      <w:r>
        <w:rPr>
          <w:color w:val="000000"/>
        </w:rPr>
        <w:t xml:space="preserve"> </w:t>
      </w:r>
      <w:r>
        <w:rPr>
          <w:rFonts w:ascii="Arial;sans-serif" w:hAnsi="Arial;sans-serif"/>
          <w:b w:val="false"/>
          <w:color w:val="000000"/>
          <w:sz w:val="22"/>
        </w:rPr>
        <w:t>based</w:t>
      </w:r>
      <w:r>
        <w:rPr>
          <w:color w:val="000000"/>
        </w:rPr>
        <w:t xml:space="preserve"> </w:t>
      </w:r>
      <w:r>
        <w:rPr>
          <w:rFonts w:ascii="Arial;sans-serif" w:hAnsi="Arial;sans-serif"/>
          <w:b w:val="false"/>
          <w:color w:val="000000"/>
          <w:sz w:val="22"/>
        </w:rPr>
        <w:t>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number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completed</w:t>
      </w:r>
      <w:r>
        <w:rPr>
          <w:color w:val="000000"/>
        </w:rPr>
        <w:t xml:space="preserve"> </w:t>
      </w:r>
      <w:r>
        <w:rPr>
          <w:rFonts w:ascii="Arial;sans-serif" w:hAnsi="Arial;sans-serif"/>
          <w:b w:val="false"/>
          <w:color w:val="000000"/>
          <w:sz w:val="22"/>
        </w:rPr>
        <w:t>months</w:t>
      </w:r>
      <w:r>
        <w:rPr>
          <w:color w:val="000000"/>
        </w:rPr>
        <w:t xml:space="preserve"> </w:t>
      </w:r>
      <w:r>
        <w:rPr>
          <w:rFonts w:ascii="Arial;sans-serif" w:hAnsi="Arial;sans-serif"/>
          <w:b w:val="false"/>
          <w:color w:val="000000"/>
          <w:sz w:val="22"/>
        </w:rPr>
        <w:t>Executive has been employed with the Company.</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c.</w:t>
      </w:r>
      <w:r>
        <w:rPr>
          <w:rFonts w:ascii="Arial;sans-serif" w:hAnsi="Arial;sans-serif"/>
          <w:b/>
          <w:color w:val="000000"/>
          <w:sz w:val="24"/>
          <w:u w:val="single"/>
        </w:rPr>
        <w:t>Restricted Stock Units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As an inducement for the Executive to accept the offer of employment with the</w:t>
      </w:r>
      <w:r>
        <w:rPr>
          <w:color w:val="000000"/>
        </w:rPr>
        <w:t xml:space="preserve"> </w:t>
      </w:r>
      <w:r>
        <w:rPr>
          <w:rFonts w:ascii="Arial;sans-serif" w:hAnsi="Arial;sans-serif"/>
          <w:b w:val="false"/>
          <w:color w:val="000000"/>
          <w:sz w:val="22"/>
        </w:rPr>
        <w:t>Company as contemplated by this Agreement, subject to the approval of the Board, or the Committee, as applicable, the Company shall grant Executive restricted stock units with a</w:t>
      </w:r>
      <w:r>
        <w:rPr>
          <w:color w:val="000000"/>
        </w:rPr>
        <w:t xml:space="preserve"> </w:t>
      </w:r>
      <w:r>
        <w:rPr>
          <w:rFonts w:ascii="Arial;sans-serif" w:hAnsi="Arial;sans-serif"/>
          <w:b w:val="false"/>
          <w:color w:val="000000"/>
          <w:sz w:val="22"/>
        </w:rPr>
        <w:t>grant date</w:t>
      </w:r>
      <w:r>
        <w:rPr>
          <w:color w:val="000000"/>
        </w:rPr>
        <w:t xml:space="preserve"> </w:t>
      </w:r>
      <w:r>
        <w:rPr>
          <w:rFonts w:ascii="Arial;sans-serif" w:hAnsi="Arial;sans-serif"/>
          <w:b w:val="false"/>
          <w:color w:val="000000"/>
          <w:sz w:val="22"/>
        </w:rPr>
        <w:t>fair value (the</w:t>
      </w:r>
      <w:r>
        <w:rPr>
          <w:color w:val="000000"/>
        </w:rPr>
        <w:t xml:space="preserve"> “</w:t>
      </w:r>
      <w:r>
        <w:rPr>
          <w:rFonts w:ascii="Arial;sans-serif" w:hAnsi="Arial;sans-serif"/>
          <w:b/>
          <w:i/>
          <w:color w:val="000000"/>
          <w:sz w:val="24"/>
        </w:rPr>
        <w:t>RSU Cash Value</w:t>
      </w:r>
      <w:r>
        <w:rPr>
          <w:color w:val="000000"/>
        </w:rPr>
        <w:t>”</w:t>
      </w:r>
      <w:r>
        <w:rPr>
          <w:rFonts w:ascii="Arial;sans-serif" w:hAnsi="Arial;sans-serif"/>
          <w:b w:val="false"/>
          <w:color w:val="000000"/>
          <w:sz w:val="22"/>
        </w:rPr>
        <w:t>) of $8,000,000 (eight million dollars) of the Company’s [Class A] common stock (the “</w:t>
      </w:r>
      <w:r>
        <w:rPr>
          <w:rFonts w:ascii="Arial;sans-serif" w:hAnsi="Arial;sans-serif"/>
          <w:b/>
          <w:i/>
          <w:color w:val="000000"/>
          <w:sz w:val="24"/>
        </w:rPr>
        <w:t>RSU Award</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number of shares subject to the RSU Awards will be</w:t>
      </w:r>
      <w:r>
        <w:rPr>
          <w:color w:val="000000"/>
        </w:rPr>
        <w:t xml:space="preserve"> </w:t>
      </w:r>
      <w:r>
        <w:rPr>
          <w:rFonts w:ascii="Arial;sans-serif" w:hAnsi="Arial;sans-serif"/>
          <w:b w:val="false"/>
          <w:color w:val="000000"/>
          <w:sz w:val="22"/>
        </w:rPr>
        <w:t>determined</w:t>
      </w:r>
      <w:r>
        <w:rPr>
          <w:color w:val="000000"/>
        </w:rPr>
        <w:t xml:space="preserve"> </w:t>
      </w:r>
      <w:r>
        <w:rPr>
          <w:rFonts w:ascii="Arial;sans-serif" w:hAnsi="Arial;sans-serif"/>
          <w:b w:val="false"/>
          <w:color w:val="000000"/>
          <w:sz w:val="22"/>
        </w:rPr>
        <w:t>based</w:t>
      </w:r>
      <w:r>
        <w:rPr>
          <w:color w:val="000000"/>
        </w:rPr>
        <w:t xml:space="preserve"> </w:t>
      </w:r>
      <w:r>
        <w:rPr>
          <w:rFonts w:ascii="Arial;sans-serif" w:hAnsi="Arial;sans-serif"/>
          <w:b w:val="false"/>
          <w:color w:val="000000"/>
          <w:sz w:val="22"/>
        </w:rPr>
        <w:t>on</w:t>
      </w:r>
      <w:r>
        <w:rPr>
          <w:color w:val="000000"/>
        </w:rPr>
        <w:t xml:space="preserve"> </w:t>
      </w:r>
      <w:r>
        <w:rPr>
          <w:rFonts w:ascii="Arial;sans-serif" w:hAnsi="Arial;sans-serif"/>
          <w:b w:val="false"/>
          <w:color w:val="000000"/>
          <w:sz w:val="22"/>
        </w:rPr>
        <w:t>dividing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RSU</w:t>
      </w:r>
      <w:r>
        <w:rPr>
          <w:color w:val="000000"/>
        </w:rPr>
        <w:t xml:space="preserve"> </w:t>
      </w: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Value</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average</w:t>
      </w:r>
      <w:r>
        <w:rPr>
          <w:color w:val="000000"/>
        </w:rPr>
        <w:t xml:space="preserve"> </w:t>
      </w:r>
      <w:r>
        <w:rPr>
          <w:rFonts w:ascii="Arial;sans-serif" w:hAnsi="Arial;sans-serif"/>
          <w:b w:val="false"/>
          <w:color w:val="000000"/>
          <w:sz w:val="22"/>
        </w:rPr>
        <w:t>closing</w:t>
      </w:r>
      <w:r>
        <w:rPr>
          <w:color w:val="000000"/>
        </w:rPr>
        <w:t xml:space="preserve"> </w:t>
      </w:r>
      <w:r>
        <w:rPr>
          <w:rFonts w:ascii="Arial;sans-serif" w:hAnsi="Arial;sans-serif"/>
          <w:b w:val="false"/>
          <w:color w:val="000000"/>
          <w:sz w:val="22"/>
        </w:rPr>
        <w:t>price of a share for the thirty trading days ending on the date of grant, as publicly reported.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RSU Awards shall be</w:t>
      </w:r>
      <w:r>
        <w:rPr>
          <w:color w:val="000000"/>
        </w:rPr>
        <w:t xml:space="preserve"> </w:t>
      </w:r>
      <w:r>
        <w:rPr>
          <w:rFonts w:ascii="Arial;sans-serif" w:hAnsi="Arial;sans-serif"/>
          <w:b w:val="false"/>
          <w:color w:val="000000"/>
          <w:sz w:val="22"/>
        </w:rPr>
        <w:t>granted 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first day</w:t>
      </w:r>
      <w:r>
        <w:rPr>
          <w:color w:val="000000"/>
        </w:rPr>
        <w:t xml:space="preserve"> </w:t>
      </w:r>
      <w:r>
        <w:rPr>
          <w:rFonts w:ascii="Arial;sans-serif" w:hAnsi="Arial;sans-serif"/>
          <w:b w:val="false"/>
          <w:color w:val="000000"/>
          <w:sz w:val="22"/>
        </w:rPr>
        <w:t>of your</w:t>
      </w:r>
      <w:r>
        <w:rPr>
          <w:color w:val="000000"/>
        </w:rPr>
        <w:t xml:space="preserve"> </w:t>
      </w:r>
      <w:r>
        <w:rPr>
          <w:rFonts w:ascii="Arial;sans-serif" w:hAnsi="Arial;sans-serif"/>
          <w:b w:val="false"/>
          <w:color w:val="000000"/>
          <w:sz w:val="22"/>
        </w:rPr>
        <w:t>employment, pending</w:t>
      </w:r>
      <w:r>
        <w:rPr>
          <w:color w:val="000000"/>
        </w:rPr>
        <w:t xml:space="preserve"> </w:t>
      </w:r>
      <w:r>
        <w:rPr>
          <w:rFonts w:ascii="Arial;sans-serif" w:hAnsi="Arial;sans-serif"/>
          <w:b w:val="false"/>
          <w:color w:val="000000"/>
          <w:sz w:val="22"/>
        </w:rPr>
        <w:t>Compensation</w:t>
      </w:r>
      <w:r>
        <w:rPr>
          <w:color w:val="000000"/>
        </w:rPr>
        <w:t xml:space="preserve"> </w:t>
      </w:r>
      <w:r>
        <w:rPr>
          <w:rFonts w:ascii="Arial;sans-serif" w:hAnsi="Arial;sans-serif"/>
          <w:b w:val="false"/>
          <w:color w:val="000000"/>
          <w:sz w:val="22"/>
        </w:rPr>
        <w:t>Committee</w:t>
      </w:r>
      <w:r>
        <w:rPr>
          <w:color w:val="000000"/>
        </w:rPr>
        <w:t xml:space="preserve"> </w:t>
      </w:r>
      <w:r>
        <w:rPr>
          <w:rFonts w:ascii="Arial;sans-serif" w:hAnsi="Arial;sans-serif"/>
          <w:b w:val="false"/>
          <w:color w:val="000000"/>
          <w:sz w:val="22"/>
        </w:rPr>
        <w:t>approval.</w:t>
      </w:r>
      <w:r>
        <w:rPr>
          <w:color w:val="000000"/>
        </w:rPr>
        <w:t xml:space="preserve"> </w:t>
      </w:r>
      <w:r>
        <w:rPr>
          <w:rFonts w:ascii="Arial;sans-serif" w:hAnsi="Arial;sans-serif"/>
          <w:b w:val="false"/>
          <w:color w:val="000000"/>
          <w:sz w:val="22"/>
        </w:rPr>
        <w:t>Subject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vesting</w:t>
      </w:r>
      <w:r>
        <w:rPr>
          <w:color w:val="000000"/>
        </w:rPr>
        <w:t xml:space="preserve"> </w:t>
      </w:r>
      <w:r>
        <w:rPr>
          <w:rFonts w:ascii="Arial;sans-serif" w:hAnsi="Arial;sans-serif"/>
          <w:b w:val="false"/>
          <w:color w:val="000000"/>
          <w:sz w:val="22"/>
        </w:rPr>
        <w:t xml:space="preserve">acceleration rights Executive may have, the RSU Award shall vest and become payable </w:t>
      </w:r>
      <w:r>
        <w:rPr>
          <w:rFonts w:ascii="Times New Roman;sans-serif" w:hAnsi="Times New Roman;sans-serif"/>
          <w:b w:val="false"/>
          <w:color w:val="000000"/>
          <w:sz w:val="24"/>
        </w:rPr>
        <w:t>over four (4) years from Executive’s start date in equal annual installments over the four (4) years on the anniversary of the start date</w:t>
      </w:r>
      <w:r>
        <w:rPr>
          <w:rFonts w:ascii="Arial;sans-serif" w:hAnsi="Arial;sans-serif"/>
          <w:b w:val="false"/>
          <w:color w:val="000000"/>
          <w:sz w:val="22"/>
        </w:rPr>
        <w:t>, subject to Executive continuing to provide services</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through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relevant</w:t>
      </w:r>
      <w:r>
        <w:rPr>
          <w:color w:val="000000"/>
        </w:rPr>
        <w:t xml:space="preserve"> </w:t>
      </w:r>
      <w:r>
        <w:rPr>
          <w:rFonts w:ascii="Arial;sans-serif" w:hAnsi="Arial;sans-serif"/>
          <w:b w:val="false"/>
          <w:color w:val="000000"/>
          <w:sz w:val="22"/>
        </w:rPr>
        <w:t>vesting</w:t>
      </w:r>
      <w:r>
        <w:rPr>
          <w:color w:val="000000"/>
        </w:rPr>
        <w:t xml:space="preserve"> </w:t>
      </w:r>
      <w:r>
        <w:rPr>
          <w:rFonts w:ascii="Arial;sans-serif" w:hAnsi="Arial;sans-serif"/>
          <w:b w:val="false"/>
          <w:color w:val="000000"/>
          <w:sz w:val="22"/>
        </w:rPr>
        <w:t>dates.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RSU</w:t>
      </w:r>
      <w:r>
        <w:rPr>
          <w:color w:val="000000"/>
        </w:rPr>
        <w:t xml:space="preserve"> </w:t>
      </w:r>
      <w:r>
        <w:rPr>
          <w:rFonts w:ascii="Arial;sans-serif" w:hAnsi="Arial;sans-serif"/>
          <w:b w:val="false"/>
          <w:color w:val="000000"/>
          <w:sz w:val="22"/>
        </w:rPr>
        <w:t>Award</w:t>
      </w:r>
      <w:r>
        <w:rPr>
          <w:color w:val="000000"/>
        </w:rPr>
        <w:t xml:space="preserve"> </w:t>
      </w:r>
      <w:r>
        <w:rPr>
          <w:rFonts w:ascii="Arial;sans-serif" w:hAnsi="Arial;sans-serif"/>
          <w:b w:val="false"/>
          <w:color w:val="000000"/>
          <w:sz w:val="22"/>
        </w:rPr>
        <w:t>will be subject to the terms, definitions and provisions of the applicable equity plan of 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restricted</w:t>
      </w:r>
      <w:r>
        <w:rPr>
          <w:color w:val="000000"/>
        </w:rPr>
        <w:t xml:space="preserve"> </w:t>
      </w:r>
      <w:r>
        <w:rPr>
          <w:rFonts w:ascii="Arial;sans-serif" w:hAnsi="Arial;sans-serif"/>
          <w:b w:val="false"/>
          <w:color w:val="000000"/>
          <w:sz w:val="22"/>
        </w:rPr>
        <w:t>stock</w:t>
      </w:r>
      <w:r>
        <w:rPr>
          <w:color w:val="000000"/>
        </w:rPr>
        <w:t xml:space="preserve"> </w:t>
      </w:r>
      <w:r>
        <w:rPr>
          <w:rFonts w:ascii="Arial;sans-serif" w:hAnsi="Arial;sans-serif"/>
          <w:b w:val="false"/>
          <w:color w:val="000000"/>
          <w:sz w:val="22"/>
        </w:rPr>
        <w:t>unit</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between</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and 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i/>
          <w:color w:val="000000"/>
          <w:sz w:val="24"/>
        </w:rPr>
        <w:t>RSU Agreement</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addition,</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future</w:t>
      </w:r>
      <w:r>
        <w:rPr>
          <w:color w:val="000000"/>
        </w:rPr>
        <w:t xml:space="preserve"> </w:t>
      </w:r>
      <w:r>
        <w:rPr>
          <w:rFonts w:ascii="Arial;sans-serif" w:hAnsi="Arial;sans-serif"/>
          <w:b w:val="false"/>
          <w:color w:val="000000"/>
          <w:sz w:val="22"/>
        </w:rPr>
        <w:t>years,</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 xml:space="preserve">will be eligible for a target Annual Award (the </w:t>
      </w:r>
      <w:r>
        <w:rPr>
          <w:color w:val="000000"/>
        </w:rPr>
        <w:t>“</w:t>
      </w:r>
      <w:r>
        <w:rPr>
          <w:rFonts w:ascii="Arial;sans-serif" w:hAnsi="Arial;sans-serif"/>
          <w:b/>
          <w:i/>
          <w:color w:val="000000"/>
          <w:sz w:val="24"/>
        </w:rPr>
        <w:t>Annual Award”</w:t>
      </w:r>
      <w:r>
        <w:rPr>
          <w:rFonts w:ascii="Arial;sans-serif" w:hAnsi="Arial;sans-serif"/>
          <w:b w:val="false"/>
          <w:color w:val="000000"/>
          <w:sz w:val="22"/>
        </w:rPr>
        <w:t>) in the form of a combination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restricted</w:t>
      </w:r>
      <w:r>
        <w:rPr>
          <w:color w:val="000000"/>
        </w:rPr>
        <w:t xml:space="preserve"> </w:t>
      </w:r>
      <w:r>
        <w:rPr>
          <w:rFonts w:ascii="Arial;sans-serif" w:hAnsi="Arial;sans-serif"/>
          <w:b w:val="false"/>
          <w:color w:val="000000"/>
          <w:sz w:val="22"/>
        </w:rPr>
        <w:t>stock</w:t>
      </w:r>
      <w:r>
        <w:rPr>
          <w:color w:val="000000"/>
        </w:rPr>
        <w:t xml:space="preserve"> </w:t>
      </w:r>
      <w:r>
        <w:rPr>
          <w:rFonts w:ascii="Arial;sans-serif" w:hAnsi="Arial;sans-serif"/>
          <w:b w:val="false"/>
          <w:color w:val="000000"/>
          <w:sz w:val="22"/>
        </w:rPr>
        <w:t>units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performance</w:t>
      </w:r>
      <w:r>
        <w:rPr>
          <w:color w:val="000000"/>
        </w:rPr>
        <w:t xml:space="preserve"> </w:t>
      </w:r>
      <w:r>
        <w:rPr>
          <w:rFonts w:ascii="Arial;sans-serif" w:hAnsi="Arial;sans-serif"/>
          <w:b w:val="false"/>
          <w:color w:val="000000"/>
          <w:sz w:val="22"/>
        </w:rPr>
        <w:t>stock</w:t>
      </w:r>
      <w:r>
        <w:rPr>
          <w:color w:val="000000"/>
        </w:rPr>
        <w:t xml:space="preserve"> </w:t>
      </w:r>
      <w:r>
        <w:rPr>
          <w:rFonts w:ascii="Arial;sans-serif" w:hAnsi="Arial;sans-serif"/>
          <w:b w:val="false"/>
          <w:color w:val="000000"/>
          <w:sz w:val="22"/>
        </w:rPr>
        <w:t>units</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combined grant date fair value of $2,000,000 (two million dollars) and future awards under the</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2020</w:t>
      </w:r>
      <w:r>
        <w:rPr>
          <w:color w:val="000000"/>
        </w:rPr>
        <w:t xml:space="preserve"> </w:t>
      </w:r>
      <w:r>
        <w:rPr>
          <w:rFonts w:ascii="Arial;sans-serif" w:hAnsi="Arial;sans-serif"/>
          <w:b w:val="false"/>
          <w:color w:val="000000"/>
          <w:sz w:val="22"/>
        </w:rPr>
        <w:t>Equity</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line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your</w:t>
      </w:r>
      <w:r>
        <w:rPr>
          <w:color w:val="000000"/>
        </w:rPr>
        <w:t xml:space="preserve"> </w:t>
      </w:r>
      <w:r>
        <w:rPr>
          <w:rFonts w:ascii="Arial;sans-serif" w:hAnsi="Arial;sans-serif"/>
          <w:b w:val="false"/>
          <w:color w:val="000000"/>
          <w:sz w:val="22"/>
        </w:rPr>
        <w:t>peers,</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determined in the sole discretion of the Committee.</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3.</w:t>
      </w:r>
      <w:r>
        <w:rPr>
          <w:rFonts w:ascii="Arial;sans-serif" w:hAnsi="Arial;sans-serif"/>
          <w:b/>
          <w:color w:val="000000"/>
          <w:sz w:val="24"/>
          <w:u w:val="single"/>
        </w:rPr>
        <w:t>Employee Benefits</w:t>
      </w:r>
      <w:r>
        <w:rPr>
          <w:rFonts w:ascii="Arial;sans-serif" w:hAnsi="Arial;sans-serif"/>
          <w:b/>
          <w:color w:val="000000"/>
          <w:sz w:val="24"/>
        </w:rPr>
        <w:t xml:space="preserve">. </w:t>
      </w:r>
      <w:r>
        <w:rPr>
          <w:rFonts w:ascii="Arial;sans-serif" w:hAnsi="Arial;sans-serif"/>
          <w:b w:val="false"/>
          <w:color w:val="000000"/>
          <w:sz w:val="22"/>
        </w:rPr>
        <w:t>During the Employment Period, Executive shall be eligible to (a) receive</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off</w:t>
      </w:r>
      <w:r>
        <w:rPr>
          <w:color w:val="000000"/>
        </w:rPr>
        <w:t xml:space="preserve"> </w:t>
      </w:r>
      <w:r>
        <w:rPr>
          <w:rFonts w:ascii="Arial;sans-serif" w:hAnsi="Arial;sans-serif"/>
          <w:b w:val="false"/>
          <w:color w:val="000000"/>
          <w:sz w:val="22"/>
        </w:rPr>
        <w:t>(“</w:t>
      </w:r>
      <w:r>
        <w:rPr>
          <w:rFonts w:ascii="Arial;sans-serif" w:hAnsi="Arial;sans-serif"/>
          <w:b/>
          <w:i/>
          <w:color w:val="000000"/>
          <w:sz w:val="24"/>
        </w:rPr>
        <w:t>PTO</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PTO</w:t>
      </w:r>
      <w:r>
        <w:rPr>
          <w:color w:val="000000"/>
        </w:rPr>
        <w:t xml:space="preserve"> </w:t>
      </w:r>
      <w:r>
        <w:rPr>
          <w:rFonts w:ascii="Arial;sans-serif" w:hAnsi="Arial;sans-serif"/>
          <w:b w:val="false"/>
          <w:color w:val="000000"/>
          <w:sz w:val="22"/>
        </w:rPr>
        <w:t>policy, as</w:t>
      </w:r>
      <w:r>
        <w:rPr>
          <w:color w:val="000000"/>
        </w:rPr>
        <w:t xml:space="preserve"> </w:t>
      </w:r>
      <w:r>
        <w:rPr>
          <w:rFonts w:ascii="Arial;sans-serif" w:hAnsi="Arial;sans-serif"/>
          <w:b w:val="false"/>
          <w:color w:val="000000"/>
          <w:sz w:val="22"/>
        </w:rPr>
        <w:t>it</w:t>
      </w:r>
      <w:r>
        <w:rPr>
          <w:color w:val="000000"/>
        </w:rPr>
        <w:t xml:space="preserve"> </w:t>
      </w:r>
      <w:r>
        <w:rPr>
          <w:rFonts w:ascii="Arial;sans-serif" w:hAnsi="Arial;sans-serif"/>
          <w:b w:val="false"/>
          <w:color w:val="000000"/>
          <w:sz w:val="22"/>
        </w:rPr>
        <w:t>may</w:t>
      </w:r>
      <w:r>
        <w:rPr>
          <w:color w:val="000000"/>
        </w:rPr>
        <w:t xml:space="preserve"> </w:t>
      </w:r>
      <w:r>
        <w:rPr>
          <w:rFonts w:ascii="Arial;sans-serif" w:hAnsi="Arial;sans-serif"/>
          <w:b w:val="false"/>
          <w:color w:val="000000"/>
          <w:sz w:val="22"/>
        </w:rPr>
        <w:t>be amended from time to time and (b) participate in the employee benefit plans maintained 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generally</w:t>
      </w:r>
      <w:r>
        <w:rPr>
          <w:color w:val="000000"/>
        </w:rPr>
        <w:t xml:space="preserve"> </w:t>
      </w:r>
      <w:r>
        <w:rPr>
          <w:rFonts w:ascii="Arial;sans-serif" w:hAnsi="Arial;sans-serif"/>
          <w:b w:val="false"/>
          <w:color w:val="000000"/>
          <w:sz w:val="22"/>
        </w:rPr>
        <w:t>available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similarly</w:t>
      </w:r>
      <w:r>
        <w:rPr>
          <w:color w:val="000000"/>
        </w:rPr>
        <w:t xml:space="preserve"> </w:t>
      </w:r>
      <w:r>
        <w:rPr>
          <w:rFonts w:ascii="Arial;sans-serif" w:hAnsi="Arial;sans-serif"/>
          <w:b w:val="false"/>
          <w:color w:val="000000"/>
          <w:sz w:val="22"/>
        </w:rPr>
        <w:t>situated</w:t>
      </w:r>
      <w:r>
        <w:rPr>
          <w:color w:val="000000"/>
        </w:rPr>
        <w:t xml:space="preserve"> </w:t>
      </w:r>
      <w:r>
        <w:rPr>
          <w:rFonts w:ascii="Arial;sans-serif" w:hAnsi="Arial;sans-serif"/>
          <w:b w:val="false"/>
          <w:color w:val="000000"/>
          <w:sz w:val="22"/>
        </w:rPr>
        <w:t>employees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subject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each</w:t>
      </w:r>
      <w:r>
        <w:rPr>
          <w:color w:val="000000"/>
        </w:rPr>
        <w:t xml:space="preserve"> </w:t>
      </w:r>
      <w:r>
        <w:rPr>
          <w:rFonts w:ascii="Arial;sans-serif" w:hAnsi="Arial;sans-serif"/>
          <w:b w:val="false"/>
          <w:color w:val="000000"/>
          <w:sz w:val="22"/>
        </w:rPr>
        <w:t>case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generally</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conditions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policy in question and to the determinations of any Person or committee administering such employee</w:t>
      </w:r>
      <w:r>
        <w:rPr>
          <w:color w:val="000000"/>
        </w:rPr>
        <w:t xml:space="preserve"> </w:t>
      </w:r>
      <w:r>
        <w:rPr>
          <w:rFonts w:ascii="Arial;sans-serif" w:hAnsi="Arial;sans-serif"/>
          <w:b w:val="false"/>
          <w:color w:val="000000"/>
          <w:sz w:val="22"/>
        </w:rPr>
        <w:t>benefit</w:t>
      </w:r>
      <w:r>
        <w:rPr>
          <w:color w:val="000000"/>
        </w:rPr>
        <w:t xml:space="preserve"> </w:t>
      </w:r>
      <w:r>
        <w:rPr>
          <w:rFonts w:ascii="Arial;sans-serif" w:hAnsi="Arial;sans-serif"/>
          <w:b w:val="false"/>
          <w:color w:val="000000"/>
          <w:sz w:val="22"/>
        </w:rPr>
        <w:t>plan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policy.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reserves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right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cancel</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the employee benefit plans, policies and programs it offers to its employees at any time.</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4.</w:t>
      </w:r>
      <w:r>
        <w:rPr>
          <w:rFonts w:ascii="Arial;sans-serif" w:hAnsi="Arial;sans-serif"/>
          <w:b/>
          <w:color w:val="000000"/>
          <w:sz w:val="24"/>
          <w:u w:val="single"/>
        </w:rPr>
        <w:t>Business Expenses</w:t>
      </w:r>
      <w:r>
        <w:rPr>
          <w:rFonts w:ascii="Arial;sans-serif" w:hAnsi="Arial;sans-serif"/>
          <w:b/>
          <w:color w:val="000000"/>
          <w:sz w:val="24"/>
        </w:rPr>
        <w:t xml:space="preserve">. </w:t>
      </w:r>
      <w:r>
        <w:rPr>
          <w:rFonts w:ascii="Arial;sans-serif" w:hAnsi="Arial;sans-serif"/>
          <w:b w:val="false"/>
          <w:color w:val="000000"/>
          <w:sz w:val="22"/>
        </w:rPr>
        <w:t>The Company will reimburse Executive for necessary and reasonable business expenses incurred in connection with Executive’s duties hereunder upon presentation of an itemized account and appropriate supporting documentation, all in accordance with the Company’s generally applicable expense reimbursement policies as in effect from to time.</w:t>
      </w:r>
    </w:p>
    <w:p>
      <w:pPr>
        <w:pStyle w:val="TextBody"/>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hanging="360"/>
        <w:jc w:val="both"/>
        <w:rPr/>
      </w:pPr>
      <w:r>
        <w:rPr>
          <w:rFonts w:ascii="Arial;sans-serif" w:hAnsi="Arial;sans-serif"/>
          <w:b w:val="false"/>
          <w:color w:val="000000"/>
          <w:sz w:val="22"/>
        </w:rPr>
        <w:t>5.</w:t>
      </w:r>
      <w:r>
        <w:rPr>
          <w:rFonts w:ascii="Arial;sans-serif" w:hAnsi="Arial;sans-serif"/>
          <w:b/>
          <w:color w:val="000000"/>
          <w:sz w:val="24"/>
          <w:u w:val="single"/>
        </w:rPr>
        <w:t>Rights Upon Termination</w:t>
      </w:r>
      <w:r>
        <w:rPr>
          <w:rFonts w:ascii="Arial;sans-serif" w:hAnsi="Arial;sans-serif"/>
          <w:b/>
          <w:color w:val="000000"/>
          <w:sz w:val="24"/>
        </w:rPr>
        <w:t xml:space="preserve">. </w:t>
      </w:r>
      <w:r>
        <w:rPr>
          <w:rFonts w:ascii="Arial;sans-serif" w:hAnsi="Arial;sans-serif"/>
          <w:b w:val="false"/>
          <w:color w:val="000000"/>
          <w:sz w:val="22"/>
        </w:rPr>
        <w:t>Except as expressly provided in Section 6, upon the termination of Executive’s Employment, for</w:t>
      </w:r>
      <w:r>
        <w:rPr>
          <w:color w:val="000000"/>
        </w:rPr>
        <w:t xml:space="preserve"> </w:t>
      </w:r>
      <w:r>
        <w:rPr>
          <w:rFonts w:ascii="Arial;sans-serif" w:hAnsi="Arial;sans-serif"/>
          <w:b w:val="false"/>
          <w:color w:val="000000"/>
          <w:sz w:val="22"/>
        </w:rPr>
        <w:t>the period preceding the</w:t>
      </w:r>
      <w:r>
        <w:rPr>
          <w:color w:val="000000"/>
        </w:rPr>
        <w:t xml:space="preserve"> </w:t>
      </w:r>
      <w:r>
        <w:rPr>
          <w:rFonts w:ascii="Arial;sans-serif" w:hAnsi="Arial;sans-serif"/>
          <w:b w:val="false"/>
          <w:color w:val="000000"/>
          <w:sz w:val="22"/>
        </w:rPr>
        <w:t>effective date of the termination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only</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entitled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(i)</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accrued but unpaid Base Salary compensation and PTO, (ii) the reimbursements for outstanding and unpaid business expenses described in Section 4 of this Agreement, and (iii) such other vested benefits earned under any Company-provided plans, policies, and arrangements in accordance with the governing documents and policies of any such, plans, policies and arrangements (collectively, the “</w:t>
      </w:r>
      <w:r>
        <w:rPr>
          <w:rFonts w:ascii="Arial;sans-serif" w:hAnsi="Arial;sans-serif"/>
          <w:b/>
          <w:i/>
          <w:color w:val="000000"/>
          <w:sz w:val="24"/>
        </w:rPr>
        <w:t>Accrued Benefits</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 Accrued Benefits described in clauses (i) and (ii) of the preceding sentence shall be paid within thirty (30) days after the date of termination of Executive’s Employment (or such earlier date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may</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Accrued</w:t>
      </w:r>
      <w:r>
        <w:rPr>
          <w:color w:val="000000"/>
        </w:rPr>
        <w:t xml:space="preserve"> </w:t>
      </w:r>
      <w:r>
        <w:rPr>
          <w:rFonts w:ascii="Arial;sans-serif" w:hAnsi="Arial;sans-serif"/>
          <w:b w:val="false"/>
          <w:color w:val="000000"/>
          <w:sz w:val="22"/>
        </w:rPr>
        <w:t>Benefits</w:t>
      </w:r>
      <w:r>
        <w:rPr>
          <w:color w:val="000000"/>
        </w:rPr>
        <w:t xml:space="preserve"> </w:t>
      </w:r>
      <w:r>
        <w:rPr>
          <w:rFonts w:ascii="Arial;sans-serif" w:hAnsi="Arial;sans-serif"/>
          <w:b w:val="false"/>
          <w:color w:val="000000"/>
          <w:sz w:val="22"/>
        </w:rPr>
        <w:t>described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4"/>
        </w:rPr>
        <w:t xml:space="preserve">clause </w:t>
      </w:r>
      <w:r>
        <w:rPr>
          <w:rFonts w:ascii="Arial;sans-serif" w:hAnsi="Arial;sans-serif"/>
          <w:b w:val="false"/>
          <w:color w:val="000000"/>
          <w:sz w:val="22"/>
        </w:rPr>
        <w:t>(iii)</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preceding</w:t>
      </w:r>
      <w:r>
        <w:rPr>
          <w:color w:val="000000"/>
        </w:rPr>
        <w:t xml:space="preserve"> </w:t>
      </w:r>
      <w:r>
        <w:rPr>
          <w:rFonts w:ascii="Arial;sans-serif" w:hAnsi="Arial;sans-serif"/>
          <w:b w:val="false"/>
          <w:color w:val="000000"/>
          <w:sz w:val="22"/>
        </w:rPr>
        <w:t>sentence</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governing plan, policy or arrangement.</w:t>
      </w:r>
    </w:p>
    <w:p>
      <w:pPr>
        <w:pStyle w:val="TextBody"/>
        <w:spacing w:before="0" w:after="0"/>
        <w:ind w:left="0" w:right="0" w:firstLine="820"/>
        <w:jc w:val="both"/>
        <w:rPr/>
      </w:pPr>
      <w:r>
        <w:rPr/>
      </w:r>
    </w:p>
    <w:p>
      <w:pPr>
        <w:pStyle w:val="TextBody"/>
        <w:spacing w:lineRule="auto" w:line="268" w:before="0" w:after="0"/>
        <w:ind w:left="0" w:right="0" w:hanging="360"/>
        <w:rPr/>
      </w:pPr>
      <w:r>
        <w:rPr>
          <w:rFonts w:ascii="Arial;sans-serif" w:hAnsi="Arial;sans-serif"/>
          <w:b/>
          <w:color w:val="000000"/>
          <w:sz w:val="22"/>
        </w:rPr>
        <w:t>6.</w:t>
      </w:r>
      <w:r>
        <w:rPr>
          <w:rFonts w:ascii="Arial;sans-serif" w:hAnsi="Arial;sans-serif"/>
          <w:b/>
          <w:color w:val="000000"/>
          <w:sz w:val="24"/>
          <w:u w:val="single"/>
        </w:rPr>
        <w:t>Termination Benefits.</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a.</w:t>
      </w:r>
      <w:r>
        <w:rPr>
          <w:rFonts w:ascii="Arial;sans-serif" w:hAnsi="Arial;sans-serif"/>
          <w:b/>
          <w:color w:val="000000"/>
          <w:sz w:val="24"/>
          <w:u w:val="single"/>
        </w:rPr>
        <w:t>Termination without Cause outside of Change in Control Protection Period</w:t>
      </w:r>
      <w:r>
        <w:rPr>
          <w:rFonts w:ascii="Arial;sans-serif" w:hAnsi="Arial;sans-serif"/>
          <w:b w:val="false"/>
          <w:color w:val="000000"/>
          <w:sz w:val="22"/>
        </w:rPr>
        <w:t>. If the Company (or any parent, subsidiary or successor of the Company) terminates Executive’s employment with the Company for a reason other than (i) Cause, (ii) Executive becoming Disabled or (iii) Executive’s death, in each case, outside of the Change in Control Protection Period, then, subject to Section 7 (other than with respect to the Accrued Benefits), Executive will be entitled to</w:t>
      </w:r>
      <w:r>
        <w:rPr>
          <w:color w:val="000000"/>
        </w:rPr>
        <w:t xml:space="preserve"> </w:t>
      </w:r>
      <w:r>
        <w:rPr>
          <w:rFonts w:ascii="Arial;sans-serif" w:hAnsi="Arial;sans-serif"/>
          <w:b w:val="false"/>
          <w:color w:val="000000"/>
          <w:sz w:val="22"/>
        </w:rPr>
        <w:t xml:space="preserve">the </w:t>
      </w:r>
      <w:r>
        <w:rPr>
          <w:rFonts w:ascii="Arial;sans-serif" w:hAnsi="Arial;sans-serif"/>
          <w:b w:val="false"/>
          <w:color w:val="000000"/>
          <w:sz w:val="24"/>
        </w:rPr>
        <w:t>following:</w:t>
      </w:r>
    </w:p>
    <w:p>
      <w:pPr>
        <w:pStyle w:val="TextBody"/>
        <w:spacing w:before="0" w:after="0"/>
        <w:jc w:val="both"/>
        <w:rPr/>
      </w:pPr>
      <w:r>
        <w:rPr/>
      </w:r>
    </w:p>
    <w:p>
      <w:pPr>
        <w:pStyle w:val="TextBody"/>
        <w:spacing w:lineRule="auto" w:line="271" w:before="0" w:after="0"/>
        <w:ind w:left="0" w:right="0" w:hanging="470"/>
        <w:jc w:val="both"/>
        <w:rPr/>
      </w:pPr>
      <w:r>
        <w:rPr>
          <w:rFonts w:ascii="Arial;sans-serif" w:hAnsi="Arial;sans-serif"/>
          <w:b w:val="false"/>
          <w:color w:val="000000"/>
          <w:sz w:val="22"/>
        </w:rPr>
        <w:t>i.</w:t>
      </w:r>
      <w:r>
        <w:rPr>
          <w:rFonts w:ascii="Arial;sans-serif" w:hAnsi="Arial;sans-serif"/>
          <w:b w:val="false"/>
          <w:color w:val="000000"/>
          <w:sz w:val="24"/>
          <w:u w:val="single"/>
        </w:rPr>
        <w:t>Accrued Compensation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The Company will pay Executive all Accrued </w:t>
      </w:r>
      <w:r>
        <w:rPr>
          <w:rFonts w:ascii="Arial;sans-serif" w:hAnsi="Arial;sans-serif"/>
          <w:b w:val="false"/>
          <w:color w:val="000000"/>
          <w:sz w:val="24"/>
        </w:rPr>
        <w:t>Benefits.</w:t>
      </w:r>
    </w:p>
    <w:p>
      <w:pPr>
        <w:pStyle w:val="TextBody"/>
        <w:spacing w:before="0" w:after="0"/>
        <w:jc w:val="both"/>
        <w:rPr/>
      </w:pPr>
      <w:r>
        <w:rPr/>
      </w:r>
    </w:p>
    <w:p>
      <w:pPr>
        <w:pStyle w:val="TextBody"/>
        <w:spacing w:lineRule="auto" w:line="276" w:before="0" w:after="0"/>
        <w:ind w:left="0" w:right="0" w:hanging="519"/>
        <w:jc w:val="both"/>
        <w:rPr/>
      </w:pPr>
      <w:r>
        <w:rPr>
          <w:rFonts w:ascii="Arial;sans-serif" w:hAnsi="Arial;sans-serif"/>
          <w:b w:val="false"/>
          <w:color w:val="000000"/>
          <w:sz w:val="22"/>
        </w:rPr>
        <w:t>ii.</w:t>
      </w:r>
      <w:r>
        <w:rPr>
          <w:rFonts w:ascii="Arial;sans-serif" w:hAnsi="Arial;sans-serif"/>
          <w:b w:val="false"/>
          <w:color w:val="000000"/>
          <w:sz w:val="24"/>
          <w:u w:val="single"/>
        </w:rPr>
        <w:t>Severance Payment</w:t>
      </w:r>
      <w:r>
        <w:rPr>
          <w:rFonts w:ascii="Arial;sans-serif" w:hAnsi="Arial;sans-serif"/>
          <w:b w:val="false"/>
          <w:color w:val="000000"/>
          <w:sz w:val="22"/>
        </w:rPr>
        <w:t>. In exchange for Executive timely signing and not revoking the Release in accordance with the terms therein and in this Agreement, Executive will receive semi-monthly continuing payments of severance</w:t>
      </w:r>
      <w:r>
        <w:rPr>
          <w:color w:val="000000"/>
        </w:rPr>
        <w:t xml:space="preserve"> </w:t>
      </w:r>
      <w:r>
        <w:rPr>
          <w:rFonts w:ascii="Arial;sans-serif" w:hAnsi="Arial;sans-serif"/>
          <w:b w:val="false"/>
          <w:color w:val="000000"/>
          <w:sz w:val="22"/>
        </w:rPr>
        <w:t>pay</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rate</w:t>
      </w:r>
      <w:r>
        <w:rPr>
          <w:color w:val="000000"/>
        </w:rPr>
        <w:t xml:space="preserve"> </w:t>
      </w:r>
      <w:r>
        <w:rPr>
          <w:rFonts w:ascii="Arial;sans-serif" w:hAnsi="Arial;sans-serif"/>
          <w:b w:val="false"/>
          <w:color w:val="000000"/>
          <w:sz w:val="22"/>
        </w:rPr>
        <w:t>equal</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Base</w:t>
      </w:r>
      <w:r>
        <w:rPr>
          <w:color w:val="000000"/>
        </w:rPr>
        <w:t xml:space="preserve"> </w:t>
      </w:r>
      <w:r>
        <w:rPr>
          <w:rFonts w:ascii="Arial;sans-serif" w:hAnsi="Arial;sans-serif"/>
          <w:b w:val="false"/>
          <w:color w:val="000000"/>
          <w:sz w:val="22"/>
        </w:rPr>
        <w:t>Salary,</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then</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effect, for twelve (12) months (the “</w:t>
      </w:r>
      <w:r>
        <w:rPr>
          <w:rFonts w:ascii="Arial;sans-serif" w:hAnsi="Arial;sans-serif"/>
          <w:b/>
          <w:i/>
          <w:color w:val="000000"/>
          <w:sz w:val="24"/>
        </w:rPr>
        <w:t>Severance Period</w:t>
      </w:r>
      <w:r>
        <w:rPr>
          <w:color w:val="000000"/>
        </w:rPr>
        <w:t>”</w:t>
      </w:r>
      <w:r>
        <w:rPr>
          <w:rFonts w:ascii="Arial;sans-serif" w:hAnsi="Arial;sans-serif"/>
          <w:b w:val="false"/>
          <w:color w:val="000000"/>
          <w:sz w:val="22"/>
        </w:rPr>
        <w:t>), less all required tax withholdings and other applicable deductions, which will be paid in accordance with the Company’s regular payroll procedures commencing 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Release</w:t>
      </w:r>
      <w:r>
        <w:rPr>
          <w:color w:val="000000"/>
        </w:rPr>
        <w:t xml:space="preserve"> </w:t>
      </w:r>
      <w:r>
        <w:rPr>
          <w:rFonts w:ascii="Arial;sans-serif" w:hAnsi="Arial;sans-serif"/>
          <w:b w:val="false"/>
          <w:color w:val="000000"/>
          <w:sz w:val="22"/>
        </w:rPr>
        <w:t>Deadline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defined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7(a));</w:t>
      </w:r>
      <w:r>
        <w:rPr>
          <w:color w:val="000000"/>
        </w:rPr>
        <w:t xml:space="preserve"> </w:t>
      </w:r>
      <w:r>
        <w:rPr>
          <w:rFonts w:ascii="Arial;sans-serif" w:hAnsi="Arial;sans-serif"/>
          <w:b w:val="false"/>
          <w:color w:val="000000"/>
          <w:sz w:val="22"/>
        </w:rPr>
        <w:t>provided</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first payment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include</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amounts</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would</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been</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 xml:space="preserve">Executive if payment had commenced on the date of Executive’s separation from </w:t>
      </w:r>
      <w:r>
        <w:rPr>
          <w:rFonts w:ascii="Arial;sans-serif" w:hAnsi="Arial;sans-serif"/>
          <w:b w:val="false"/>
          <w:color w:val="000000"/>
          <w:sz w:val="24"/>
        </w:rPr>
        <w:t>service.</w:t>
      </w:r>
    </w:p>
    <w:p>
      <w:pPr>
        <w:pStyle w:val="TextBody"/>
        <w:spacing w:before="0" w:after="0"/>
        <w:jc w:val="both"/>
        <w:rPr/>
      </w:pPr>
      <w:r>
        <w:rPr/>
      </w:r>
    </w:p>
    <w:p>
      <w:pPr>
        <w:pStyle w:val="TextBody"/>
        <w:spacing w:lineRule="auto" w:line="276"/>
        <w:ind w:left="0" w:right="0" w:hanging="567"/>
        <w:jc w:val="both"/>
        <w:rPr/>
      </w:pPr>
      <w:r>
        <w:rPr>
          <w:rFonts w:ascii="Arial;sans-serif" w:hAnsi="Arial;sans-serif"/>
          <w:b w:val="false"/>
          <w:color w:val="000000"/>
          <w:sz w:val="22"/>
        </w:rPr>
        <w:t>iii.</w:t>
      </w:r>
      <w:r>
        <w:rPr>
          <w:rFonts w:ascii="Arial;sans-serif" w:hAnsi="Arial;sans-serif"/>
          <w:b w:val="false"/>
          <w:color w:val="000000"/>
          <w:sz w:val="24"/>
          <w:u w:val="single"/>
        </w:rPr>
        <w:t>Continued Employee Benefits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If Executive elects continuation coverage pursuant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Consolidated</w:t>
      </w:r>
      <w:r>
        <w:rPr>
          <w:color w:val="000000"/>
        </w:rPr>
        <w:t xml:space="preserve"> </w:t>
      </w:r>
      <w:r>
        <w:rPr>
          <w:rFonts w:ascii="Arial;sans-serif" w:hAnsi="Arial;sans-serif"/>
          <w:b w:val="false"/>
          <w:color w:val="000000"/>
          <w:sz w:val="22"/>
        </w:rPr>
        <w:t>Omnibus</w:t>
      </w:r>
      <w:r>
        <w:rPr>
          <w:color w:val="000000"/>
        </w:rPr>
        <w:t xml:space="preserve"> </w:t>
      </w:r>
      <w:r>
        <w:rPr>
          <w:rFonts w:ascii="Arial;sans-serif" w:hAnsi="Arial;sans-serif"/>
          <w:b w:val="false"/>
          <w:color w:val="000000"/>
          <w:sz w:val="22"/>
        </w:rPr>
        <w:t>Budget</w:t>
      </w:r>
      <w:r>
        <w:rPr>
          <w:color w:val="000000"/>
        </w:rPr>
        <w:t xml:space="preserve"> </w:t>
      </w:r>
      <w:r>
        <w:rPr>
          <w:rFonts w:ascii="Arial;sans-serif" w:hAnsi="Arial;sans-serif"/>
          <w:b w:val="false"/>
          <w:color w:val="000000"/>
          <w:sz w:val="22"/>
        </w:rPr>
        <w:t>Reconciliation</w:t>
      </w:r>
      <w:r>
        <w:rPr>
          <w:color w:val="000000"/>
        </w:rPr>
        <w:t xml:space="preserve"> </w:t>
      </w:r>
      <w:r>
        <w:rPr>
          <w:rFonts w:ascii="Arial;sans-serif" w:hAnsi="Arial;sans-serif"/>
          <w:b w:val="false"/>
          <w:color w:val="000000"/>
          <w:sz w:val="22"/>
        </w:rPr>
        <w:t>Act of 1985, as amended (“</w:t>
      </w:r>
      <w:r>
        <w:rPr>
          <w:rFonts w:ascii="Arial;sans-serif" w:hAnsi="Arial;sans-serif"/>
          <w:b/>
          <w:i/>
          <w:color w:val="000000"/>
          <w:sz w:val="24"/>
        </w:rPr>
        <w:t>COBRA</w:t>
      </w:r>
      <w:r>
        <w:rPr>
          <w:color w:val="000000"/>
        </w:rPr>
        <w:t>”</w:t>
      </w:r>
      <w:r>
        <w:rPr>
          <w:rFonts w:ascii="Arial;sans-serif" w:hAnsi="Arial;sans-serif"/>
          <w:b w:val="false"/>
          <w:color w:val="000000"/>
          <w:sz w:val="22"/>
        </w:rPr>
        <w:t>) for Executive and Executive’s eligible dependents, within the time period prescribed pursuant to COBRA, the Company will reimburse Executive for the COBRA premiums for such coverage (at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coverage</w:t>
      </w:r>
      <w:r>
        <w:rPr>
          <w:color w:val="000000"/>
        </w:rPr>
        <w:t xml:space="preserve"> </w:t>
      </w:r>
      <w:r>
        <w:rPr>
          <w:rFonts w:ascii="Arial;sans-serif" w:hAnsi="Arial;sans-serif"/>
          <w:b w:val="false"/>
          <w:color w:val="000000"/>
          <w:sz w:val="22"/>
        </w:rPr>
        <w:t>levels in effect immediately</w:t>
      </w:r>
      <w:r>
        <w:rPr>
          <w:color w:val="000000"/>
        </w:rPr>
        <w:t xml:space="preserve"> </w:t>
      </w:r>
      <w:r>
        <w:rPr>
          <w:rFonts w:ascii="Arial;sans-serif" w:hAnsi="Arial;sans-serif"/>
          <w:b w:val="false"/>
          <w:color w:val="000000"/>
          <w:sz w:val="22"/>
        </w:rPr>
        <w:t>prior to Executive’s termination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resignation)</w:t>
      </w:r>
      <w:r>
        <w:rPr>
          <w:color w:val="000000"/>
        </w:rPr>
        <w:t xml:space="preserve"> </w:t>
      </w:r>
      <w:r>
        <w:rPr>
          <w:rFonts w:ascii="Arial;sans-serif" w:hAnsi="Arial;sans-serif"/>
          <w:b w:val="false"/>
          <w:color w:val="000000"/>
          <w:sz w:val="22"/>
        </w:rPr>
        <w:t>until</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earlier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 the</w:t>
      </w:r>
      <w:r>
        <w:rPr>
          <w:color w:val="000000"/>
        </w:rPr>
        <w:t xml:space="preserve"> </w:t>
      </w:r>
      <w:r>
        <w:rPr>
          <w:rFonts w:ascii="Arial;sans-serif" w:hAnsi="Arial;sans-serif"/>
          <w:b w:val="false"/>
          <w:color w:val="000000"/>
          <w:sz w:val="22"/>
        </w:rPr>
        <w:t>end</w:t>
      </w:r>
      <w:r>
        <w:rPr>
          <w:color w:val="000000"/>
        </w:rPr>
        <w:t xml:space="preserve"> </w:t>
      </w:r>
      <w:r>
        <w:rPr>
          <w:rFonts w:ascii="Arial;sans-serif" w:hAnsi="Arial;sans-serif"/>
          <w:b w:val="false"/>
          <w:color w:val="000000"/>
          <w:sz w:val="22"/>
        </w:rPr>
        <w:t>of the</w:t>
      </w:r>
      <w:r>
        <w:rPr>
          <w:color w:val="000000"/>
        </w:rPr>
        <w:t xml:space="preserve"> </w:t>
      </w:r>
      <w:r>
        <w:rPr>
          <w:rFonts w:ascii="Arial;sans-serif" w:hAnsi="Arial;sans-serif"/>
          <w:b w:val="false"/>
          <w:color w:val="000000"/>
          <w:sz w:val="22"/>
        </w:rPr>
        <w:t>Severance Period, or (B) the date upon which Executive and/or Executive’s eligible dependents</w:t>
      </w:r>
      <w:r>
        <w:rPr>
          <w:color w:val="000000"/>
        </w:rPr>
        <w:t xml:space="preserve"> </w:t>
      </w:r>
      <w:r>
        <w:rPr>
          <w:rFonts w:ascii="Arial;sans-serif" w:hAnsi="Arial;sans-serif"/>
          <w:b w:val="false"/>
          <w:color w:val="000000"/>
          <w:sz w:val="22"/>
        </w:rPr>
        <w:t>become</w:t>
      </w:r>
      <w:r>
        <w:rPr>
          <w:color w:val="000000"/>
        </w:rPr>
        <w:t xml:space="preserve"> </w:t>
      </w:r>
      <w:r>
        <w:rPr>
          <w:rFonts w:ascii="Arial;sans-serif" w:hAnsi="Arial;sans-serif"/>
          <w:b w:val="false"/>
          <w:color w:val="000000"/>
          <w:sz w:val="22"/>
        </w:rPr>
        <w:t>covered</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similar</w:t>
      </w:r>
      <w:r>
        <w:rPr>
          <w:color w:val="000000"/>
        </w:rPr>
        <w:t xml:space="preserve"> </w:t>
      </w:r>
      <w:r>
        <w:rPr>
          <w:rFonts w:ascii="Arial;sans-serif" w:hAnsi="Arial;sans-serif"/>
          <w:b w:val="false"/>
          <w:color w:val="000000"/>
          <w:sz w:val="22"/>
        </w:rPr>
        <w:t>plans.</w:t>
      </w:r>
      <w:r>
        <w:rPr>
          <w:color w:val="000000"/>
        </w:rPr>
        <w:t xml:space="preserv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COBRA reimbursements</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made</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consistent</w:t>
      </w:r>
      <w:r>
        <w:rPr>
          <w:color w:val="000000"/>
        </w:rPr>
        <w:t xml:space="preserve"> </w:t>
      </w:r>
      <w:r>
        <w:rPr>
          <w:rFonts w:ascii="Arial;sans-serif" w:hAnsi="Arial;sans-serif"/>
          <w:b w:val="false"/>
          <w:color w:val="000000"/>
          <w:sz w:val="22"/>
        </w:rPr>
        <w:t>with the Company’s normal expense reimbursement policy and will be taxable to the extent required to</w:t>
      </w:r>
      <w:r>
        <w:rPr>
          <w:color w:val="000000"/>
        </w:rPr>
        <w:t xml:space="preserve"> </w:t>
      </w:r>
      <w:r>
        <w:rPr>
          <w:rFonts w:ascii="Arial;sans-serif" w:hAnsi="Arial;sans-serif"/>
          <w:b w:val="false"/>
          <w:color w:val="000000"/>
          <w:sz w:val="22"/>
        </w:rPr>
        <w:t>avoid adverse consequences to Executive or the Company under either Code Section 105(h) or the Patient Protection and Affordable Care Act of 2010.</w:t>
      </w:r>
    </w:p>
    <w:p>
      <w:pPr>
        <w:pStyle w:val="TextBody"/>
        <w:spacing w:before="0" w:after="0"/>
        <w:ind w:left="0" w:right="0" w:firstLine="2260"/>
        <w:jc w:val="both"/>
        <w:rPr/>
      </w:pPr>
      <w:r>
        <w:rPr/>
      </w:r>
    </w:p>
    <w:p>
      <w:pPr>
        <w:pStyle w:val="TextBody"/>
        <w:spacing w:lineRule="auto" w:line="276" w:before="0" w:after="0"/>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Termination without Cause or Resignation for Good Reason within the</w:t>
      </w:r>
      <w:r>
        <w:rPr>
          <w:color w:val="000000"/>
        </w:rPr>
        <w:t xml:space="preserve"> </w:t>
      </w:r>
      <w:r>
        <w:rPr>
          <w:rFonts w:ascii="Arial;sans-serif" w:hAnsi="Arial;sans-serif"/>
          <w:b/>
          <w:color w:val="000000"/>
          <w:sz w:val="24"/>
          <w:u w:val="single"/>
        </w:rPr>
        <w:t>Change in Control Protection Period</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during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Control</w:t>
      </w:r>
      <w:r>
        <w:rPr>
          <w:color w:val="000000"/>
        </w:rPr>
        <w:t xml:space="preserve"> </w:t>
      </w:r>
      <w:r>
        <w:rPr>
          <w:rFonts w:ascii="Arial;sans-serif" w:hAnsi="Arial;sans-serif"/>
          <w:b w:val="false"/>
          <w:color w:val="000000"/>
          <w:sz w:val="22"/>
        </w:rPr>
        <w:t>Protection Period, (x) the Company terminates Executive’s employment with the Company without Cause,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(y)</w:t>
      </w:r>
      <w:r>
        <w:rPr>
          <w:color w:val="000000"/>
        </w:rPr>
        <w:t xml:space="preserve"> </w:t>
      </w:r>
      <w:r>
        <w:rPr>
          <w:rFonts w:ascii="Arial;sans-serif" w:hAnsi="Arial;sans-serif"/>
          <w:b w:val="false"/>
          <w:color w:val="000000"/>
          <w:sz w:val="22"/>
        </w:rPr>
        <w:t>Executive resigns</w:t>
      </w:r>
      <w:r>
        <w:rPr>
          <w:color w:val="000000"/>
        </w:rPr>
        <w:t xml:space="preserve"> </w:t>
      </w:r>
      <w:r>
        <w:rPr>
          <w:rFonts w:ascii="Arial;sans-serif" w:hAnsi="Arial;sans-serif"/>
          <w:b w:val="false"/>
          <w:color w:val="000000"/>
          <w:sz w:val="22"/>
        </w:rPr>
        <w:t>from</w:t>
      </w:r>
      <w:r>
        <w:rPr>
          <w:color w:val="000000"/>
        </w:rPr>
        <w:t xml:space="preserve"> </w:t>
      </w:r>
      <w:r>
        <w:rPr>
          <w:rFonts w:ascii="Arial;sans-serif" w:hAnsi="Arial;sans-serif"/>
          <w:b w:val="false"/>
          <w:color w:val="000000"/>
          <w:sz w:val="22"/>
        </w:rPr>
        <w:t>such employment</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Good</w:t>
      </w:r>
      <w:r>
        <w:rPr>
          <w:color w:val="000000"/>
        </w:rPr>
        <w:t xml:space="preserve"> </w:t>
      </w:r>
      <w:r>
        <w:rPr>
          <w:rFonts w:ascii="Arial;sans-serif" w:hAnsi="Arial;sans-serif"/>
          <w:b w:val="false"/>
          <w:color w:val="000000"/>
          <w:sz w:val="22"/>
        </w:rPr>
        <w:t>Reason, then, subject to Section 7 (other than with respect to the Accrued Benefits), Executive will receive the following severance benefits from the Company in lieu of the benefits described in Section 6(a) above:</w:t>
      </w:r>
    </w:p>
    <w:p>
      <w:pPr>
        <w:pStyle w:val="TextBody"/>
        <w:spacing w:before="0" w:after="0"/>
        <w:jc w:val="both"/>
        <w:rPr/>
      </w:pPr>
      <w:r>
        <w:rPr/>
      </w:r>
    </w:p>
    <w:p>
      <w:pPr>
        <w:pStyle w:val="TextBody"/>
        <w:spacing w:lineRule="auto" w:line="276" w:before="0" w:after="0"/>
        <w:ind w:left="0" w:right="0" w:hanging="470"/>
        <w:jc w:val="both"/>
        <w:rPr/>
      </w:pPr>
      <w:r>
        <w:rPr>
          <w:rFonts w:ascii="Arial;sans-serif" w:hAnsi="Arial;sans-serif"/>
          <w:b w:val="false"/>
          <w:color w:val="000000"/>
          <w:sz w:val="22"/>
        </w:rPr>
        <w:t>i.</w:t>
      </w:r>
      <w:r>
        <w:rPr>
          <w:rFonts w:ascii="Arial;sans-serif" w:hAnsi="Arial;sans-serif"/>
          <w:b w:val="false"/>
          <w:color w:val="000000"/>
          <w:sz w:val="24"/>
          <w:u w:val="single"/>
        </w:rPr>
        <w:t>Accrued Compensation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The Company will pay Executive all Accrued </w:t>
      </w:r>
      <w:r>
        <w:rPr>
          <w:rFonts w:ascii="Arial;sans-serif" w:hAnsi="Arial;sans-serif"/>
          <w:b w:val="false"/>
          <w:color w:val="000000"/>
          <w:sz w:val="24"/>
        </w:rPr>
        <w:t>Benefits.</w:t>
      </w:r>
    </w:p>
    <w:p>
      <w:pPr>
        <w:pStyle w:val="TextBody"/>
        <w:spacing w:before="0" w:after="0"/>
        <w:jc w:val="both"/>
        <w:rPr/>
      </w:pPr>
      <w:r>
        <w:rPr/>
      </w:r>
    </w:p>
    <w:p>
      <w:pPr>
        <w:pStyle w:val="TextBody"/>
        <w:spacing w:lineRule="auto" w:line="276" w:before="0" w:after="0"/>
        <w:ind w:left="0" w:right="0" w:hanging="519"/>
        <w:jc w:val="both"/>
        <w:rPr/>
      </w:pPr>
      <w:r>
        <w:rPr>
          <w:rFonts w:ascii="Arial;sans-serif" w:hAnsi="Arial;sans-serif"/>
          <w:b w:val="false"/>
          <w:color w:val="000000"/>
          <w:sz w:val="22"/>
        </w:rPr>
        <w:t>ii.</w:t>
      </w:r>
      <w:r>
        <w:rPr>
          <w:rFonts w:ascii="Arial;sans-serif" w:hAnsi="Arial;sans-serif"/>
          <w:b w:val="false"/>
          <w:color w:val="000000"/>
          <w:sz w:val="24"/>
          <w:u w:val="single"/>
        </w:rPr>
        <w:t>Severance Payment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In exchange for Executive timely signing and not revoking the Release in accordance with the terms therein and in this Agreement, Executive will receive a lump sum severance payment equal to twelve (12) months (the “</w:t>
      </w:r>
      <w:r>
        <w:rPr>
          <w:rFonts w:ascii="Arial;sans-serif" w:hAnsi="Arial;sans-serif"/>
          <w:b/>
          <w:i/>
          <w:color w:val="000000"/>
          <w:sz w:val="24"/>
        </w:rPr>
        <w:t>CIC Severance Period</w:t>
      </w:r>
      <w:r>
        <w:rPr>
          <w:color w:val="000000"/>
        </w:rPr>
        <w:t>”</w:t>
      </w:r>
      <w:r>
        <w:rPr>
          <w:rFonts w:ascii="Arial;sans-serif" w:hAnsi="Arial;sans-serif"/>
          <w:b w:val="false"/>
          <w:color w:val="000000"/>
          <w:sz w:val="22"/>
        </w:rPr>
        <w:t>) of Executive’s Base Salary as in effect immediately prior to 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of Executive’s termination of employment plus applicable Cash Bonus, less all required tax withholdings and other applicable deductions, which will be paid in accordance with the Company’s regular payroll procedures, but no later than thirty (30) days following the Release Deadline.</w:t>
      </w:r>
    </w:p>
    <w:p>
      <w:pPr>
        <w:pStyle w:val="TextBody"/>
        <w:spacing w:before="0" w:after="0"/>
        <w:jc w:val="both"/>
        <w:rPr/>
      </w:pPr>
      <w:r>
        <w:rPr/>
      </w:r>
    </w:p>
    <w:p>
      <w:pPr>
        <w:pStyle w:val="TextBody"/>
        <w:spacing w:lineRule="auto" w:line="276" w:before="0" w:after="0"/>
        <w:ind w:left="0" w:right="0" w:hanging="567"/>
        <w:jc w:val="both"/>
        <w:rPr/>
      </w:pPr>
      <w:r>
        <w:rPr>
          <w:rFonts w:ascii="Arial;sans-serif" w:hAnsi="Arial;sans-serif"/>
          <w:b w:val="false"/>
          <w:color w:val="000000"/>
          <w:sz w:val="22"/>
        </w:rPr>
        <w:t>iii.</w:t>
      </w:r>
      <w:r>
        <w:rPr>
          <w:rFonts w:ascii="Arial;sans-serif" w:hAnsi="Arial;sans-serif"/>
          <w:b w:val="false"/>
          <w:color w:val="000000"/>
          <w:sz w:val="24"/>
          <w:u w:val="single"/>
        </w:rPr>
        <w:t>Continued Employee Benefits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If Executive elects continuation coverage pursuant to COBRA for Executive and Executive’s eligible dependents, within the time period prescribed pursuant to COBRA, the Company will reimburse Executive for the COBRA premiums for such coverage (at the coverage levels in effect immediately prior to Executive’s termination or resignation)</w:t>
      </w:r>
      <w:r>
        <w:rPr>
          <w:color w:val="000000"/>
        </w:rPr>
        <w:t xml:space="preserve"> </w:t>
      </w:r>
      <w:r>
        <w:rPr>
          <w:rFonts w:ascii="Arial;sans-serif" w:hAnsi="Arial;sans-serif"/>
          <w:b w:val="false"/>
          <w:color w:val="000000"/>
          <w:sz w:val="22"/>
        </w:rPr>
        <w:t>until</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earlier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end</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CIC</w:t>
      </w:r>
      <w:r>
        <w:rPr>
          <w:color w:val="000000"/>
        </w:rPr>
        <w:t xml:space="preserve"> </w:t>
      </w:r>
      <w:r>
        <w:rPr>
          <w:rFonts w:ascii="Arial;sans-serif" w:hAnsi="Arial;sans-serif"/>
          <w:b w:val="false"/>
          <w:color w:val="000000"/>
          <w:sz w:val="22"/>
        </w:rPr>
        <w:t>Severance</w:t>
      </w:r>
      <w:r>
        <w:rPr>
          <w:color w:val="000000"/>
        </w:rPr>
        <w:t xml:space="preserve"> </w:t>
      </w:r>
      <w:r>
        <w:rPr>
          <w:rFonts w:ascii="Arial;sans-serif" w:hAnsi="Arial;sans-serif"/>
          <w:b w:val="false"/>
          <w:color w:val="000000"/>
          <w:sz w:val="22"/>
        </w:rPr>
        <w:t>Period,</w:t>
      </w:r>
      <w:r>
        <w:rPr>
          <w:color w:val="000000"/>
        </w:rPr>
        <w:t xml:space="preserve"> </w:t>
      </w:r>
      <w:r>
        <w:rPr>
          <w:rFonts w:ascii="Arial;sans-serif" w:hAnsi="Arial;sans-serif"/>
          <w:b w:val="false"/>
          <w:color w:val="000000"/>
          <w:sz w:val="22"/>
        </w:rPr>
        <w:t>or (B) the date upon</w:t>
      </w:r>
      <w:r>
        <w:rPr>
          <w:color w:val="000000"/>
        </w:rPr>
        <w:t xml:space="preserve"> </w:t>
      </w:r>
      <w:r>
        <w:rPr>
          <w:rFonts w:ascii="Arial;sans-serif" w:hAnsi="Arial;sans-serif"/>
          <w:b w:val="false"/>
          <w:color w:val="000000"/>
          <w:sz w:val="22"/>
        </w:rPr>
        <w:t>which Executive and/or Executive’s eligible dependents become covered under similar plans.</w:t>
      </w:r>
      <w:r>
        <w:rPr>
          <w:color w:val="000000"/>
        </w:rPr>
        <w:t xml:space="preserve"> </w:t>
      </w:r>
      <w:r>
        <w:rPr>
          <w:rFonts w:ascii="Arial;sans-serif" w:hAnsi="Arial;sans-serif"/>
          <w:b w:val="false"/>
          <w:color w:val="000000"/>
          <w:sz w:val="22"/>
        </w:rPr>
        <w:t>COBRA reimbursements will be made</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consistent</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normal expense</w:t>
      </w:r>
      <w:r>
        <w:rPr>
          <w:color w:val="000000"/>
        </w:rPr>
        <w:t xml:space="preserve"> </w:t>
      </w:r>
      <w:r>
        <w:rPr>
          <w:rFonts w:ascii="Arial;sans-serif" w:hAnsi="Arial;sans-serif"/>
          <w:b w:val="false"/>
          <w:color w:val="000000"/>
          <w:sz w:val="22"/>
        </w:rPr>
        <w:t>reimbursement</w:t>
      </w:r>
      <w:r>
        <w:rPr>
          <w:color w:val="000000"/>
        </w:rPr>
        <w:t xml:space="preserve"> </w:t>
      </w:r>
      <w:r>
        <w:rPr>
          <w:rFonts w:ascii="Arial;sans-serif" w:hAnsi="Arial;sans-serif"/>
          <w:b w:val="false"/>
          <w:color w:val="000000"/>
          <w:sz w:val="22"/>
        </w:rPr>
        <w:t>policy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taxable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extent</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 xml:space="preserve">to avoid adverse consequences to Executive or the Company under either Code Section 105(h) or the Patient Protection and Affordable Care Act of </w:t>
      </w:r>
      <w:r>
        <w:rPr>
          <w:rFonts w:ascii="Arial;sans-serif" w:hAnsi="Arial;sans-serif"/>
          <w:b w:val="false"/>
          <w:color w:val="000000"/>
          <w:sz w:val="24"/>
        </w:rPr>
        <w:t>2010.</w:t>
      </w:r>
    </w:p>
    <w:p>
      <w:pPr>
        <w:pStyle w:val="TextBody"/>
        <w:spacing w:before="0" w:after="0"/>
        <w:jc w:val="both"/>
        <w:rPr/>
      </w:pPr>
      <w:r>
        <w:rPr/>
      </w:r>
    </w:p>
    <w:p>
      <w:pPr>
        <w:pStyle w:val="TextBody"/>
        <w:spacing w:lineRule="auto" w:line="276" w:before="0" w:after="0"/>
        <w:ind w:left="0" w:right="0" w:hanging="580"/>
        <w:jc w:val="both"/>
        <w:rPr/>
      </w:pPr>
      <w:r>
        <w:rPr>
          <w:rFonts w:ascii="Arial;sans-serif" w:hAnsi="Arial;sans-serif"/>
          <w:b w:val="false"/>
          <w:color w:val="000000"/>
          <w:sz w:val="22"/>
        </w:rPr>
        <w:t>iv.</w:t>
      </w:r>
      <w:r>
        <w:rPr>
          <w:rFonts w:ascii="Arial;sans-serif" w:hAnsi="Arial;sans-serif"/>
          <w:b w:val="false"/>
          <w:color w:val="000000"/>
          <w:sz w:val="24"/>
          <w:u w:val="single"/>
        </w:rPr>
        <w:t>Equity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All of Executive’s unvested and outstanding time-based equity awards shall immediately vest and become exercisable as of the date of Executive’s termination and any unvested and outstanding performance- based</w:t>
      </w:r>
      <w:r>
        <w:rPr>
          <w:color w:val="000000"/>
        </w:rPr>
        <w:t xml:space="preserve"> </w:t>
      </w:r>
      <w:r>
        <w:rPr>
          <w:rFonts w:ascii="Arial;sans-serif" w:hAnsi="Arial;sans-serif"/>
          <w:b w:val="false"/>
          <w:color w:val="000000"/>
          <w:sz w:val="22"/>
        </w:rPr>
        <w:t>awards</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subject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conditions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Equity Plan</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award</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between</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 Company pursuant to which such award was granted.</w:t>
      </w:r>
    </w:p>
    <w:p>
      <w:pPr>
        <w:pStyle w:val="TextBody"/>
        <w:ind w:left="0" w:right="0" w:firstLine="2260"/>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hanging="360"/>
        <w:jc w:val="both"/>
        <w:rPr/>
      </w:pPr>
      <w:r>
        <w:rPr>
          <w:rFonts w:ascii="Arial;sans-serif" w:hAnsi="Arial;sans-serif"/>
          <w:b w:val="false"/>
          <w:color w:val="000000"/>
          <w:sz w:val="22"/>
        </w:rPr>
        <w:t>c.</w:t>
      </w:r>
      <w:r>
        <w:rPr>
          <w:rFonts w:ascii="Arial;sans-serif" w:hAnsi="Arial;sans-serif"/>
          <w:b/>
          <w:color w:val="000000"/>
          <w:sz w:val="24"/>
          <w:u w:val="single"/>
        </w:rPr>
        <w:t>Disability; Death; Voluntary Resignation; Termination for Cause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If Executive’s employment with the Company is terminated due to (i) Executive becoming Disabled or Executive’s death, (ii) Executive’s voluntary resignation (other than for Good Reason during the twelve (12) month period immediately following a Change in Control), or (iii) the Company’s termination of Executive’s employment with the Company for Cause, then Executive or Executive’s estate (as the case may be) will receive the Accrued Benefits, but will not be entitled to any other compensation or benefits from the Company except to the extent required by law (for example, COBRA).</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d.</w:t>
      </w:r>
      <w:r>
        <w:rPr>
          <w:rFonts w:ascii="Arial;sans-serif" w:hAnsi="Arial;sans-serif"/>
          <w:b/>
          <w:color w:val="000000"/>
          <w:sz w:val="24"/>
          <w:u w:val="single"/>
        </w:rPr>
        <w:t>Timing of Payments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Subject to any specific timing provisions in Section 6(a), 6(b), or 6(c), as applicable, or the provisions of Section 7, payment of the severance and benefits hereunder shall be made or commence to be made as soon as practicable following Executive’s termination of employment.</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e.</w:t>
      </w:r>
      <w:r>
        <w:rPr>
          <w:rFonts w:ascii="Arial;sans-serif" w:hAnsi="Arial;sans-serif"/>
          <w:b/>
          <w:color w:val="000000"/>
          <w:sz w:val="24"/>
          <w:u w:val="single"/>
        </w:rPr>
        <w:t>Exclusive Remedy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event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with the Company (or any parent, subsidiary or successor of the Company), the provisions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6</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intended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exclusive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lieu</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 other rights or remedies to which Executive or the Company may otherwise be entitled, whether at law, tort or contract, in equity, or under this Agreement (other than the payment of accrued but unpaid wages, as required by law, and any unreimbursed reimbursable expenses).</w:t>
      </w:r>
      <w:r>
        <w:rPr>
          <w:color w:val="000000"/>
        </w:rPr>
        <w:t xml:space="preserve"> </w:t>
      </w:r>
      <w:r>
        <w:rPr>
          <w:rFonts w:ascii="Arial;sans-serif" w:hAnsi="Arial;sans-serif"/>
          <w:b w:val="false"/>
          <w:color w:val="000000"/>
          <w:sz w:val="22"/>
        </w:rPr>
        <w:t>Executive will be entitled to no other severance,</w:t>
      </w:r>
      <w:r>
        <w:rPr>
          <w:color w:val="000000"/>
        </w:rPr>
        <w:t xml:space="preserve"> </w:t>
      </w:r>
      <w:r>
        <w:rPr>
          <w:rFonts w:ascii="Arial;sans-serif" w:hAnsi="Arial;sans-serif"/>
          <w:b w:val="false"/>
          <w:color w:val="000000"/>
          <w:sz w:val="22"/>
        </w:rPr>
        <w:t>benefits,</w:t>
      </w:r>
      <w:r>
        <w:rPr>
          <w:color w:val="000000"/>
        </w:rPr>
        <w:t xml:space="preserve"> </w:t>
      </w:r>
      <w:r>
        <w:rPr>
          <w:rFonts w:ascii="Arial;sans-serif" w:hAnsi="Arial;sans-serif"/>
          <w:b w:val="false"/>
          <w:color w:val="000000"/>
          <w:sz w:val="22"/>
        </w:rPr>
        <w:t>compensation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rights</w:t>
      </w:r>
      <w:r>
        <w:rPr>
          <w:color w:val="000000"/>
        </w:rPr>
        <w:t xml:space="preserve"> </w:t>
      </w:r>
      <w:r>
        <w:rPr>
          <w:rFonts w:ascii="Arial;sans-serif" w:hAnsi="Arial;sans-serif"/>
          <w:b w:val="false"/>
          <w:color w:val="000000"/>
          <w:sz w:val="22"/>
        </w:rPr>
        <w:t>upon</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termination of employment, including, without limitation, any severance payments and/or benefits provided in the Employment Agreement, other than those benefits expressly set forth in Section 6 of this Agreement or pursuant to written equity award agreements with the Company.</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f.</w:t>
      </w:r>
      <w:r>
        <w:rPr>
          <w:rFonts w:ascii="Arial;sans-serif" w:hAnsi="Arial;sans-serif"/>
          <w:b/>
          <w:color w:val="000000"/>
          <w:sz w:val="24"/>
          <w:u w:val="single"/>
        </w:rPr>
        <w:t>No Duty to Mitigate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mitigate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amount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 payment contemplated by this Agreement, nor will any earnings that Executive may receive from any other source reduce any such payment.</w:t>
      </w:r>
    </w:p>
    <w:p>
      <w:pPr>
        <w:pStyle w:val="TextBody"/>
        <w:spacing w:before="0" w:after="0"/>
        <w:jc w:val="both"/>
        <w:rPr/>
      </w:pPr>
      <w:r>
        <w:rPr/>
      </w:r>
    </w:p>
    <w:p>
      <w:pPr>
        <w:pStyle w:val="TextBody"/>
        <w:spacing w:lineRule="auto" w:line="268" w:before="0" w:after="0"/>
        <w:ind w:left="0" w:right="0" w:hanging="360"/>
        <w:rPr/>
      </w:pPr>
      <w:r>
        <w:rPr>
          <w:rFonts w:ascii="Arial;sans-serif" w:hAnsi="Arial;sans-serif"/>
          <w:b/>
          <w:color w:val="000000"/>
          <w:sz w:val="22"/>
        </w:rPr>
        <w:t>7.</w:t>
      </w:r>
      <w:r>
        <w:rPr>
          <w:rFonts w:ascii="Arial;sans-serif" w:hAnsi="Arial;sans-serif"/>
          <w:b/>
          <w:color w:val="000000"/>
          <w:sz w:val="24"/>
          <w:u w:val="single"/>
        </w:rPr>
        <w:t>Conditions to Receipt of Severance</w:t>
      </w:r>
      <w:r>
        <w:rPr>
          <w:rFonts w:ascii="Arial;sans-serif" w:hAnsi="Arial;sans-serif"/>
          <w:b/>
          <w:color w:val="000000"/>
          <w:sz w:val="24"/>
        </w:rPr>
        <w:t>.</w:t>
      </w:r>
    </w:p>
    <w:p>
      <w:pPr>
        <w:pStyle w:val="TextBody"/>
        <w:spacing w:before="0" w:after="0"/>
        <w:rPr/>
      </w:pPr>
      <w:r>
        <w:rPr/>
      </w:r>
    </w:p>
    <w:p>
      <w:pPr>
        <w:pStyle w:val="TextBody"/>
        <w:spacing w:lineRule="auto" w:line="276"/>
        <w:ind w:left="0" w:right="0" w:hanging="360"/>
        <w:jc w:val="both"/>
        <w:rPr/>
      </w:pPr>
      <w:r>
        <w:rPr>
          <w:rFonts w:ascii="Arial;sans-serif" w:hAnsi="Arial;sans-serif"/>
          <w:b w:val="false"/>
          <w:color w:val="000000"/>
          <w:sz w:val="22"/>
        </w:rPr>
        <w:t>a.</w:t>
      </w:r>
      <w:r>
        <w:rPr>
          <w:rFonts w:ascii="Arial;sans-serif" w:hAnsi="Arial;sans-serif"/>
          <w:b/>
          <w:color w:val="000000"/>
          <w:sz w:val="24"/>
          <w:u w:val="single"/>
        </w:rPr>
        <w:t>Release of Claims Agreement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 xml:space="preserve">The receipt of any severance payments or benefits pursuant to Section 6 of this Agreement is subject to Executive signing and not revoking a separation agreement and release of claims in a form substantially similar, as determined by the Company, as that attached hereto as </w:t>
      </w:r>
      <w:r>
        <w:rPr>
          <w:rFonts w:ascii="Arial;sans-serif" w:hAnsi="Arial;sans-serif"/>
          <w:b w:val="false"/>
          <w:color w:val="000000"/>
          <w:sz w:val="24"/>
          <w:u w:val="single"/>
        </w:rPr>
        <w:t>Attachment [A]</w:t>
      </w:r>
      <w:r>
        <w:rPr>
          <w:color w:val="000000"/>
        </w:rPr>
        <w:t xml:space="preserve"> </w:t>
      </w:r>
      <w:r>
        <w:rPr>
          <w:rFonts w:ascii="Arial;sans-serif" w:hAnsi="Arial;sans-serif"/>
          <w:b w:val="false"/>
          <w:color w:val="000000"/>
          <w:sz w:val="22"/>
        </w:rPr>
        <w:t>(the “</w:t>
      </w:r>
      <w:r>
        <w:rPr>
          <w:rFonts w:ascii="Arial;sans-serif" w:hAnsi="Arial;sans-serif"/>
          <w:b/>
          <w:i/>
          <w:color w:val="000000"/>
          <w:sz w:val="24"/>
        </w:rPr>
        <w:t>Release</w:t>
      </w:r>
      <w:r>
        <w:rPr>
          <w:color w:val="000000"/>
        </w:rPr>
        <w:t>”</w:t>
      </w:r>
      <w:r>
        <w:rPr>
          <w:rFonts w:ascii="Arial;sans-serif" w:hAnsi="Arial;sans-serif"/>
          <w:b w:val="false"/>
          <w:color w:val="000000"/>
          <w:sz w:val="22"/>
        </w:rPr>
        <w:t>), which must become effective no later than the sixtieth (60th)</w:t>
      </w:r>
      <w:r>
        <w:rPr>
          <w:color w:val="000000"/>
        </w:rPr>
        <w:t xml:space="preserve"> </w:t>
      </w:r>
      <w:r>
        <w:rPr>
          <w:rFonts w:ascii="Arial;sans-serif" w:hAnsi="Arial;sans-serif"/>
          <w:b w:val="false"/>
          <w:color w:val="000000"/>
          <w:sz w:val="22"/>
        </w:rPr>
        <w:t>day</w:t>
      </w:r>
      <w:r>
        <w:rPr>
          <w:color w:val="000000"/>
        </w:rPr>
        <w:t xml:space="preserve"> </w:t>
      </w:r>
      <w:r>
        <w:rPr>
          <w:rFonts w:ascii="Arial;sans-serif" w:hAnsi="Arial;sans-serif"/>
          <w:b w:val="false"/>
          <w:color w:val="000000"/>
          <w:sz w:val="22"/>
        </w:rPr>
        <w:t>following Executive’s termination of employment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i/>
          <w:color w:val="000000"/>
          <w:sz w:val="24"/>
        </w:rPr>
        <w:t>Release Deadline</w:t>
      </w:r>
      <w:r>
        <w:rPr>
          <w:color w:val="000000"/>
        </w:rPr>
        <w:t>”</w:t>
      </w:r>
      <w:r>
        <w:rPr>
          <w:rFonts w:ascii="Arial;sans-serif" w:hAnsi="Arial;sans-serif"/>
          <w:b w:val="false"/>
          <w:color w:val="000000"/>
          <w:sz w:val="22"/>
        </w:rPr>
        <w:t>), and if not, Executive will forfeit any right to severance payments or benefits under</w:t>
      </w:r>
      <w:r>
        <w:rPr>
          <w:color w:val="000000"/>
        </w:rPr>
        <w:t xml:space="preserve"> </w:t>
      </w:r>
      <w:r>
        <w:rPr>
          <w:rFonts w:ascii="Arial;sans-serif" w:hAnsi="Arial;sans-serif"/>
          <w:b w:val="false"/>
          <w:color w:val="000000"/>
          <w:sz w:val="22"/>
        </w:rPr>
        <w:t>this Agreement.</w:t>
      </w:r>
      <w:r>
        <w:rPr>
          <w:color w:val="000000"/>
        </w:rPr>
        <w:t xml:space="preserve"> </w:t>
      </w:r>
      <w:r>
        <w:rPr>
          <w:rFonts w:ascii="Arial;sans-serif" w:hAnsi="Arial;sans-serif"/>
          <w:b w:val="false"/>
          <w:color w:val="000000"/>
          <w:sz w:val="22"/>
        </w:rPr>
        <w:t>To become effective, the Release</w:t>
      </w:r>
      <w:r>
        <w:rPr>
          <w:color w:val="000000"/>
        </w:rPr>
        <w:t xml:space="preserve"> </w:t>
      </w:r>
      <w:r>
        <w:rPr>
          <w:rFonts w:ascii="Arial;sans-serif" w:hAnsi="Arial;sans-serif"/>
          <w:b w:val="false"/>
          <w:color w:val="000000"/>
          <w:sz w:val="22"/>
        </w:rPr>
        <w:t>must be timely executed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revocation</w:t>
      </w:r>
      <w:r>
        <w:rPr>
          <w:color w:val="000000"/>
        </w:rPr>
        <w:t xml:space="preserve"> </w:t>
      </w:r>
      <w:r>
        <w:rPr>
          <w:rFonts w:ascii="Arial;sans-serif" w:hAnsi="Arial;sans-serif"/>
          <w:b w:val="false"/>
          <w:color w:val="000000"/>
          <w:sz w:val="22"/>
        </w:rPr>
        <w:t>periods</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statute, regulation,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otherwise)</w:t>
      </w:r>
      <w:r>
        <w:rPr>
          <w:color w:val="000000"/>
        </w:rPr>
        <w:t xml:space="preserve"> </w:t>
      </w:r>
      <w:r>
        <w:rPr>
          <w:rFonts w:ascii="Arial;sans-serif" w:hAnsi="Arial;sans-serif"/>
          <w:b w:val="false"/>
          <w:color w:val="000000"/>
          <w:sz w:val="22"/>
        </w:rPr>
        <w:t>must</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expired</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having</w:t>
      </w:r>
      <w:r>
        <w:rPr>
          <w:color w:val="000000"/>
        </w:rPr>
        <w:t xml:space="preserve"> </w:t>
      </w:r>
      <w:r>
        <w:rPr>
          <w:rFonts w:ascii="Arial;sans-serif" w:hAnsi="Arial;sans-serif"/>
          <w:b w:val="false"/>
          <w:color w:val="000000"/>
          <w:sz w:val="22"/>
        </w:rPr>
        <w:t>revoked</w:t>
      </w:r>
      <w:r>
        <w:rPr>
          <w:color w:val="000000"/>
        </w:rPr>
        <w:t xml:space="preserve"> </w:t>
      </w:r>
      <w:r>
        <w:rPr>
          <w:rFonts w:ascii="Arial;sans-serif" w:hAnsi="Arial;sans-serif"/>
          <w:b w:val="false"/>
          <w:color w:val="000000"/>
          <w:sz w:val="22"/>
        </w:rPr>
        <w:t>the Release.</w:t>
      </w:r>
      <w:r>
        <w:rPr>
          <w:color w:val="000000"/>
        </w:rPr>
        <w:t xml:space="preserve"> </w:t>
      </w:r>
      <w:r>
        <w:rPr>
          <w:rFonts w:ascii="Arial;sans-serif" w:hAnsi="Arial;sans-serif"/>
          <w:b w:val="false"/>
          <w:color w:val="000000"/>
          <w:sz w:val="22"/>
        </w:rPr>
        <w:t>In addition, in no event will severance payments or benefits be paid or provided until the Release actually becomes effective.</w:t>
      </w:r>
      <w:r>
        <w:rPr>
          <w:color w:val="000000"/>
        </w:rPr>
        <w:t xml:space="preserve"> </w:t>
      </w:r>
      <w:r>
        <w:rPr>
          <w:rFonts w:ascii="Arial;sans-serif" w:hAnsi="Arial;sans-serif"/>
          <w:b w:val="false"/>
          <w:color w:val="000000"/>
          <w:sz w:val="22"/>
        </w:rPr>
        <w:t>If the termination of employment</w:t>
      </w:r>
      <w:r>
        <w:rPr>
          <w:color w:val="000000"/>
        </w:rPr>
        <w:t xml:space="preserve"> </w:t>
      </w:r>
      <w:r>
        <w:rPr>
          <w:rFonts w:ascii="Arial;sans-serif" w:hAnsi="Arial;sans-serif"/>
          <w:b w:val="false"/>
          <w:color w:val="000000"/>
          <w:sz w:val="22"/>
        </w:rPr>
        <w:t>occurs</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during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calendar</w:t>
      </w:r>
      <w:r>
        <w:rPr>
          <w:color w:val="000000"/>
        </w:rPr>
        <w:t xml:space="preserve"> </w:t>
      </w:r>
      <w:r>
        <w:rPr>
          <w:rFonts w:ascii="Arial;sans-serif" w:hAnsi="Arial;sans-serif"/>
          <w:b w:val="false"/>
          <w:color w:val="000000"/>
          <w:sz w:val="22"/>
        </w:rPr>
        <w:t>year</w:t>
      </w:r>
      <w:r>
        <w:rPr>
          <w:color w:val="000000"/>
        </w:rPr>
        <w:t xml:space="preserve"> </w:t>
      </w:r>
      <w:r>
        <w:rPr>
          <w:rFonts w:ascii="Arial;sans-serif" w:hAnsi="Arial;sans-serif"/>
          <w:b w:val="false"/>
          <w:color w:val="000000"/>
          <w:sz w:val="22"/>
        </w:rPr>
        <w:t>where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Release</w:t>
      </w:r>
      <w:r>
        <w:rPr>
          <w:color w:val="000000"/>
        </w:rPr>
        <w:t xml:space="preserve"> </w:t>
      </w:r>
      <w:r>
        <w:rPr>
          <w:rFonts w:ascii="Arial;sans-serif" w:hAnsi="Arial;sans-serif"/>
          <w:b w:val="false"/>
          <w:color w:val="000000"/>
          <w:sz w:val="22"/>
        </w:rPr>
        <w:t xml:space="preserve">Deadline could occur in the calendar year following the calendar year in which Executive’s </w:t>
      </w:r>
      <w:r>
        <w:rPr>
          <w:rFonts w:ascii="Arial;sans-serif" w:hAnsi="Arial;sans-serif"/>
          <w:b w:val="false"/>
          <w:color w:val="000000"/>
          <w:sz w:val="24"/>
        </w:rPr>
        <w:t xml:space="preserve">termination of employment occurs, then any severance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4"/>
        </w:rPr>
        <w:t xml:space="preserve">payments or benefits under </w:t>
      </w:r>
      <w:r>
        <w:rPr>
          <w:rFonts w:ascii="Arial;sans-serif" w:hAnsi="Arial;sans-serif"/>
          <w:b w:val="false"/>
          <w:color w:val="000000"/>
          <w:sz w:val="22"/>
        </w:rPr>
        <w:t>this Agreement that would be considered Deferred Payments (as defined in Section 7(c)(i)) will be paid on the first payroll date to occur during the calendar year following the calendar year in which such termination occurs, or such later time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(i)</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schedule</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each</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benefit as</w:t>
      </w:r>
      <w:r>
        <w:rPr>
          <w:color w:val="000000"/>
        </w:rPr>
        <w:t xml:space="preserve"> </w:t>
      </w:r>
      <w:r>
        <w:rPr>
          <w:rFonts w:ascii="Arial;sans-serif" w:hAnsi="Arial;sans-serif"/>
          <w:b w:val="false"/>
          <w:color w:val="000000"/>
          <w:sz w:val="22"/>
        </w:rPr>
        <w:t>set</w:t>
      </w:r>
      <w:r>
        <w:rPr>
          <w:color w:val="000000"/>
        </w:rPr>
        <w:t xml:space="preserve"> </w:t>
      </w:r>
      <w:r>
        <w:rPr>
          <w:rFonts w:ascii="Arial;sans-serif" w:hAnsi="Arial;sans-serif"/>
          <w:b w:val="false"/>
          <w:color w:val="000000"/>
          <w:sz w:val="22"/>
        </w:rPr>
        <w:t>forth</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6,</w:t>
      </w:r>
      <w:r>
        <w:rPr>
          <w:color w:val="000000"/>
        </w:rPr>
        <w:t xml:space="preserve"> </w:t>
      </w:r>
      <w:r>
        <w:rPr>
          <w:rFonts w:ascii="Arial;sans-serif" w:hAnsi="Arial;sans-serif"/>
          <w:b w:val="false"/>
          <w:color w:val="000000"/>
          <w:sz w:val="22"/>
        </w:rPr>
        <w:t>(ii)</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Release</w:t>
      </w:r>
      <w:r>
        <w:rPr>
          <w:color w:val="000000"/>
        </w:rPr>
        <w:t xml:space="preserve"> </w:t>
      </w:r>
      <w:r>
        <w:rPr>
          <w:rFonts w:ascii="Arial;sans-serif" w:hAnsi="Arial;sans-serif"/>
          <w:b w:val="false"/>
          <w:color w:val="000000"/>
          <w:sz w:val="22"/>
        </w:rPr>
        <w:t>becomes</w:t>
      </w:r>
      <w:r>
        <w:rPr>
          <w:color w:val="000000"/>
        </w:rPr>
        <w:t xml:space="preserve"> </w:t>
      </w:r>
      <w:r>
        <w:rPr>
          <w:rFonts w:ascii="Arial;sans-serif" w:hAnsi="Arial;sans-serif"/>
          <w:b w:val="false"/>
          <w:color w:val="000000"/>
          <w:sz w:val="22"/>
        </w:rPr>
        <w:t>effective,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(iii)</w:t>
      </w:r>
      <w:r>
        <w:rPr>
          <w:color w:val="000000"/>
        </w:rPr>
        <w:t xml:space="preserve"> </w:t>
      </w:r>
      <w:r>
        <w:rPr>
          <w:rFonts w:ascii="Arial;sans-serif" w:hAnsi="Arial;sans-serif"/>
          <w:b w:val="false"/>
          <w:color w:val="000000"/>
          <w:sz w:val="22"/>
        </w:rPr>
        <w:t>Section 7(c)(ii); provided that the first payment shall include all amounts that would have been paid to Executive if payment had commenced on the date of Executive’s termination of employment.</w:t>
      </w:r>
    </w:p>
    <w:p>
      <w:pPr>
        <w:pStyle w:val="TextBody"/>
        <w:spacing w:before="0" w:after="0"/>
        <w:ind w:left="0" w:right="0" w:firstLine="1540"/>
        <w:jc w:val="both"/>
        <w:rPr/>
      </w:pPr>
      <w:r>
        <w:rPr/>
      </w:r>
    </w:p>
    <w:p>
      <w:pPr>
        <w:pStyle w:val="TextBody"/>
        <w:spacing w:lineRule="auto" w:line="276" w:before="0" w:after="0"/>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Confidentiality Agreement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Executive’s receipt of any payments or benefits under</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6</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subject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continuing</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comply</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of the Confidentiality Agreement (as defined in Section 11(a) below).</w:t>
      </w:r>
    </w:p>
    <w:p>
      <w:pPr>
        <w:pStyle w:val="TextBody"/>
        <w:spacing w:before="0" w:after="0"/>
        <w:jc w:val="both"/>
        <w:rPr/>
      </w:pPr>
      <w:r>
        <w:rPr/>
      </w:r>
    </w:p>
    <w:p>
      <w:pPr>
        <w:pStyle w:val="TextBody"/>
        <w:spacing w:lineRule="auto" w:line="268" w:before="0" w:after="0"/>
        <w:ind w:left="0" w:right="0" w:hanging="360"/>
        <w:rPr/>
      </w:pPr>
      <w:r>
        <w:rPr>
          <w:rFonts w:ascii="Arial;sans-serif" w:hAnsi="Arial;sans-serif"/>
          <w:b/>
          <w:color w:val="000000"/>
          <w:sz w:val="22"/>
        </w:rPr>
        <w:t>c.</w:t>
      </w:r>
      <w:r>
        <w:rPr>
          <w:rFonts w:ascii="Arial;sans-serif" w:hAnsi="Arial;sans-serif"/>
          <w:b/>
          <w:color w:val="000000"/>
          <w:sz w:val="24"/>
          <w:u w:val="single"/>
        </w:rPr>
        <w:t>Section 409A</w:t>
      </w:r>
      <w:r>
        <w:rPr>
          <w:rFonts w:ascii="Arial;sans-serif" w:hAnsi="Arial;sans-serif"/>
          <w:b/>
          <w:color w:val="000000"/>
          <w:sz w:val="24"/>
        </w:rPr>
        <w:t>.</w:t>
      </w:r>
    </w:p>
    <w:p>
      <w:pPr>
        <w:pStyle w:val="TextBody"/>
        <w:spacing w:before="0" w:after="0"/>
        <w:rPr/>
      </w:pPr>
      <w:r>
        <w:rPr/>
      </w:r>
    </w:p>
    <w:p>
      <w:pPr>
        <w:pStyle w:val="TextBody"/>
        <w:spacing w:lineRule="auto" w:line="276" w:before="0" w:after="0"/>
        <w:ind w:left="0" w:right="0" w:hanging="470"/>
        <w:jc w:val="both"/>
        <w:rPr/>
      </w:pPr>
      <w:r>
        <w:rPr>
          <w:rFonts w:ascii="Arial;sans-serif" w:hAnsi="Arial;sans-serif"/>
          <w:b w:val="false"/>
          <w:color w:val="000000"/>
          <w:sz w:val="22"/>
        </w:rPr>
        <w:t>i.Notwithstanding anything to</w:t>
      </w:r>
      <w:r>
        <w:rPr>
          <w:color w:val="000000"/>
        </w:rPr>
        <w:t xml:space="preserve"> </w:t>
      </w:r>
      <w:r>
        <w:rPr>
          <w:rFonts w:ascii="Arial;sans-serif" w:hAnsi="Arial;sans-serif"/>
          <w:b w:val="false"/>
          <w:color w:val="000000"/>
          <w:sz w:val="22"/>
        </w:rPr>
        <w:t>the contrary in this Agreement, no severance pay</w:t>
      </w:r>
      <w:r>
        <w:rPr>
          <w:color w:val="000000"/>
        </w:rPr>
        <w:t xml:space="preserve"> </w:t>
      </w:r>
      <w:r>
        <w:rPr>
          <w:rFonts w:ascii="Arial;sans-serif" w:hAnsi="Arial;sans-serif"/>
          <w:b w:val="false"/>
          <w:color w:val="000000"/>
          <w:sz w:val="22"/>
        </w:rPr>
        <w:t>or benefits</w:t>
      </w:r>
      <w:r>
        <w:rPr>
          <w:color w:val="000000"/>
        </w:rPr>
        <w:t xml:space="preserve"> </w:t>
      </w:r>
      <w:r>
        <w:rPr>
          <w:rFonts w:ascii="Arial;sans-serif" w:hAnsi="Arial;sans-serif"/>
          <w:b w:val="false"/>
          <w:color w:val="000000"/>
          <w:sz w:val="22"/>
        </w:rPr>
        <w:t>to be</w:t>
      </w:r>
      <w:r>
        <w:rPr>
          <w:color w:val="000000"/>
        </w:rPr>
        <w:t xml:space="preserve"> </w:t>
      </w:r>
      <w:r>
        <w:rPr>
          <w:rFonts w:ascii="Arial;sans-serif" w:hAnsi="Arial;sans-serif"/>
          <w:b w:val="false"/>
          <w:color w:val="000000"/>
          <w:sz w:val="22"/>
        </w:rPr>
        <w:t>paid or</w:t>
      </w:r>
      <w:r>
        <w:rPr>
          <w:color w:val="000000"/>
        </w:rPr>
        <w:t xml:space="preserve"> </w:t>
      </w:r>
      <w:r>
        <w:rPr>
          <w:rFonts w:ascii="Arial;sans-serif" w:hAnsi="Arial;sans-serif"/>
          <w:b w:val="false"/>
          <w:color w:val="000000"/>
          <w:sz w:val="22"/>
        </w:rPr>
        <w:t>provided to</w:t>
      </w:r>
      <w:r>
        <w:rPr>
          <w:color w:val="000000"/>
        </w:rPr>
        <w:t xml:space="preserve"> </w:t>
      </w:r>
      <w:r>
        <w:rPr>
          <w:rFonts w:ascii="Arial;sans-serif" w:hAnsi="Arial;sans-serif"/>
          <w:b w:val="false"/>
          <w:color w:val="000000"/>
          <w:sz w:val="22"/>
        </w:rPr>
        <w:t>Executive, if any, pursuant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this Agreement that, when considered together with any other severance payments or separation benefits, are considered deferred compensation not exempt under Section 409A (together, the “</w:t>
      </w:r>
      <w:r>
        <w:rPr>
          <w:rFonts w:ascii="Arial;sans-serif" w:hAnsi="Arial;sans-serif"/>
          <w:b/>
          <w:i/>
          <w:color w:val="000000"/>
          <w:sz w:val="24"/>
        </w:rPr>
        <w:t>Deferred Payments</w:t>
      </w:r>
      <w:r>
        <w:rPr>
          <w:color w:val="000000"/>
        </w:rPr>
        <w:t>”</w:t>
      </w:r>
      <w:r>
        <w:rPr>
          <w:rFonts w:ascii="Arial;sans-serif" w:hAnsi="Arial;sans-serif"/>
          <w:b w:val="false"/>
          <w:color w:val="000000"/>
          <w:sz w:val="22"/>
        </w:rPr>
        <w:t>) will be paid or otherwise provided until Executive has a “separation from service” within the meaning of Section 409A.</w:t>
      </w:r>
      <w:r>
        <w:rPr>
          <w:color w:val="000000"/>
        </w:rPr>
        <w:t xml:space="preserve"> </w:t>
      </w:r>
      <w:r>
        <w:rPr>
          <w:rFonts w:ascii="Arial;sans-serif" w:hAnsi="Arial;sans-serif"/>
          <w:b w:val="false"/>
          <w:color w:val="000000"/>
          <w:sz w:val="22"/>
        </w:rPr>
        <w:t>And for purposes of this Agreement,</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reference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termination”</w:t>
      </w:r>
      <w:r>
        <w:rPr>
          <w:color w:val="000000"/>
        </w:rPr>
        <w:t xml:space="preserve"> </w:t>
      </w:r>
      <w:r>
        <w:rPr>
          <w:rFonts w:ascii="Arial;sans-serif" w:hAnsi="Arial;sans-serif"/>
          <w:b w:val="false"/>
          <w:color w:val="000000"/>
          <w:sz w:val="22"/>
        </w:rPr>
        <w:t>or any similar term shall be construed to mean a “separation from service” within the meaning of Section 409A.</w:t>
      </w:r>
      <w:r>
        <w:rPr>
          <w:color w:val="000000"/>
        </w:rPr>
        <w:t xml:space="preserve"> </w:t>
      </w:r>
      <w:r>
        <w:rPr>
          <w:rFonts w:ascii="Arial;sans-serif" w:hAnsi="Arial;sans-serif"/>
          <w:b w:val="false"/>
          <w:color w:val="000000"/>
          <w:sz w:val="22"/>
        </w:rPr>
        <w:t>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pStyle w:val="TextBody"/>
        <w:spacing w:before="0" w:after="0"/>
        <w:jc w:val="both"/>
        <w:rPr/>
      </w:pPr>
      <w:r>
        <w:rPr/>
      </w:r>
    </w:p>
    <w:p>
      <w:pPr>
        <w:pStyle w:val="TextBody"/>
        <w:spacing w:lineRule="auto" w:line="276"/>
        <w:ind w:left="0" w:right="0" w:hanging="519"/>
        <w:jc w:val="both"/>
        <w:rPr/>
      </w:pPr>
      <w:r>
        <w:rPr>
          <w:rFonts w:ascii="Arial;sans-serif" w:hAnsi="Arial;sans-serif"/>
          <w:b w:val="false"/>
          <w:color w:val="000000"/>
          <w:sz w:val="22"/>
        </w:rPr>
        <w:t>ii.Notwithstanding anything</w:t>
      </w:r>
      <w:r>
        <w:rPr>
          <w:color w:val="000000"/>
        </w:rPr>
        <w:t xml:space="preserve"> </w:t>
      </w:r>
      <w:r>
        <w:rPr>
          <w:rFonts w:ascii="Arial;sans-serif" w:hAnsi="Arial;sans-serif"/>
          <w:b w:val="false"/>
          <w:color w:val="000000"/>
          <w:sz w:val="22"/>
        </w:rPr>
        <w:t>to the</w:t>
      </w:r>
      <w:r>
        <w:rPr>
          <w:color w:val="000000"/>
        </w:rPr>
        <w:t xml:space="preserve"> </w:t>
      </w:r>
      <w:r>
        <w:rPr>
          <w:rFonts w:ascii="Arial;sans-serif" w:hAnsi="Arial;sans-serif"/>
          <w:b w:val="false"/>
          <w:color w:val="000000"/>
          <w:sz w:val="22"/>
        </w:rPr>
        <w:t>contrary</w:t>
      </w:r>
      <w:r>
        <w:rPr>
          <w:color w:val="000000"/>
        </w:rPr>
        <w:t xml:space="preserve"> </w:t>
      </w:r>
      <w:r>
        <w:rPr>
          <w:rFonts w:ascii="Arial;sans-serif" w:hAnsi="Arial;sans-serif"/>
          <w:b w:val="false"/>
          <w:color w:val="000000"/>
          <w:sz w:val="22"/>
        </w:rPr>
        <w:t>in this Agreement, if Executive is a</w:t>
      </w:r>
      <w:r>
        <w:rPr>
          <w:color w:val="000000"/>
        </w:rPr>
        <w:t xml:space="preserve"> “</w:t>
      </w:r>
      <w:r>
        <w:rPr>
          <w:rFonts w:ascii="Arial;sans-serif" w:hAnsi="Arial;sans-serif"/>
          <w:b/>
          <w:i/>
          <w:color w:val="000000"/>
          <w:sz w:val="24"/>
        </w:rPr>
        <w:t>specified employee</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meaning</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of Executive’s termination</w:t>
      </w:r>
      <w:r>
        <w:rPr>
          <w:color w:val="000000"/>
        </w:rPr>
        <w:t xml:space="preserve"> </w:t>
      </w:r>
      <w:r>
        <w:rPr>
          <w:rFonts w:ascii="Arial;sans-serif" w:hAnsi="Arial;sans-serif"/>
          <w:b w:val="false"/>
          <w:color w:val="000000"/>
          <w:sz w:val="22"/>
        </w:rPr>
        <w:t>of employment</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than</w:t>
      </w:r>
      <w:r>
        <w:rPr>
          <w:color w:val="000000"/>
        </w:rPr>
        <w:t xml:space="preserve"> </w:t>
      </w:r>
      <w:r>
        <w:rPr>
          <w:rFonts w:ascii="Arial;sans-serif" w:hAnsi="Arial;sans-serif"/>
          <w:b w:val="false"/>
          <w:color w:val="000000"/>
          <w:sz w:val="22"/>
        </w:rPr>
        <w:t>due to death), then</w:t>
      </w:r>
      <w:r>
        <w:rPr>
          <w:color w:val="000000"/>
        </w:rPr>
        <w:t xml:space="preserve"> </w:t>
      </w:r>
      <w:r>
        <w:rPr>
          <w:rFonts w:ascii="Arial;sans-serif" w:hAnsi="Arial;sans-serif"/>
          <w:b w:val="false"/>
          <w:color w:val="000000"/>
          <w:sz w:val="22"/>
        </w:rPr>
        <w:t>the Deferred Payments, if any, that are payable within the first six (6) months following Executive’s separation</w:t>
      </w:r>
      <w:r>
        <w:rPr>
          <w:color w:val="000000"/>
        </w:rPr>
        <w:t xml:space="preserve"> </w:t>
      </w:r>
      <w:r>
        <w:rPr>
          <w:rFonts w:ascii="Arial;sans-serif" w:hAnsi="Arial;sans-serif"/>
          <w:b w:val="false"/>
          <w:color w:val="000000"/>
          <w:sz w:val="22"/>
        </w:rPr>
        <w:t>from service, will become payable on the first</w:t>
      </w:r>
      <w:r>
        <w:rPr>
          <w:color w:val="000000"/>
        </w:rPr>
        <w:t xml:space="preserve"> </w:t>
      </w:r>
      <w:r>
        <w:rPr>
          <w:rFonts w:ascii="Arial;sans-serif" w:hAnsi="Arial;sans-serif"/>
          <w:b w:val="false"/>
          <w:color w:val="000000"/>
          <w:sz w:val="22"/>
        </w:rPr>
        <w:t>payroll</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occurs</w:t>
      </w:r>
      <w:r>
        <w:rPr>
          <w:color w:val="000000"/>
        </w:rPr>
        <w:t xml:space="preserve"> </w:t>
      </w:r>
      <w:r>
        <w:rPr>
          <w:rFonts w:ascii="Arial;sans-serif" w:hAnsi="Arial;sans-serif"/>
          <w:b w:val="false"/>
          <w:color w:val="000000"/>
          <w:sz w:val="22"/>
        </w:rPr>
        <w:t>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after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six</w:t>
      </w:r>
      <w:r>
        <w:rPr>
          <w:color w:val="000000"/>
        </w:rPr>
        <w:t xml:space="preserve"> </w:t>
      </w:r>
      <w:r>
        <w:rPr>
          <w:rFonts w:ascii="Arial;sans-serif" w:hAnsi="Arial;sans-serif"/>
          <w:b w:val="false"/>
          <w:color w:val="000000"/>
          <w:sz w:val="22"/>
        </w:rPr>
        <w:t>(6)</w:t>
      </w:r>
      <w:r>
        <w:rPr>
          <w:color w:val="000000"/>
        </w:rPr>
        <w:t xml:space="preserve"> </w:t>
      </w:r>
      <w:r>
        <w:rPr>
          <w:rFonts w:ascii="Arial;sans-serif" w:hAnsi="Arial;sans-serif"/>
          <w:b w:val="false"/>
          <w:color w:val="000000"/>
          <w:sz w:val="22"/>
        </w:rPr>
        <w:t>months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one</w:t>
      </w:r>
      <w:r>
        <w:rPr>
          <w:color w:val="000000"/>
        </w:rPr>
        <w:t xml:space="preserve"> </w:t>
      </w:r>
      <w:r>
        <w:rPr>
          <w:rFonts w:ascii="Arial;sans-serif" w:hAnsi="Arial;sans-serif"/>
          <w:b w:val="false"/>
          <w:color w:val="000000"/>
          <w:sz w:val="22"/>
        </w:rPr>
        <w:t>(1) day following the date of Executive’s separation from service.</w:t>
      </w:r>
      <w:r>
        <w:rPr>
          <w:color w:val="000000"/>
        </w:rPr>
        <w:t xml:space="preserve"> </w:t>
      </w:r>
      <w:r>
        <w:rPr>
          <w:rFonts w:ascii="Arial;sans-serif" w:hAnsi="Arial;sans-serif"/>
          <w:b w:val="false"/>
          <w:color w:val="000000"/>
          <w:sz w:val="22"/>
        </w:rPr>
        <w:t>All subsequent</w:t>
      </w:r>
      <w:r>
        <w:rPr>
          <w:color w:val="000000"/>
        </w:rPr>
        <w:t xml:space="preserve"> </w:t>
      </w:r>
      <w:r>
        <w:rPr>
          <w:rFonts w:ascii="Arial;sans-serif" w:hAnsi="Arial;sans-serif"/>
          <w:b w:val="false"/>
          <w:color w:val="000000"/>
          <w:sz w:val="22"/>
        </w:rPr>
        <w:t>Deferred</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payable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accordance</w:t>
      </w:r>
      <w:r>
        <w:rPr>
          <w:color w:val="000000"/>
        </w:rPr>
        <w:t xml:space="preserve"> </w:t>
      </w:r>
      <w:r>
        <w:rPr>
          <w:rFonts w:ascii="Arial;sans-serif" w:hAnsi="Arial;sans-serif"/>
          <w:b w:val="false"/>
          <w:color w:val="000000"/>
          <w:sz w:val="22"/>
        </w:rPr>
        <w:t>with the</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schedule</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each</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benefit. Notwithstanding</w:t>
      </w:r>
      <w:r>
        <w:rPr>
          <w:color w:val="000000"/>
        </w:rPr>
        <w:t xml:space="preserve"> </w:t>
      </w:r>
      <w:r>
        <w:rPr>
          <w:rFonts w:ascii="Arial;sans-serif" w:hAnsi="Arial;sans-serif"/>
          <w:b w:val="false"/>
          <w:color w:val="000000"/>
          <w:sz w:val="22"/>
        </w:rPr>
        <w:t>anything</w:t>
      </w:r>
      <w:r>
        <w:rPr>
          <w:color w:val="000000"/>
        </w:rPr>
        <w:t xml:space="preserve"> </w:t>
      </w:r>
      <w:r>
        <w:rPr>
          <w:rFonts w:ascii="Arial;sans-serif" w:hAnsi="Arial;sans-serif"/>
          <w:b w:val="false"/>
          <w:color w:val="000000"/>
          <w:sz w:val="22"/>
        </w:rPr>
        <w:t>herein</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contrary,</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dies</w:t>
      </w:r>
      <w:r>
        <w:rPr>
          <w:color w:val="000000"/>
        </w:rPr>
        <w:t xml:space="preserve"> </w:t>
      </w:r>
      <w:r>
        <w:rPr>
          <w:rFonts w:ascii="Arial;sans-serif" w:hAnsi="Arial;sans-serif"/>
          <w:b w:val="false"/>
          <w:color w:val="000000"/>
          <w:sz w:val="22"/>
        </w:rPr>
        <w:t>following Executive’s separation from service, but prior to the six (6) month anniversary of the separation from service, then any payments delayed in accordance with this paragraph will be payable in a lump sum as soon as administratively</w:t>
      </w:r>
      <w:r>
        <w:rPr>
          <w:color w:val="000000"/>
        </w:rPr>
        <w:t xml:space="preserve"> </w:t>
      </w:r>
      <w:r>
        <w:rPr>
          <w:rFonts w:ascii="Arial;sans-serif" w:hAnsi="Arial;sans-serif"/>
          <w:b w:val="false"/>
          <w:color w:val="000000"/>
          <w:sz w:val="22"/>
        </w:rPr>
        <w:t>practicable</w:t>
      </w:r>
      <w:r>
        <w:rPr>
          <w:color w:val="000000"/>
        </w:rPr>
        <w:t xml:space="preserve"> </w:t>
      </w:r>
      <w:r>
        <w:rPr>
          <w:rFonts w:ascii="Arial;sans-serif" w:hAnsi="Arial;sans-serif"/>
          <w:b w:val="false"/>
          <w:color w:val="000000"/>
          <w:sz w:val="22"/>
        </w:rPr>
        <w:t>after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death</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other Deferred Payments will be payable in accordance with the payment schedule applicable to each payment or benefit.</w:t>
      </w:r>
      <w:r>
        <w:rPr>
          <w:color w:val="000000"/>
        </w:rPr>
        <w:t xml:space="preserve"> </w:t>
      </w:r>
      <w:r>
        <w:rPr>
          <w:rFonts w:ascii="Arial;sans-serif" w:hAnsi="Arial;sans-serif"/>
          <w:b w:val="false"/>
          <w:color w:val="000000"/>
          <w:sz w:val="22"/>
        </w:rPr>
        <w:t xml:space="preserve">Each payment, installment and benefit payable under this Agreement is intended to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rFonts w:ascii="Arial;sans-serif" w:hAnsi="Arial;sans-serif"/>
          <w:b w:val="false"/>
          <w:color w:val="000000"/>
          <w:sz w:val="22"/>
        </w:rPr>
      </w:pPr>
      <w:r>
        <w:rPr>
          <w:rFonts w:ascii="Arial;sans-serif" w:hAnsi="Arial;sans-serif"/>
          <w:b w:val="false"/>
          <w:color w:val="000000"/>
          <w:sz w:val="22"/>
        </w:rPr>
        <w:t>constitute a separate payment for purposes of Section 1.409A-2(b)(2) of the Treasury Regulations.</w:t>
      </w:r>
    </w:p>
    <w:p>
      <w:pPr>
        <w:pStyle w:val="TextBody"/>
        <w:spacing w:before="0" w:after="0"/>
        <w:ind w:left="0" w:right="0" w:firstLine="2260"/>
        <w:jc w:val="both"/>
        <w:rPr/>
      </w:pPr>
      <w:r>
        <w:rPr/>
      </w:r>
    </w:p>
    <w:p>
      <w:pPr>
        <w:pStyle w:val="TextBody"/>
        <w:spacing w:lineRule="auto" w:line="276" w:before="0" w:after="0"/>
        <w:ind w:left="0" w:right="0" w:hanging="567"/>
        <w:jc w:val="both"/>
        <w:rPr/>
      </w:pPr>
      <w:r>
        <w:rPr>
          <w:rFonts w:ascii="Arial;sans-serif" w:hAnsi="Arial;sans-serif"/>
          <w:b w:val="false"/>
          <w:color w:val="000000"/>
          <w:sz w:val="22"/>
        </w:rPr>
        <w:t>iii.Without</w:t>
      </w:r>
      <w:r>
        <w:rPr>
          <w:color w:val="000000"/>
        </w:rPr>
        <w:t xml:space="preserve"> </w:t>
      </w:r>
      <w:r>
        <w:rPr>
          <w:rFonts w:ascii="Arial;sans-serif" w:hAnsi="Arial;sans-serif"/>
          <w:b w:val="false"/>
          <w:color w:val="000000"/>
          <w:sz w:val="22"/>
        </w:rPr>
        <w:t>limitation,</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amount</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satisfies</w:t>
      </w:r>
      <w:r>
        <w:rPr>
          <w:color w:val="000000"/>
        </w:rPr>
        <w:t xml:space="preserve"> </w:t>
      </w:r>
      <w:r>
        <w:rPr>
          <w:rFonts w:ascii="Arial;sans-serif" w:hAnsi="Arial;sans-serif"/>
          <w:b w:val="false"/>
          <w:color w:val="000000"/>
          <w:sz w:val="22"/>
        </w:rPr>
        <w:t>the requirements of the “short-term deferral” rule set forth in Section 1.409A- 1(b)(4) of the Treasury Regulations is not intended to constitute Deferred Payments for purposes of clause (i) above.</w:t>
      </w:r>
    </w:p>
    <w:p>
      <w:pPr>
        <w:pStyle w:val="TextBody"/>
        <w:spacing w:before="0" w:after="0"/>
        <w:jc w:val="both"/>
        <w:rPr/>
      </w:pPr>
      <w:r>
        <w:rPr/>
      </w:r>
    </w:p>
    <w:p>
      <w:pPr>
        <w:pStyle w:val="TextBody"/>
        <w:spacing w:lineRule="auto" w:line="276" w:before="0" w:after="0"/>
        <w:ind w:left="0" w:right="0" w:hanging="580"/>
        <w:jc w:val="both"/>
        <w:rPr/>
      </w:pPr>
      <w:r>
        <w:rPr>
          <w:rFonts w:ascii="Arial;sans-serif" w:hAnsi="Arial;sans-serif"/>
          <w:b w:val="false"/>
          <w:color w:val="000000"/>
          <w:sz w:val="22"/>
        </w:rPr>
        <w:t>iv.Without</w:t>
      </w:r>
      <w:r>
        <w:rPr>
          <w:color w:val="000000"/>
        </w:rPr>
        <w:t xml:space="preserve"> </w:t>
      </w:r>
      <w:r>
        <w:rPr>
          <w:rFonts w:ascii="Arial;sans-serif" w:hAnsi="Arial;sans-serif"/>
          <w:b w:val="false"/>
          <w:color w:val="000000"/>
          <w:sz w:val="22"/>
        </w:rPr>
        <w:t>limitation, any</w:t>
      </w:r>
      <w:r>
        <w:rPr>
          <w:color w:val="000000"/>
        </w:rPr>
        <w:t xml:space="preserve"> </w:t>
      </w:r>
      <w:r>
        <w:rPr>
          <w:rFonts w:ascii="Arial;sans-serif" w:hAnsi="Arial;sans-serif"/>
          <w:b w:val="false"/>
          <w:color w:val="000000"/>
          <w:sz w:val="22"/>
        </w:rPr>
        <w:t>amount</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qualifies</w:t>
      </w:r>
      <w:r>
        <w:rPr>
          <w:color w:val="000000"/>
        </w:rPr>
        <w:t xml:space="preserve"> </w:t>
      </w:r>
      <w:r>
        <w:rPr>
          <w:rFonts w:ascii="Arial;sans-serif" w:hAnsi="Arial;sans-serif"/>
          <w:b w:val="false"/>
          <w:color w:val="000000"/>
          <w:sz w:val="22"/>
        </w:rPr>
        <w:t>as a payment made as a result of an involuntary separation from service pursuant to Section 1.409A-1(b)(9)(iii) of the Treasury Regulations that does not exceed the Section 409A Limit is not intended to constitute Deferred Payments for purposes of clause (i) above.</w:t>
      </w:r>
      <w:r>
        <w:rPr>
          <w:color w:val="000000"/>
        </w:rPr>
        <w:t xml:space="preserve"> </w:t>
      </w:r>
      <w:r>
        <w:rPr>
          <w:rFonts w:ascii="Arial;sans-serif" w:hAnsi="Arial;sans-serif"/>
          <w:b w:val="false"/>
          <w:color w:val="000000"/>
          <w:sz w:val="22"/>
        </w:rPr>
        <w:t>Any payment intended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qualify</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exemption</w:t>
      </w:r>
      <w:r>
        <w:rPr>
          <w:color w:val="000000"/>
        </w:rPr>
        <w:t xml:space="preserve"> </w:t>
      </w:r>
      <w:r>
        <w:rPr>
          <w:rFonts w:ascii="Arial;sans-serif" w:hAnsi="Arial;sans-serif"/>
          <w:b w:val="false"/>
          <w:color w:val="000000"/>
          <w:sz w:val="22"/>
        </w:rPr>
        <w:t>must</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made</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 xml:space="preserve">allowable time period specified in Section 1.409A-1(b)(9)(iii) of the Treasury </w:t>
      </w:r>
      <w:r>
        <w:rPr>
          <w:rFonts w:ascii="Arial;sans-serif" w:hAnsi="Arial;sans-serif"/>
          <w:b w:val="false"/>
          <w:color w:val="000000"/>
          <w:sz w:val="24"/>
        </w:rPr>
        <w:t>Regulations.</w:t>
      </w:r>
    </w:p>
    <w:p>
      <w:pPr>
        <w:pStyle w:val="TextBody"/>
        <w:spacing w:before="0" w:after="0"/>
        <w:jc w:val="both"/>
        <w:rPr/>
      </w:pPr>
      <w:r>
        <w:rPr/>
      </w:r>
    </w:p>
    <w:p>
      <w:pPr>
        <w:pStyle w:val="TextBody"/>
        <w:spacing w:lineRule="auto" w:line="276" w:before="0" w:after="0"/>
        <w:ind w:left="0" w:right="0" w:hanging="531"/>
        <w:jc w:val="both"/>
        <w:rPr/>
      </w:pPr>
      <w:r>
        <w:rPr>
          <w:rFonts w:ascii="Arial;sans-serif" w:hAnsi="Arial;sans-serif"/>
          <w:b w:val="false"/>
          <w:color w:val="000000"/>
          <w:sz w:val="22"/>
        </w:rPr>
        <w:t>v.To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extent</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reimbursements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in-kind</w:t>
      </w:r>
      <w:r>
        <w:rPr>
          <w:color w:val="000000"/>
        </w:rPr>
        <w:t xml:space="preserve"> </w:t>
      </w:r>
      <w:r>
        <w:rPr>
          <w:rFonts w:ascii="Arial;sans-serif" w:hAnsi="Arial;sans-serif"/>
          <w:b w:val="false"/>
          <w:color w:val="000000"/>
          <w:sz w:val="22"/>
        </w:rPr>
        <w:t>benefits</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 xml:space="preserve">Agreement constitute non-exempt “nonqualified deferred compensation” for purposes of Section 409A, (1) all reimbursements hereunder shall be made on or </w:t>
      </w:r>
      <w:r>
        <w:rPr>
          <w:rFonts w:ascii="Arial;sans-serif" w:hAnsi="Arial;sans-serif"/>
          <w:b w:val="false"/>
          <w:color w:val="000000"/>
          <w:sz w:val="24"/>
        </w:rPr>
        <w:t xml:space="preserve">prior to the last day of the calendar year following the calendar year in which </w:t>
      </w:r>
      <w:r>
        <w:rPr>
          <w:rFonts w:ascii="Arial;sans-serif" w:hAnsi="Arial;sans-serif"/>
          <w:b w:val="false"/>
          <w:color w:val="000000"/>
          <w:sz w:val="22"/>
        </w:rPr>
        <w:t>the expense was incurred by</w:t>
      </w:r>
      <w:r>
        <w:rPr>
          <w:color w:val="000000"/>
        </w:rPr>
        <w:t xml:space="preserve"> </w:t>
      </w:r>
      <w:r>
        <w:rPr>
          <w:rFonts w:ascii="Arial;sans-serif" w:hAnsi="Arial;sans-serif"/>
          <w:b w:val="false"/>
          <w:color w:val="000000"/>
          <w:sz w:val="22"/>
        </w:rPr>
        <w:t>Executive, (2) any right to</w:t>
      </w:r>
      <w:r>
        <w:rPr>
          <w:color w:val="000000"/>
        </w:rPr>
        <w:t xml:space="preserve"> </w:t>
      </w:r>
      <w:r>
        <w:rPr>
          <w:rFonts w:ascii="Arial;sans-serif" w:hAnsi="Arial;sans-serif"/>
          <w:b w:val="false"/>
          <w:color w:val="000000"/>
          <w:sz w:val="22"/>
        </w:rPr>
        <w:t>reimbursement or in-kind benefits shall not be subject to liquidation or exchange for another benefit, and (3) the amount of expenses eligible for reimbursement or in- kind benefits provided in any calendar year shall not in any way affect the expenses eligible for reimbursement or in-kind benefits to be provided, in any other calendar year.</w:t>
      </w:r>
    </w:p>
    <w:p>
      <w:pPr>
        <w:pStyle w:val="TextBody"/>
        <w:spacing w:before="0" w:after="0"/>
        <w:jc w:val="both"/>
        <w:rPr/>
      </w:pPr>
      <w:r>
        <w:rPr/>
      </w:r>
    </w:p>
    <w:p>
      <w:pPr>
        <w:pStyle w:val="TextBody"/>
        <w:spacing w:lineRule="auto" w:line="276" w:before="0" w:after="0"/>
        <w:ind w:left="0" w:right="0" w:hanging="580"/>
        <w:jc w:val="both"/>
        <w:rPr/>
      </w:pPr>
      <w:r>
        <w:rPr>
          <w:rFonts w:ascii="Arial;sans-serif" w:hAnsi="Arial;sans-serif"/>
          <w:b w:val="false"/>
          <w:color w:val="000000"/>
          <w:sz w:val="22"/>
        </w:rPr>
        <w:t>vi.The payments and benefits provided under Sections 6(a) and 6(b) are intended to be exempt from or comply with the requirements of Section 409A</w:t>
      </w:r>
      <w:r>
        <w:rPr>
          <w:color w:val="000000"/>
        </w:rPr>
        <w:t xml:space="preserve"> </w:t>
      </w:r>
      <w:r>
        <w:rPr>
          <w:rFonts w:ascii="Arial;sans-serif" w:hAnsi="Arial;sans-serif"/>
          <w:b w:val="false"/>
          <w:color w:val="000000"/>
          <w:sz w:val="22"/>
        </w:rPr>
        <w:t>so</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none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severance</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benefits</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provided hereunder</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subject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additional</w:t>
      </w:r>
      <w:r>
        <w:rPr>
          <w:color w:val="000000"/>
        </w:rPr>
        <w:t xml:space="preserve"> </w:t>
      </w:r>
      <w:r>
        <w:rPr>
          <w:rFonts w:ascii="Arial;sans-serif" w:hAnsi="Arial;sans-serif"/>
          <w:b w:val="false"/>
          <w:color w:val="000000"/>
          <w:sz w:val="22"/>
        </w:rPr>
        <w:t>tax</w:t>
      </w:r>
      <w:r>
        <w:rPr>
          <w:color w:val="000000"/>
        </w:rPr>
        <w:t xml:space="preserve"> </w:t>
      </w:r>
      <w:r>
        <w:rPr>
          <w:rFonts w:ascii="Arial;sans-serif" w:hAnsi="Arial;sans-serif"/>
          <w:b w:val="false"/>
          <w:color w:val="000000"/>
          <w:sz w:val="22"/>
        </w:rPr>
        <w:t>imposed</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 and any ambiguities or ambiguous terms herein will be interpreted to be exempt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so</w:t>
      </w:r>
      <w:r>
        <w:rPr>
          <w:color w:val="000000"/>
        </w:rPr>
        <w:t xml:space="preserve"> </w:t>
      </w:r>
      <w:r>
        <w:rPr>
          <w:rFonts w:ascii="Arial;sans-serif" w:hAnsi="Arial;sans-serif"/>
          <w:b w:val="false"/>
          <w:color w:val="000000"/>
          <w:sz w:val="22"/>
        </w:rPr>
        <w:t>comply.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agree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work</w:t>
      </w:r>
      <w:r>
        <w:rPr>
          <w:color w:val="000000"/>
        </w:rPr>
        <w:t xml:space="preserve"> </w:t>
      </w:r>
      <w:r>
        <w:rPr>
          <w:rFonts w:ascii="Arial;sans-serif" w:hAnsi="Arial;sans-serif"/>
          <w:b w:val="false"/>
          <w:color w:val="000000"/>
          <w:sz w:val="22"/>
        </w:rPr>
        <w:t>together in good faith to consider amendments to this Agreement and to take such reasonable actions that are necessary, appropriate or desirable to avoid imposition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additional</w:t>
      </w:r>
      <w:r>
        <w:rPr>
          <w:color w:val="000000"/>
        </w:rPr>
        <w:t xml:space="preserve"> </w:t>
      </w:r>
      <w:r>
        <w:rPr>
          <w:rFonts w:ascii="Arial;sans-serif" w:hAnsi="Arial;sans-serif"/>
          <w:b w:val="false"/>
          <w:color w:val="000000"/>
          <w:sz w:val="22"/>
        </w:rPr>
        <w:t>tax</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income</w:t>
      </w:r>
      <w:r>
        <w:rPr>
          <w:color w:val="000000"/>
        </w:rPr>
        <w:t xml:space="preserve"> </w:t>
      </w:r>
      <w:r>
        <w:rPr>
          <w:rFonts w:ascii="Arial;sans-serif" w:hAnsi="Arial;sans-serif"/>
          <w:b w:val="false"/>
          <w:color w:val="000000"/>
          <w:sz w:val="22"/>
        </w:rPr>
        <w:t>recognition</w:t>
      </w:r>
      <w:r>
        <w:rPr>
          <w:color w:val="000000"/>
        </w:rPr>
        <w:t xml:space="preserve"> </w:t>
      </w:r>
      <w:r>
        <w:rPr>
          <w:rFonts w:ascii="Arial;sans-serif" w:hAnsi="Arial;sans-serif"/>
          <w:b w:val="false"/>
          <w:color w:val="000000"/>
          <w:sz w:val="22"/>
        </w:rPr>
        <w:t>prior</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actual payment to Executive under Section 409A.</w:t>
      </w:r>
    </w:p>
    <w:p>
      <w:pPr>
        <w:pStyle w:val="TextBody"/>
        <w:spacing w:before="0" w:after="0"/>
        <w:jc w:val="both"/>
        <w:rPr/>
      </w:pPr>
      <w:r>
        <w:rPr/>
      </w:r>
    </w:p>
    <w:p>
      <w:pPr>
        <w:pStyle w:val="TextBody"/>
        <w:spacing w:lineRule="auto" w:line="276" w:before="0" w:after="0"/>
        <w:ind w:left="0" w:right="0" w:hanging="360"/>
        <w:rPr/>
      </w:pPr>
      <w:r>
        <w:rPr>
          <w:rFonts w:ascii="Arial;sans-serif" w:hAnsi="Arial;sans-serif"/>
          <w:b w:val="false"/>
          <w:color w:val="000000"/>
          <w:sz w:val="22"/>
        </w:rPr>
        <w:t>8.</w:t>
      </w:r>
      <w:r>
        <w:rPr>
          <w:rFonts w:ascii="Arial;sans-serif" w:hAnsi="Arial;sans-serif"/>
          <w:b/>
          <w:color w:val="000000"/>
          <w:sz w:val="24"/>
          <w:u w:val="single"/>
        </w:rPr>
        <w:t>Definition of Terms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referred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the following meanings:</w:t>
      </w:r>
    </w:p>
    <w:p>
      <w:pPr>
        <w:pStyle w:val="TextBody"/>
        <w:spacing w:before="0" w:after="0"/>
        <w:rPr/>
      </w:pPr>
      <w:r>
        <w:rPr/>
      </w:r>
    </w:p>
    <w:p>
      <w:pPr>
        <w:pStyle w:val="TextBody"/>
        <w:spacing w:lineRule="auto" w:line="268" w:before="0" w:after="0"/>
        <w:ind w:left="0" w:right="0" w:hanging="360"/>
        <w:rPr/>
      </w:pPr>
      <w:r>
        <w:rPr>
          <w:rFonts w:ascii="Arial;sans-serif" w:hAnsi="Arial;sans-serif"/>
          <w:b w:val="false"/>
          <w:color w:val="000000"/>
          <w:sz w:val="22"/>
        </w:rPr>
        <w:t>a.</w:t>
      </w:r>
      <w:r>
        <w:rPr>
          <w:rFonts w:ascii="Arial;sans-serif" w:hAnsi="Arial;sans-serif"/>
          <w:b/>
          <w:color w:val="000000"/>
          <w:sz w:val="24"/>
          <w:u w:val="single"/>
        </w:rPr>
        <w:t>Cause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4"/>
        </w:rPr>
        <w:t>means:</w:t>
      </w:r>
    </w:p>
    <w:p>
      <w:pPr>
        <w:pStyle w:val="TextBody"/>
        <w:spacing w:before="0" w:after="0"/>
        <w:rPr/>
      </w:pPr>
      <w:r>
        <w:rPr/>
      </w:r>
    </w:p>
    <w:p>
      <w:pPr>
        <w:pStyle w:val="TextBody"/>
        <w:spacing w:lineRule="auto" w:line="276"/>
        <w:ind w:left="0" w:right="0" w:hanging="470"/>
        <w:jc w:val="both"/>
        <w:rPr>
          <w:rFonts w:ascii="Arial;sans-serif" w:hAnsi="Arial;sans-serif"/>
          <w:b w:val="false"/>
          <w:color w:val="000000"/>
          <w:sz w:val="22"/>
        </w:rPr>
      </w:pPr>
      <w:r>
        <w:rPr>
          <w:rFonts w:ascii="Arial;sans-serif" w:hAnsi="Arial;sans-serif"/>
          <w:b w:val="false"/>
          <w:color w:val="000000"/>
          <w:sz w:val="22"/>
        </w:rPr>
        <w:t>i.Executive’s gross negligence or willful misconduct in the performance of his or her duties and responsibilities to the Company or Executive’s violation of any written Company policy;</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5"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hanging="519"/>
        <w:jc w:val="both"/>
        <w:rPr/>
      </w:pPr>
      <w:r>
        <w:rPr>
          <w:rFonts w:ascii="Arial;sans-serif" w:hAnsi="Arial;sans-serif"/>
          <w:b w:val="false"/>
          <w:color w:val="000000"/>
          <w:sz w:val="22"/>
        </w:rPr>
        <w:t>ii.Executive’s</w:t>
      </w:r>
      <w:r>
        <w:rPr>
          <w:color w:val="000000"/>
        </w:rPr>
        <w:t xml:space="preserve"> </w:t>
      </w:r>
      <w:r>
        <w:rPr>
          <w:rFonts w:ascii="Arial;sans-serif" w:hAnsi="Arial;sans-serif"/>
          <w:b w:val="false"/>
          <w:color w:val="000000"/>
          <w:sz w:val="22"/>
        </w:rPr>
        <w:t>commission</w:t>
      </w:r>
      <w:r>
        <w:rPr>
          <w:color w:val="000000"/>
        </w:rPr>
        <w:t xml:space="preserve"> </w:t>
      </w:r>
      <w:r>
        <w:rPr>
          <w:rFonts w:ascii="Arial;sans-serif" w:hAnsi="Arial;sans-serif"/>
          <w:b w:val="false"/>
          <w:color w:val="000000"/>
          <w:sz w:val="22"/>
        </w:rPr>
        <w:t>of any</w:t>
      </w:r>
      <w:r>
        <w:rPr>
          <w:color w:val="000000"/>
        </w:rPr>
        <w:t xml:space="preserve"> </w:t>
      </w:r>
      <w:r>
        <w:rPr>
          <w:rFonts w:ascii="Arial;sans-serif" w:hAnsi="Arial;sans-serif"/>
          <w:b w:val="false"/>
          <w:color w:val="000000"/>
          <w:sz w:val="22"/>
        </w:rPr>
        <w:t>act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fraud,</w:t>
      </w:r>
      <w:r>
        <w:rPr>
          <w:color w:val="000000"/>
        </w:rPr>
        <w:t xml:space="preserve"> </w:t>
      </w:r>
      <w:r>
        <w:rPr>
          <w:rFonts w:ascii="Arial;sans-serif" w:hAnsi="Arial;sans-serif"/>
          <w:b w:val="false"/>
          <w:color w:val="000000"/>
          <w:sz w:val="22"/>
        </w:rPr>
        <w:t>theft,</w:t>
      </w:r>
      <w:r>
        <w:rPr>
          <w:color w:val="000000"/>
        </w:rPr>
        <w:t xml:space="preserve"> </w:t>
      </w:r>
      <w:r>
        <w:rPr>
          <w:rFonts w:ascii="Arial;sans-serif" w:hAnsi="Arial;sans-serif"/>
          <w:b w:val="false"/>
          <w:color w:val="000000"/>
          <w:sz w:val="22"/>
        </w:rPr>
        <w:t>embezzlement,</w:t>
      </w:r>
      <w:r>
        <w:rPr>
          <w:color w:val="000000"/>
        </w:rPr>
        <w:t xml:space="preserve"> </w:t>
      </w:r>
      <w:r>
        <w:rPr>
          <w:rFonts w:ascii="Arial;sans-serif" w:hAnsi="Arial;sans-serif"/>
          <w:b w:val="false"/>
          <w:color w:val="000000"/>
          <w:sz w:val="22"/>
        </w:rPr>
        <w:t>financial dishonesty, misappropriation from the Company or any other willful misconduct</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caused</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reasonably</w:t>
      </w:r>
      <w:r>
        <w:rPr>
          <w:color w:val="000000"/>
        </w:rPr>
        <w:t xml:space="preserve"> </w:t>
      </w:r>
      <w:r>
        <w:rPr>
          <w:rFonts w:ascii="Arial;sans-serif" w:hAnsi="Arial;sans-serif"/>
          <w:b w:val="false"/>
          <w:color w:val="000000"/>
          <w:sz w:val="22"/>
        </w:rPr>
        <w:t>expected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result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injury</w:t>
      </w:r>
      <w:r>
        <w:rPr>
          <w:color w:val="000000"/>
        </w:rPr>
        <w:t xml:space="preserve"> </w:t>
      </w:r>
      <w:r>
        <w:rPr>
          <w:rFonts w:ascii="Arial;sans-serif" w:hAnsi="Arial;sans-serif"/>
          <w:b w:val="false"/>
          <w:color w:val="000000"/>
          <w:sz w:val="22"/>
        </w:rPr>
        <w:t>to the Company;</w:t>
      </w:r>
    </w:p>
    <w:p>
      <w:pPr>
        <w:pStyle w:val="TextBody"/>
        <w:spacing w:before="0" w:after="0"/>
        <w:jc w:val="both"/>
        <w:rPr/>
      </w:pPr>
      <w:r>
        <w:rPr/>
      </w:r>
    </w:p>
    <w:p>
      <w:pPr>
        <w:pStyle w:val="TextBody"/>
        <w:spacing w:lineRule="auto" w:line="276" w:before="0" w:after="0"/>
        <w:ind w:left="0" w:right="0" w:hanging="567"/>
        <w:jc w:val="both"/>
        <w:rPr/>
      </w:pPr>
      <w:r>
        <w:rPr>
          <w:rFonts w:ascii="Arial;sans-serif" w:hAnsi="Arial;sans-serif"/>
          <w:b w:val="false"/>
          <w:color w:val="000000"/>
          <w:sz w:val="22"/>
        </w:rPr>
        <w:t>iii.Executive’s</w:t>
      </w:r>
      <w:r>
        <w:rPr>
          <w:color w:val="000000"/>
        </w:rPr>
        <w:t xml:space="preserve"> </w:t>
      </w:r>
      <w:r>
        <w:rPr>
          <w:rFonts w:ascii="Arial;sans-serif" w:hAnsi="Arial;sans-serif"/>
          <w:b w:val="false"/>
          <w:color w:val="000000"/>
          <w:sz w:val="22"/>
        </w:rPr>
        <w:t>conviction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pleading</w:t>
      </w:r>
      <w:r>
        <w:rPr>
          <w:color w:val="000000"/>
        </w:rPr>
        <w:t xml:space="preserve"> </w:t>
      </w:r>
      <w:r>
        <w:rPr>
          <w:rFonts w:ascii="Arial;sans-serif" w:hAnsi="Arial;sans-serif"/>
          <w:b w:val="false"/>
          <w:color w:val="000000"/>
          <w:sz w:val="22"/>
        </w:rPr>
        <w:t>guilty</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nolo</w:t>
      </w:r>
      <w:r>
        <w:rPr>
          <w:color w:val="000000"/>
        </w:rPr>
        <w:t xml:space="preserve"> </w:t>
      </w:r>
      <w:r>
        <w:rPr>
          <w:rFonts w:ascii="Arial;sans-serif" w:hAnsi="Arial;sans-serif"/>
          <w:b w:val="false"/>
          <w:color w:val="000000"/>
          <w:sz w:val="22"/>
        </w:rPr>
        <w:t>contendre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felony or a lesser crime involving dishonesty or moral turpitude;</w:t>
      </w:r>
    </w:p>
    <w:p>
      <w:pPr>
        <w:pStyle w:val="TextBody"/>
        <w:spacing w:before="0" w:after="0"/>
        <w:jc w:val="both"/>
        <w:rPr/>
      </w:pPr>
      <w:r>
        <w:rPr/>
      </w:r>
    </w:p>
    <w:p>
      <w:pPr>
        <w:pStyle w:val="TextBody"/>
        <w:spacing w:lineRule="auto" w:line="276" w:before="0" w:after="0"/>
        <w:ind w:left="0" w:right="0" w:hanging="580"/>
        <w:jc w:val="both"/>
        <w:rPr>
          <w:rFonts w:ascii="Arial;sans-serif" w:hAnsi="Arial;sans-serif"/>
          <w:b w:val="false"/>
          <w:color w:val="000000"/>
          <w:sz w:val="22"/>
        </w:rPr>
      </w:pPr>
      <w:r>
        <w:rPr>
          <w:rFonts w:ascii="Arial;sans-serif" w:hAnsi="Arial;sans-serif"/>
          <w:b w:val="false"/>
          <w:color w:val="000000"/>
          <w:sz w:val="22"/>
        </w:rPr>
        <w:t>iv.Executive’s unlawful use (including being under the influence) or possession of illegal drugs on the premises of the Company or while performing Executive’s duties and responsibilities for the Company</w:t>
      </w:r>
    </w:p>
    <w:p>
      <w:pPr>
        <w:pStyle w:val="TextBody"/>
        <w:spacing w:before="0" w:after="0"/>
        <w:jc w:val="both"/>
        <w:rPr/>
      </w:pPr>
      <w:r>
        <w:rPr/>
      </w:r>
    </w:p>
    <w:p>
      <w:pPr>
        <w:pStyle w:val="TextBody"/>
        <w:spacing w:lineRule="auto" w:line="276" w:before="0" w:after="0"/>
        <w:ind w:left="0" w:right="0" w:hanging="531"/>
        <w:jc w:val="both"/>
        <w:rPr>
          <w:rFonts w:ascii="Arial;sans-serif" w:hAnsi="Arial;sans-serif"/>
          <w:b w:val="false"/>
          <w:color w:val="000000"/>
          <w:sz w:val="22"/>
        </w:rPr>
      </w:pPr>
      <w:r>
        <w:rPr>
          <w:rFonts w:ascii="Arial;sans-serif" w:hAnsi="Arial;sans-serif"/>
          <w:b w:val="false"/>
          <w:color w:val="000000"/>
          <w:sz w:val="22"/>
        </w:rPr>
        <w:t>v.Executive’s unauthorized use or disclosure of any proprietary information or trade secrets of the Company or any other party to whom Executive owes an obligation of nondisclosure as a result of his or her relationship with the Company; or</w:t>
      </w:r>
    </w:p>
    <w:p>
      <w:pPr>
        <w:pStyle w:val="TextBody"/>
        <w:spacing w:before="0" w:after="0"/>
        <w:jc w:val="both"/>
        <w:rPr/>
      </w:pPr>
      <w:r>
        <w:rPr/>
      </w:r>
    </w:p>
    <w:p>
      <w:pPr>
        <w:pStyle w:val="TextBody"/>
        <w:spacing w:lineRule="auto" w:line="276" w:before="0" w:after="0"/>
        <w:ind w:left="0" w:right="0" w:hanging="580"/>
        <w:jc w:val="both"/>
        <w:rPr>
          <w:rFonts w:ascii="Arial;sans-serif" w:hAnsi="Arial;sans-serif"/>
          <w:b w:val="false"/>
          <w:color w:val="000000"/>
          <w:sz w:val="22"/>
        </w:rPr>
      </w:pPr>
      <w:r>
        <w:rPr>
          <w:rFonts w:ascii="Arial;sans-serif" w:hAnsi="Arial;sans-serif"/>
          <w:b w:val="false"/>
          <w:color w:val="000000"/>
          <w:sz w:val="22"/>
        </w:rPr>
        <w:t>vi.Executive’s material breach of any of his or her obligations under any written agreement or covenant with the Company.</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Change in Control</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Change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Control”</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meaning</w:t>
      </w:r>
      <w:r>
        <w:rPr>
          <w:color w:val="000000"/>
        </w:rPr>
        <w:t xml:space="preserve"> </w:t>
      </w:r>
      <w:r>
        <w:rPr>
          <w:rFonts w:ascii="Arial;sans-serif" w:hAnsi="Arial;sans-serif"/>
          <w:b w:val="false"/>
          <w:color w:val="000000"/>
          <w:sz w:val="22"/>
        </w:rPr>
        <w:t>ascribed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such term in the Equity Plan.</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c.</w:t>
      </w:r>
      <w:r>
        <w:rPr>
          <w:rFonts w:ascii="Arial;sans-serif" w:hAnsi="Arial;sans-serif"/>
          <w:b/>
          <w:color w:val="000000"/>
          <w:sz w:val="24"/>
          <w:u w:val="single"/>
        </w:rPr>
        <w:t>Change in Control Protection Period</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Change in Control Protection Period” means the period beginning one month prior to and ending twelve (12) months immediately following the consummation of a Change in Control</w:t>
      </w:r>
    </w:p>
    <w:p>
      <w:pPr>
        <w:pStyle w:val="TextBody"/>
        <w:spacing w:before="0" w:after="0"/>
        <w:jc w:val="both"/>
        <w:rPr/>
      </w:pPr>
      <w:r>
        <w:rPr/>
      </w:r>
    </w:p>
    <w:p>
      <w:pPr>
        <w:pStyle w:val="TextBody"/>
        <w:spacing w:lineRule="auto" w:line="268" w:before="0" w:after="0"/>
        <w:ind w:left="0" w:right="0" w:hanging="360"/>
        <w:rPr/>
      </w:pPr>
      <w:r>
        <w:rPr>
          <w:rFonts w:ascii="Arial;sans-serif" w:hAnsi="Arial;sans-serif"/>
          <w:b w:val="false"/>
          <w:color w:val="000000"/>
          <w:sz w:val="22"/>
        </w:rPr>
        <w:t>d.</w:t>
      </w:r>
      <w:r>
        <w:rPr>
          <w:rFonts w:ascii="Arial;sans-serif" w:hAnsi="Arial;sans-serif"/>
          <w:b/>
          <w:color w:val="000000"/>
          <w:sz w:val="24"/>
          <w:u w:val="single"/>
        </w:rPr>
        <w:t>Code</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means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Internal</w:t>
      </w:r>
      <w:r>
        <w:rPr>
          <w:color w:val="000000"/>
        </w:rPr>
        <w:t xml:space="preserve"> </w:t>
      </w:r>
      <w:r>
        <w:rPr>
          <w:rFonts w:ascii="Arial;sans-serif" w:hAnsi="Arial;sans-serif"/>
          <w:b w:val="false"/>
          <w:color w:val="000000"/>
          <w:sz w:val="22"/>
        </w:rPr>
        <w:t>Revenue</w:t>
      </w:r>
      <w:r>
        <w:rPr>
          <w:color w:val="000000"/>
        </w:rPr>
        <w:t xml:space="preserve"> </w:t>
      </w:r>
      <w:r>
        <w:rPr>
          <w:rFonts w:ascii="Arial;sans-serif" w:hAnsi="Arial;sans-serif"/>
          <w:b w:val="false"/>
          <w:color w:val="000000"/>
          <w:sz w:val="22"/>
        </w:rPr>
        <w:t>Code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1986,</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4"/>
        </w:rPr>
        <w:t>amended.</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e.</w:t>
      </w:r>
      <w:r>
        <w:rPr>
          <w:rFonts w:ascii="Arial;sans-serif" w:hAnsi="Arial;sans-serif"/>
          <w:b/>
          <w:color w:val="000000"/>
          <w:sz w:val="24"/>
          <w:u w:val="single"/>
        </w:rPr>
        <w:t>Disability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Disability” or</w:t>
      </w:r>
      <w:r>
        <w:rPr>
          <w:color w:val="000000"/>
        </w:rPr>
        <w:t xml:space="preserve"> “</w:t>
      </w:r>
      <w:r>
        <w:rPr>
          <w:rFonts w:ascii="Arial;sans-serif" w:hAnsi="Arial;sans-serif"/>
          <w:b w:val="false"/>
          <w:color w:val="000000"/>
          <w:sz w:val="22"/>
        </w:rPr>
        <w:t>Disabled”</w:t>
      </w:r>
      <w:r>
        <w:rPr>
          <w:color w:val="000000"/>
        </w:rPr>
        <w:t xml:space="preserve"> </w:t>
      </w:r>
      <w:r>
        <w:rPr>
          <w:rFonts w:ascii="Arial;sans-serif" w:hAnsi="Arial;sans-serif"/>
          <w:b w:val="false"/>
          <w:color w:val="000000"/>
          <w:sz w:val="22"/>
        </w:rPr>
        <w:t>means</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Executive is unable to engage in any substantial gainful activity by reason of any medically determinable physical or</w:t>
      </w:r>
      <w:r>
        <w:rPr>
          <w:color w:val="000000"/>
        </w:rPr>
        <w:t xml:space="preserve"> </w:t>
      </w:r>
      <w:r>
        <w:rPr>
          <w:rFonts w:ascii="Arial;sans-serif" w:hAnsi="Arial;sans-serif"/>
          <w:b w:val="false"/>
          <w:color w:val="000000"/>
          <w:sz w:val="22"/>
        </w:rPr>
        <w:t>mental</w:t>
      </w:r>
      <w:r>
        <w:rPr>
          <w:color w:val="000000"/>
        </w:rPr>
        <w:t xml:space="preserve"> </w:t>
      </w:r>
      <w:r>
        <w:rPr>
          <w:rFonts w:ascii="Arial;sans-serif" w:hAnsi="Arial;sans-serif"/>
          <w:b w:val="false"/>
          <w:color w:val="000000"/>
          <w:sz w:val="22"/>
        </w:rPr>
        <w:t>impairment</w:t>
      </w:r>
      <w:r>
        <w:rPr>
          <w:color w:val="000000"/>
        </w:rPr>
        <w:t xml:space="preserve"> </w:t>
      </w:r>
      <w:r>
        <w:rPr>
          <w:rFonts w:ascii="Arial;sans-serif" w:hAnsi="Arial;sans-serif"/>
          <w:b w:val="false"/>
          <w:color w:val="000000"/>
          <w:sz w:val="22"/>
        </w:rPr>
        <w:t>which</w:t>
      </w:r>
      <w:r>
        <w:rPr>
          <w:color w:val="000000"/>
        </w:rPr>
        <w:t xml:space="preserve"> </w:t>
      </w:r>
      <w:r>
        <w:rPr>
          <w:rFonts w:ascii="Arial;sans-serif" w:hAnsi="Arial;sans-serif"/>
          <w:b w:val="false"/>
          <w:color w:val="000000"/>
          <w:sz w:val="22"/>
        </w:rPr>
        <w:t>can</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expected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result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death</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which</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lasted, or can be expected to last, for a continuous period of not less than one (1) year.</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f.</w:t>
      </w:r>
      <w:r>
        <w:rPr>
          <w:rFonts w:ascii="Arial;sans-serif" w:hAnsi="Arial;sans-serif"/>
          <w:b/>
          <w:color w:val="000000"/>
          <w:sz w:val="24"/>
          <w:u w:val="single"/>
        </w:rPr>
        <w:t>Good Reason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Good Reason” means Executive’s resignation or termination of employment</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thirty</w:t>
      </w:r>
      <w:r>
        <w:rPr>
          <w:color w:val="000000"/>
        </w:rPr>
        <w:t xml:space="preserve"> </w:t>
      </w:r>
      <w:r>
        <w:rPr>
          <w:rFonts w:ascii="Arial;sans-serif" w:hAnsi="Arial;sans-serif"/>
          <w:b w:val="false"/>
          <w:color w:val="000000"/>
          <w:sz w:val="22"/>
        </w:rPr>
        <w:t>(30)</w:t>
      </w:r>
      <w:r>
        <w:rPr>
          <w:color w:val="000000"/>
        </w:rPr>
        <w:t xml:space="preserve"> </w:t>
      </w:r>
      <w:r>
        <w:rPr>
          <w:rFonts w:ascii="Arial;sans-serif" w:hAnsi="Arial;sans-serif"/>
          <w:b w:val="false"/>
          <w:color w:val="000000"/>
          <w:sz w:val="22"/>
        </w:rPr>
        <w:t>days</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expiration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cure</w:t>
      </w:r>
      <w:r>
        <w:rPr>
          <w:color w:val="000000"/>
        </w:rPr>
        <w:t xml:space="preserve"> </w:t>
      </w:r>
      <w:r>
        <w:rPr>
          <w:rFonts w:ascii="Arial;sans-serif" w:hAnsi="Arial;sans-serif"/>
          <w:b w:val="false"/>
          <w:color w:val="000000"/>
          <w:sz w:val="22"/>
        </w:rPr>
        <w:t>period (discussed</w:t>
      </w:r>
      <w:r>
        <w:rPr>
          <w:color w:val="000000"/>
        </w:rPr>
        <w:t xml:space="preserve"> </w:t>
      </w:r>
      <w:r>
        <w:rPr>
          <w:rFonts w:ascii="Arial;sans-serif" w:hAnsi="Arial;sans-serif"/>
          <w:b w:val="false"/>
          <w:color w:val="000000"/>
          <w:sz w:val="22"/>
        </w:rPr>
        <w:t>below)</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occurrence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one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more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without Executive’s consent:</w:t>
      </w:r>
    </w:p>
    <w:p>
      <w:pPr>
        <w:pStyle w:val="TextBody"/>
        <w:spacing w:before="0" w:after="0"/>
        <w:jc w:val="both"/>
        <w:rPr/>
      </w:pPr>
      <w:r>
        <w:rPr/>
      </w:r>
    </w:p>
    <w:p>
      <w:pPr>
        <w:pStyle w:val="TextBody"/>
        <w:spacing w:lineRule="auto" w:line="276"/>
        <w:ind w:left="0" w:right="0" w:hanging="470"/>
        <w:jc w:val="both"/>
        <w:rPr/>
      </w:pPr>
      <w:r>
        <w:rPr>
          <w:rFonts w:ascii="Arial;sans-serif" w:hAnsi="Arial;sans-serif"/>
          <w:b w:val="false"/>
          <w:color w:val="000000"/>
          <w:sz w:val="22"/>
        </w:rPr>
        <w:t>i.A material reduction of Executive’s duties, authority or responsibilities, relative to Executive’s duties, authority or responsibilities in effect immediately</w:t>
      </w:r>
      <w:r>
        <w:rPr>
          <w:color w:val="000000"/>
        </w:rPr>
        <w:t xml:space="preserve"> </w:t>
      </w:r>
      <w:r>
        <w:rPr>
          <w:rFonts w:ascii="Arial;sans-serif" w:hAnsi="Arial;sans-serif"/>
          <w:b w:val="false"/>
          <w:color w:val="000000"/>
          <w:sz w:val="22"/>
        </w:rPr>
        <w:t>prior</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reduction;</w:t>
      </w:r>
      <w:r>
        <w:rPr>
          <w:color w:val="000000"/>
        </w:rPr>
        <w:t xml:space="preserve"> </w:t>
      </w:r>
      <w:r>
        <w:rPr>
          <w:rFonts w:ascii="Arial;sans-serif" w:hAnsi="Arial;sans-serif"/>
          <w:b w:val="false"/>
          <w:color w:val="000000"/>
          <w:sz w:val="22"/>
        </w:rPr>
        <w:t>provided,</w:t>
      </w:r>
      <w:r>
        <w:rPr>
          <w:color w:val="000000"/>
        </w:rPr>
        <w:t xml:space="preserve"> </w:t>
      </w:r>
      <w:r>
        <w:rPr>
          <w:rFonts w:ascii="Arial;sans-serif" w:hAnsi="Arial;sans-serif"/>
          <w:b w:val="false"/>
          <w:color w:val="000000"/>
          <w:sz w:val="22"/>
        </w:rPr>
        <w:t>however,</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reduction</w:t>
      </w:r>
      <w:r>
        <w:rPr>
          <w:color w:val="000000"/>
        </w:rPr>
        <w:t xml:space="preserve"> </w:t>
      </w:r>
      <w:r>
        <w:rPr>
          <w:rFonts w:ascii="Arial;sans-serif" w:hAnsi="Arial;sans-serif"/>
          <w:b w:val="false"/>
          <w:color w:val="000000"/>
          <w:sz w:val="22"/>
        </w:rPr>
        <w:t>in duties, authority or responsibilities solely by virtue of the Company being acquired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made</w:t>
      </w:r>
      <w:r>
        <w:rPr>
          <w:color w:val="000000"/>
        </w:rPr>
        <w:t xml:space="preserve"> </w:t>
      </w:r>
      <w:r>
        <w:rPr>
          <w:rFonts w:ascii="Arial;sans-serif" w:hAnsi="Arial;sans-serif"/>
          <w:b w:val="false"/>
          <w:color w:val="000000"/>
          <w:sz w:val="22"/>
        </w:rPr>
        <w:t>part</w:t>
      </w:r>
      <w:r>
        <w:rPr>
          <w:color w:val="000000"/>
        </w:rPr>
        <w:t xml:space="preserve"> </w:t>
      </w:r>
      <w:r>
        <w:rPr>
          <w:rFonts w:ascii="Arial;sans-serif" w:hAnsi="Arial;sans-serif"/>
          <w:b w:val="false"/>
          <w:color w:val="000000"/>
          <w:sz w:val="22"/>
        </w:rPr>
        <w:t>of a</w:t>
      </w:r>
      <w:r>
        <w:rPr>
          <w:color w:val="000000"/>
        </w:rPr>
        <w:t xml:space="preserve"> </w:t>
      </w:r>
      <w:r>
        <w:rPr>
          <w:rFonts w:ascii="Arial;sans-serif" w:hAnsi="Arial;sans-serif"/>
          <w:b w:val="false"/>
          <w:color w:val="000000"/>
          <w:sz w:val="22"/>
        </w:rPr>
        <w:t>larger</w:t>
      </w:r>
      <w:r>
        <w:rPr>
          <w:color w:val="000000"/>
        </w:rPr>
        <w:t xml:space="preserve"> </w:t>
      </w:r>
      <w:r>
        <w:rPr>
          <w:rFonts w:ascii="Arial;sans-serif" w:hAnsi="Arial;sans-serif"/>
          <w:b w:val="false"/>
          <w:color w:val="000000"/>
          <w:sz w:val="22"/>
        </w:rPr>
        <w:t>entity</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example,</w:t>
      </w:r>
      <w:r>
        <w:rPr>
          <w:color w:val="000000"/>
        </w:rPr>
        <w:t xml:space="preserve"> </w:t>
      </w:r>
      <w:r>
        <w:rPr>
          <w:rFonts w:ascii="Arial;sans-serif" w:hAnsi="Arial;sans-serif"/>
          <w:b w:val="false"/>
          <w:color w:val="000000"/>
          <w:sz w:val="22"/>
        </w:rPr>
        <w:t>when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Chief Technology Officer of the Company remains as such following a Change in Control but is not made the Chief Technology Officer of the acquiring corporation) will not constitute Good Reason;</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ind w:left="0" w:right="0" w:hanging="519"/>
        <w:jc w:val="both"/>
        <w:rPr>
          <w:rFonts w:ascii="Arial;sans-serif" w:hAnsi="Arial;sans-serif"/>
          <w:b w:val="false"/>
          <w:color w:val="000000"/>
          <w:sz w:val="22"/>
        </w:rPr>
      </w:pPr>
      <w:r>
        <w:rPr>
          <w:rFonts w:ascii="Arial;sans-serif" w:hAnsi="Arial;sans-serif"/>
          <w:b w:val="false"/>
          <w:color w:val="000000"/>
          <w:sz w:val="22"/>
        </w:rPr>
        <w:t>ii.A material reduction in Executive’s Base Salary (except where there is a reduction applicable to all similarly situated executive officers generally); provided, that a reduction of less than ten percent (10%) will not be considered a material reduction in Base Salary;</w:t>
      </w:r>
    </w:p>
    <w:p>
      <w:pPr>
        <w:pStyle w:val="TextBody"/>
        <w:spacing w:before="0" w:after="0"/>
        <w:jc w:val="both"/>
        <w:rPr/>
      </w:pPr>
      <w:r>
        <w:rPr/>
      </w:r>
    </w:p>
    <w:p>
      <w:pPr>
        <w:pStyle w:val="TextBody"/>
        <w:spacing w:lineRule="auto" w:line="276" w:before="0" w:after="0"/>
        <w:ind w:left="0" w:right="0" w:hanging="567"/>
        <w:jc w:val="both"/>
        <w:rPr>
          <w:rFonts w:ascii="Arial;sans-serif" w:hAnsi="Arial;sans-serif"/>
          <w:b w:val="false"/>
          <w:color w:val="000000"/>
          <w:sz w:val="22"/>
        </w:rPr>
      </w:pPr>
      <w:r>
        <w:rPr>
          <w:rFonts w:ascii="Arial;sans-serif" w:hAnsi="Arial;sans-serif"/>
          <w:b w:val="false"/>
          <w:color w:val="000000"/>
          <w:sz w:val="22"/>
        </w:rPr>
        <w:t>iii.A material change in the geographic location of Executive’s primary work facility or location; provided, that a relocation of less than fifty (50) miles from Executive’s then-present work location will not be considered a material change in geographic location; or</w:t>
      </w:r>
    </w:p>
    <w:p>
      <w:pPr>
        <w:pStyle w:val="TextBody"/>
        <w:spacing w:before="0" w:after="0"/>
        <w:jc w:val="both"/>
        <w:rPr/>
      </w:pPr>
      <w:r>
        <w:rPr/>
      </w:r>
    </w:p>
    <w:p>
      <w:pPr>
        <w:pStyle w:val="TextBody"/>
        <w:spacing w:lineRule="auto" w:line="276" w:before="0" w:after="0"/>
        <w:ind w:left="0" w:right="0" w:hanging="580"/>
        <w:jc w:val="both"/>
        <w:rPr/>
      </w:pPr>
      <w:r>
        <w:rPr>
          <w:rFonts w:ascii="Arial;sans-serif" w:hAnsi="Arial;sans-serif"/>
          <w:b w:val="false"/>
          <w:color w:val="000000"/>
          <w:sz w:val="22"/>
        </w:rPr>
        <w:t xml:space="preserve">iv.A material breach by the Company of a material provision of this </w:t>
      </w:r>
      <w:r>
        <w:rPr>
          <w:rFonts w:ascii="Arial;sans-serif" w:hAnsi="Arial;sans-serif"/>
          <w:b w:val="false"/>
          <w:color w:val="000000"/>
          <w:sz w:val="24"/>
        </w:rPr>
        <w:t>Agreement.</w:t>
      </w:r>
    </w:p>
    <w:p>
      <w:pPr>
        <w:pStyle w:val="TextBody"/>
        <w:spacing w:before="0" w:after="0"/>
        <w:jc w:val="both"/>
        <w:rPr/>
      </w:pPr>
      <w:r>
        <w:rPr/>
      </w:r>
    </w:p>
    <w:p>
      <w:pPr>
        <w:pStyle w:val="TextBody"/>
        <w:spacing w:lineRule="auto" w:line="276" w:before="0" w:after="0"/>
        <w:ind w:left="0" w:right="0" w:firstLine="720"/>
        <w:jc w:val="both"/>
        <w:rPr/>
      </w:pP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resign</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Good</w:t>
      </w:r>
      <w:r>
        <w:rPr>
          <w:color w:val="000000"/>
        </w:rPr>
        <w:t xml:space="preserve"> </w:t>
      </w:r>
      <w:r>
        <w:rPr>
          <w:rFonts w:ascii="Arial;sans-serif" w:hAnsi="Arial;sans-serif"/>
          <w:b w:val="false"/>
          <w:color w:val="000000"/>
          <w:sz w:val="22"/>
        </w:rPr>
        <w:t>Reason</w:t>
      </w:r>
      <w:r>
        <w:rPr>
          <w:color w:val="000000"/>
        </w:rPr>
        <w:t xml:space="preserve"> </w:t>
      </w:r>
      <w:r>
        <w:rPr>
          <w:rFonts w:ascii="Arial;sans-serif" w:hAnsi="Arial;sans-serif"/>
          <w:b w:val="false"/>
          <w:color w:val="000000"/>
          <w:sz w:val="22"/>
        </w:rPr>
        <w:t>without</w:t>
      </w:r>
      <w:r>
        <w:rPr>
          <w:color w:val="000000"/>
        </w:rPr>
        <w:t xml:space="preserve"> </w:t>
      </w:r>
      <w:r>
        <w:rPr>
          <w:rFonts w:ascii="Arial;sans-serif" w:hAnsi="Arial;sans-serif"/>
          <w:b w:val="false"/>
          <w:color w:val="000000"/>
          <w:sz w:val="22"/>
        </w:rPr>
        <w:t>first</w:t>
      </w:r>
      <w:r>
        <w:rPr>
          <w:color w:val="000000"/>
        </w:rPr>
        <w:t xml:space="preserve"> </w:t>
      </w:r>
      <w:r>
        <w:rPr>
          <w:rFonts w:ascii="Arial;sans-serif" w:hAnsi="Arial;sans-serif"/>
          <w:b w:val="false"/>
          <w:color w:val="000000"/>
          <w:sz w:val="22"/>
        </w:rPr>
        <w:t>providing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p>
    <w:p>
      <w:pPr>
        <w:pStyle w:val="TextBody"/>
        <w:spacing w:lineRule="auto" w:line="276" w:before="0" w:after="0"/>
        <w:jc w:val="both"/>
        <w:rPr/>
      </w:pPr>
      <w:r>
        <w:rPr>
          <w:rFonts w:ascii="Arial;sans-serif" w:hAnsi="Arial;sans-serif"/>
          <w:b w:val="false"/>
          <w:color w:val="000000"/>
          <w:sz w:val="22"/>
        </w:rPr>
        <w:t>with written notice of the acts or omissions constituting the grounds for Good Reason within thirty</w:t>
      </w:r>
      <w:r>
        <w:rPr>
          <w:color w:val="000000"/>
        </w:rPr>
        <w:t xml:space="preserve"> </w:t>
      </w:r>
      <w:r>
        <w:rPr>
          <w:rFonts w:ascii="Arial;sans-serif" w:hAnsi="Arial;sans-serif"/>
          <w:b w:val="false"/>
          <w:color w:val="000000"/>
          <w:sz w:val="22"/>
        </w:rPr>
        <w:t>(30)</w:t>
      </w:r>
      <w:r>
        <w:rPr>
          <w:color w:val="000000"/>
        </w:rPr>
        <w:t xml:space="preserve"> </w:t>
      </w:r>
      <w:r>
        <w:rPr>
          <w:rFonts w:ascii="Arial;sans-serif" w:hAnsi="Arial;sans-serif"/>
          <w:b w:val="false"/>
          <w:color w:val="000000"/>
          <w:sz w:val="22"/>
        </w:rPr>
        <w:t>days of the initial</w:t>
      </w:r>
      <w:r>
        <w:rPr>
          <w:color w:val="000000"/>
        </w:rPr>
        <w:t xml:space="preserve"> </w:t>
      </w:r>
      <w:r>
        <w:rPr>
          <w:rFonts w:ascii="Arial;sans-serif" w:hAnsi="Arial;sans-serif"/>
          <w:b w:val="false"/>
          <w:color w:val="000000"/>
          <w:sz w:val="22"/>
        </w:rPr>
        <w:t>existence of the grounds</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Good Reason</w:t>
      </w:r>
      <w:r>
        <w:rPr>
          <w:color w:val="000000"/>
        </w:rPr>
        <w:t xml:space="preserve"> </w:t>
      </w:r>
      <w:r>
        <w:rPr>
          <w:rFonts w:ascii="Arial;sans-serif" w:hAnsi="Arial;sans-serif"/>
          <w:b w:val="false"/>
          <w:color w:val="000000"/>
          <w:sz w:val="22"/>
        </w:rPr>
        <w:t xml:space="preserve">and a reasonable cure period of not less than thirty (30) days following the date the Company receives such notice during which such condition must not have been </w:t>
      </w:r>
      <w:r>
        <w:rPr>
          <w:rFonts w:ascii="Arial;sans-serif" w:hAnsi="Arial;sans-serif"/>
          <w:b w:val="false"/>
          <w:color w:val="000000"/>
          <w:sz w:val="24"/>
        </w:rPr>
        <w:t>cured.</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g.</w:t>
      </w:r>
      <w:r>
        <w:rPr>
          <w:rFonts w:ascii="Arial;sans-serif" w:hAnsi="Arial;sans-serif"/>
          <w:b/>
          <w:color w:val="000000"/>
          <w:sz w:val="24"/>
          <w:u w:val="single"/>
        </w:rPr>
        <w:t>Governmental Authority</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Governmental Authority” means any federal, state, municipal, foreign or other government, governmental department, commission, board,</w:t>
      </w:r>
      <w:r>
        <w:rPr>
          <w:color w:val="000000"/>
        </w:rPr>
        <w:t xml:space="preserve"> </w:t>
      </w:r>
      <w:r>
        <w:rPr>
          <w:rFonts w:ascii="Arial;sans-serif" w:hAnsi="Arial;sans-serif"/>
          <w:b w:val="false"/>
          <w:color w:val="000000"/>
          <w:sz w:val="22"/>
        </w:rPr>
        <w:t>bureau,</w:t>
      </w:r>
      <w:r>
        <w:rPr>
          <w:color w:val="000000"/>
        </w:rPr>
        <w:t xml:space="preserve"> </w:t>
      </w:r>
      <w:r>
        <w:rPr>
          <w:rFonts w:ascii="Arial;sans-serif" w:hAnsi="Arial;sans-serif"/>
          <w:b w:val="false"/>
          <w:color w:val="000000"/>
          <w:sz w:val="22"/>
        </w:rPr>
        <w:t>agency</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instrumentality,</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private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public</w:t>
      </w:r>
      <w:r>
        <w:rPr>
          <w:color w:val="000000"/>
        </w:rPr>
        <w:t xml:space="preserve"> </w:t>
      </w:r>
      <w:r>
        <w:rPr>
          <w:rFonts w:ascii="Arial;sans-serif" w:hAnsi="Arial;sans-serif"/>
          <w:b w:val="false"/>
          <w:color w:val="000000"/>
          <w:sz w:val="22"/>
        </w:rPr>
        <w:t>court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tribunal.</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h.</w:t>
      </w:r>
      <w:r>
        <w:rPr>
          <w:rFonts w:ascii="Arial;sans-serif" w:hAnsi="Arial;sans-serif"/>
          <w:b/>
          <w:color w:val="000000"/>
          <w:sz w:val="24"/>
          <w:u w:val="single"/>
        </w:rPr>
        <w:t>Person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Person” shall be construed in the broadest sense and means and includes any natural person, a partnership, a corporation, an association, a joint stock company, a limited liability company, a trust, a joint venture, an unincorporated organization and other entity or Governmental Authority.</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i.</w:t>
      </w:r>
      <w:r>
        <w:rPr>
          <w:rFonts w:ascii="Arial;sans-serif" w:hAnsi="Arial;sans-serif"/>
          <w:b/>
          <w:color w:val="000000"/>
          <w:sz w:val="24"/>
          <w:u w:val="single"/>
        </w:rPr>
        <w:t>Section 409A</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Section 409A” means Section 409A of the Code, and the final regulations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guidance</w:t>
      </w:r>
      <w:r>
        <w:rPr>
          <w:color w:val="000000"/>
        </w:rPr>
        <w:t xml:space="preserve"> </w:t>
      </w:r>
      <w:r>
        <w:rPr>
          <w:rFonts w:ascii="Arial;sans-serif" w:hAnsi="Arial;sans-serif"/>
          <w:b w:val="false"/>
          <w:color w:val="000000"/>
          <w:sz w:val="22"/>
        </w:rPr>
        <w:t>promulgated</w:t>
      </w:r>
      <w:r>
        <w:rPr>
          <w:color w:val="000000"/>
        </w:rPr>
        <w:t xml:space="preserve"> </w:t>
      </w:r>
      <w:r>
        <w:rPr>
          <w:rFonts w:ascii="Arial;sans-serif" w:hAnsi="Arial;sans-serif"/>
          <w:b w:val="false"/>
          <w:color w:val="000000"/>
          <w:sz w:val="22"/>
        </w:rPr>
        <w:t>thereunder</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state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equivalent.</w:t>
      </w:r>
    </w:p>
    <w:p>
      <w:pPr>
        <w:pStyle w:val="TextBody"/>
        <w:spacing w:before="0" w:after="0"/>
        <w:jc w:val="both"/>
        <w:rPr/>
      </w:pPr>
      <w:r>
        <w:rPr/>
      </w:r>
    </w:p>
    <w:p>
      <w:pPr>
        <w:pStyle w:val="TextBody"/>
        <w:spacing w:lineRule="auto" w:line="268" w:before="0" w:after="0"/>
        <w:ind w:left="0" w:right="0" w:hanging="360"/>
        <w:rPr/>
      </w:pPr>
      <w:r>
        <w:rPr>
          <w:rFonts w:ascii="Arial;sans-serif" w:hAnsi="Arial;sans-serif"/>
          <w:b w:val="false"/>
          <w:color w:val="000000"/>
          <w:sz w:val="22"/>
        </w:rPr>
        <w:t>j.</w:t>
      </w:r>
      <w:r>
        <w:rPr>
          <w:rFonts w:ascii="Arial;sans-serif" w:hAnsi="Arial;sans-serif"/>
          <w:b/>
          <w:color w:val="000000"/>
          <w:sz w:val="24"/>
          <w:u w:val="single"/>
        </w:rPr>
        <w:t>Section 409A Limit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409A</w:t>
      </w:r>
      <w:r>
        <w:rPr>
          <w:color w:val="000000"/>
        </w:rPr>
        <w:t xml:space="preserve"> </w:t>
      </w:r>
      <w:r>
        <w:rPr>
          <w:rFonts w:ascii="Arial;sans-serif" w:hAnsi="Arial;sans-serif"/>
          <w:b w:val="false"/>
          <w:color w:val="000000"/>
          <w:sz w:val="22"/>
        </w:rPr>
        <w:t>Limit”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mean</w:t>
      </w:r>
      <w:r>
        <w:rPr>
          <w:color w:val="000000"/>
        </w:rPr>
        <w:t xml:space="preserve"> </w:t>
      </w:r>
      <w:r>
        <w:rPr>
          <w:rFonts w:ascii="Arial;sans-serif" w:hAnsi="Arial;sans-serif"/>
          <w:b w:val="false"/>
          <w:color w:val="000000"/>
          <w:sz w:val="22"/>
        </w:rPr>
        <w:t>two</w:t>
      </w:r>
      <w:r>
        <w:rPr>
          <w:color w:val="000000"/>
        </w:rPr>
        <w:t xml:space="preserve"> </w:t>
      </w:r>
      <w:r>
        <w:rPr>
          <w:rFonts w:ascii="Arial;sans-serif" w:hAnsi="Arial;sans-serif"/>
          <w:b w:val="false"/>
          <w:color w:val="000000"/>
          <w:sz w:val="22"/>
        </w:rPr>
        <w:t>(2)</w:t>
      </w:r>
      <w:r>
        <w:rPr>
          <w:color w:val="000000"/>
        </w:rPr>
        <w:t xml:space="preserve"> </w:t>
      </w:r>
      <w:r>
        <w:rPr>
          <w:rFonts w:ascii="Arial;sans-serif" w:hAnsi="Arial;sans-serif"/>
          <w:b w:val="false"/>
          <w:color w:val="000000"/>
          <w:sz w:val="22"/>
        </w:rPr>
        <w:t>times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lesser</w:t>
      </w:r>
      <w:r>
        <w:rPr>
          <w:color w:val="000000"/>
        </w:rPr>
        <w:t xml:space="preserve"> </w:t>
      </w:r>
      <w:r>
        <w:rPr>
          <w:rFonts w:ascii="Arial;sans-serif" w:hAnsi="Arial;sans-serif"/>
          <w:b w:val="false"/>
          <w:color w:val="000000"/>
          <w:sz w:val="24"/>
        </w:rPr>
        <w:t xml:space="preserve">of: </w:t>
      </w:r>
      <w:r>
        <w:rPr>
          <w:rFonts w:ascii="Arial;sans-serif" w:hAnsi="Arial;sans-serif"/>
          <w:b w:val="false"/>
          <w:color w:val="000000"/>
          <w:sz w:val="22"/>
        </w:rPr>
        <w:t>(i) Executive’s annualized compensation based upon the annual rate of pay paid to</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during</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taxable</w:t>
      </w:r>
      <w:r>
        <w:rPr>
          <w:color w:val="000000"/>
        </w:rPr>
        <w:t xml:space="preserve"> </w:t>
      </w:r>
      <w:r>
        <w:rPr>
          <w:rFonts w:ascii="Arial;sans-serif" w:hAnsi="Arial;sans-serif"/>
          <w:b w:val="false"/>
          <w:color w:val="000000"/>
          <w:sz w:val="22"/>
        </w:rPr>
        <w:t>year</w:t>
      </w:r>
      <w:r>
        <w:rPr>
          <w:color w:val="000000"/>
        </w:rPr>
        <w:t xml:space="preserve"> </w:t>
      </w:r>
      <w:r>
        <w:rPr>
          <w:rFonts w:ascii="Arial;sans-serif" w:hAnsi="Arial;sans-serif"/>
          <w:b w:val="false"/>
          <w:color w:val="000000"/>
          <w:sz w:val="22"/>
        </w:rPr>
        <w:t>preceding</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taxable</w:t>
      </w:r>
      <w:r>
        <w:rPr>
          <w:color w:val="000000"/>
        </w:rPr>
        <w:t xml:space="preserve"> </w:t>
      </w:r>
      <w:r>
        <w:rPr>
          <w:rFonts w:ascii="Arial;sans-serif" w:hAnsi="Arial;sans-serif"/>
          <w:b w:val="false"/>
          <w:color w:val="000000"/>
          <w:sz w:val="24"/>
        </w:rPr>
        <w:t xml:space="preserve">year </w:t>
      </w:r>
      <w:r>
        <w:rPr>
          <w:rFonts w:ascii="Arial;sans-serif" w:hAnsi="Arial;sans-serif"/>
          <w:b w:val="false"/>
          <w:color w:val="000000"/>
          <w:sz w:val="22"/>
        </w:rPr>
        <w:t>of his or her separation from service as determined under Treasury Regulation Section 1.409A-1(b)(9)(iii)(A)(1) and any Internal Revenue Service guidance issued with respect thereto; or (ii) the maximum amount that may be taken into account under a</w:t>
      </w:r>
      <w:r>
        <w:rPr>
          <w:color w:val="000000"/>
        </w:rPr>
        <w:t xml:space="preserve"> </w:t>
      </w:r>
      <w:r>
        <w:rPr>
          <w:rFonts w:ascii="Arial;sans-serif" w:hAnsi="Arial;sans-serif"/>
          <w:b w:val="false"/>
          <w:color w:val="000000"/>
          <w:sz w:val="22"/>
        </w:rPr>
        <w:t>qualified plan pursuant</w:t>
      </w:r>
      <w:r>
        <w:rPr>
          <w:color w:val="000000"/>
        </w:rPr>
        <w:t xml:space="preserve"> </w:t>
      </w:r>
      <w:r>
        <w:rPr>
          <w:rFonts w:ascii="Arial;sans-serif" w:hAnsi="Arial;sans-serif"/>
          <w:b w:val="false"/>
          <w:color w:val="000000"/>
          <w:sz w:val="22"/>
        </w:rPr>
        <w:t>to Section 401(a)(17) of the Code</w:t>
      </w:r>
      <w:r>
        <w:rPr>
          <w:color w:val="000000"/>
        </w:rPr>
        <w:t xml:space="preserve"> </w:t>
      </w:r>
      <w:r>
        <w:rPr>
          <w:rFonts w:ascii="Arial;sans-serif" w:hAnsi="Arial;sans-serif"/>
          <w:b w:val="false"/>
          <w:color w:val="000000"/>
          <w:sz w:val="22"/>
        </w:rPr>
        <w:t>for the year in which Executive’s separation from service occurred.</w:t>
      </w:r>
    </w:p>
    <w:p>
      <w:pPr>
        <w:pStyle w:val="TextBody"/>
        <w:spacing w:before="0" w:after="0"/>
        <w:rPr/>
      </w:pPr>
      <w:r>
        <w:rPr/>
      </w:r>
    </w:p>
    <w:p>
      <w:pPr>
        <w:pStyle w:val="TextBody"/>
        <w:spacing w:lineRule="auto" w:line="268" w:before="0" w:after="0"/>
        <w:ind w:left="0" w:right="0" w:hanging="360"/>
        <w:rPr/>
      </w:pPr>
      <w:r>
        <w:rPr>
          <w:rFonts w:ascii="Arial;sans-serif" w:hAnsi="Arial;sans-serif"/>
          <w:b/>
          <w:color w:val="000000"/>
          <w:sz w:val="22"/>
        </w:rPr>
        <w:t>9.</w:t>
      </w:r>
      <w:r>
        <w:rPr>
          <w:rFonts w:ascii="Arial;sans-serif" w:hAnsi="Arial;sans-serif"/>
          <w:b/>
          <w:color w:val="000000"/>
          <w:sz w:val="24"/>
          <w:u w:val="single"/>
        </w:rPr>
        <w:t>Golden Parachute</w:t>
      </w:r>
      <w:r>
        <w:rPr>
          <w:rFonts w:ascii="Arial;sans-serif" w:hAnsi="Arial;sans-serif"/>
          <w:b/>
          <w:color w:val="000000"/>
          <w:sz w:val="24"/>
        </w:rPr>
        <w:t>.</w:t>
      </w:r>
    </w:p>
    <w:p>
      <w:pPr>
        <w:pStyle w:val="TextBody"/>
        <w:spacing w:before="0" w:after="0"/>
        <w:rPr/>
      </w:pPr>
      <w:r>
        <w:rPr/>
      </w:r>
    </w:p>
    <w:p>
      <w:pPr>
        <w:pStyle w:val="TextBody"/>
        <w:spacing w:lineRule="auto" w:line="276"/>
        <w:ind w:left="0" w:right="0" w:hanging="360"/>
        <w:jc w:val="both"/>
        <w:rPr/>
      </w:pPr>
      <w:r>
        <w:rPr>
          <w:rFonts w:ascii="Arial;sans-serif" w:hAnsi="Arial;sans-serif"/>
          <w:b w:val="false"/>
          <w:color w:val="000000"/>
          <w:sz w:val="22"/>
        </w:rPr>
        <w:t>a.Anything in this Agreement to the contrary notwithstanding, if any payment or benefit Executive would receive from the Company or otherwise (“</w:t>
      </w:r>
      <w:r>
        <w:rPr>
          <w:rFonts w:ascii="Arial;sans-serif" w:hAnsi="Arial;sans-serif"/>
          <w:b/>
          <w:i/>
          <w:color w:val="000000"/>
          <w:sz w:val="24"/>
        </w:rPr>
        <w:t>Payment</w:t>
      </w:r>
      <w:r>
        <w:rPr>
          <w:color w:val="000000"/>
        </w:rPr>
        <w:t>”</w:t>
      </w:r>
      <w:r>
        <w:rPr>
          <w:rFonts w:ascii="Arial;sans-serif" w:hAnsi="Arial;sans-serif"/>
          <w:b w:val="false"/>
          <w:color w:val="000000"/>
          <w:sz w:val="22"/>
        </w:rPr>
        <w:t>) would (i) constitute</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parachute</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within the</w:t>
      </w:r>
      <w:r>
        <w:rPr>
          <w:color w:val="000000"/>
        </w:rPr>
        <w:t xml:space="preserve"> </w:t>
      </w:r>
      <w:r>
        <w:rPr>
          <w:rFonts w:ascii="Arial;sans-serif" w:hAnsi="Arial;sans-serif"/>
          <w:b w:val="false"/>
          <w:color w:val="000000"/>
          <w:sz w:val="22"/>
        </w:rPr>
        <w:t>meaning</w:t>
      </w:r>
      <w:r>
        <w:rPr>
          <w:color w:val="000000"/>
        </w:rPr>
        <w:t xml:space="preserve"> </w:t>
      </w:r>
      <w:r>
        <w:rPr>
          <w:rFonts w:ascii="Arial;sans-serif" w:hAnsi="Arial;sans-serif"/>
          <w:b w:val="false"/>
          <w:color w:val="000000"/>
          <w:sz w:val="22"/>
        </w:rPr>
        <w:t xml:space="preserve">of Section 280G of the Code; and (ii) but for this sentence, be subject to the excise tax imposed by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Section 4999 of the Code (the “</w:t>
      </w:r>
      <w:r>
        <w:rPr>
          <w:rFonts w:ascii="Arial;sans-serif" w:hAnsi="Arial;sans-serif"/>
          <w:b/>
          <w:i/>
          <w:color w:val="000000"/>
          <w:sz w:val="24"/>
        </w:rPr>
        <w:t>Excise Tax</w:t>
      </w:r>
      <w:r>
        <w:rPr>
          <w:color w:val="000000"/>
        </w:rPr>
        <w:t>”</w:t>
      </w:r>
      <w:r>
        <w:rPr>
          <w:rFonts w:ascii="Arial;sans-serif" w:hAnsi="Arial;sans-serif"/>
          <w:b w:val="false"/>
          <w:color w:val="000000"/>
          <w:sz w:val="22"/>
        </w:rPr>
        <w:t>), then such Payment shall be equal to the Reduced Amount.</w:t>
      </w:r>
      <w:r>
        <w:rPr>
          <w:color w:val="000000"/>
        </w:rPr>
        <w:t xml:space="preserve"> </w:t>
      </w:r>
      <w:r>
        <w:rPr>
          <w:rFonts w:ascii="Arial;sans-serif" w:hAnsi="Arial;sans-serif"/>
          <w:b w:val="false"/>
          <w:color w:val="000000"/>
          <w:sz w:val="22"/>
        </w:rPr>
        <w:t>The “</w:t>
      </w:r>
      <w:r>
        <w:rPr>
          <w:rFonts w:ascii="Arial;sans-serif" w:hAnsi="Arial;sans-serif"/>
          <w:b/>
          <w:i/>
          <w:color w:val="000000"/>
          <w:sz w:val="24"/>
        </w:rPr>
        <w:t>Reduced Amount</w:t>
      </w:r>
      <w:r>
        <w:rPr>
          <w:color w:val="000000"/>
        </w:rPr>
        <w:t xml:space="preserve">” </w:t>
      </w:r>
      <w:r>
        <w:rPr>
          <w:rFonts w:ascii="Arial;sans-serif" w:hAnsi="Arial;sans-serif"/>
          <w:b w:val="false"/>
          <w:color w:val="000000"/>
          <w:sz w:val="22"/>
        </w:rPr>
        <w:t>shall be either (x) the largest portion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would</w:t>
      </w:r>
      <w:r>
        <w:rPr>
          <w:color w:val="000000"/>
        </w:rPr>
        <w:t xml:space="preserve"> </w:t>
      </w:r>
      <w:r>
        <w:rPr>
          <w:rFonts w:ascii="Arial;sans-serif" w:hAnsi="Arial;sans-serif"/>
          <w:b w:val="false"/>
          <w:color w:val="000000"/>
          <w:sz w:val="22"/>
        </w:rPr>
        <w:t>result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no</w:t>
      </w:r>
      <w:r>
        <w:rPr>
          <w:color w:val="000000"/>
        </w:rPr>
        <w:t xml:space="preserve"> </w:t>
      </w:r>
      <w:r>
        <w:rPr>
          <w:rFonts w:ascii="Arial;sans-serif" w:hAnsi="Arial;sans-serif"/>
          <w:b w:val="false"/>
          <w:color w:val="000000"/>
          <w:sz w:val="22"/>
        </w:rPr>
        <w:t>portion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being</w:t>
      </w:r>
      <w:r>
        <w:rPr>
          <w:color w:val="000000"/>
        </w:rPr>
        <w:t xml:space="preserve"> </w:t>
      </w:r>
      <w:r>
        <w:rPr>
          <w:rFonts w:ascii="Arial;sans-serif" w:hAnsi="Arial;sans-serif"/>
          <w:b w:val="false"/>
          <w:color w:val="000000"/>
          <w:sz w:val="22"/>
        </w:rPr>
        <w:t>subject to the Excise Tax; or (y) the largest portion, up to and including the total, of the Payment, whichever</w:t>
      </w:r>
      <w:r>
        <w:rPr>
          <w:color w:val="000000"/>
        </w:rPr>
        <w:t xml:space="preserve"> </w:t>
      </w:r>
      <w:r>
        <w:rPr>
          <w:rFonts w:ascii="Arial;sans-serif" w:hAnsi="Arial;sans-serif"/>
          <w:b w:val="false"/>
          <w:color w:val="000000"/>
          <w:sz w:val="22"/>
        </w:rPr>
        <w:t>amount,</w:t>
      </w:r>
      <w:r>
        <w:rPr>
          <w:color w:val="000000"/>
        </w:rPr>
        <w:t xml:space="preserve"> </w:t>
      </w:r>
      <w:r>
        <w:rPr>
          <w:rFonts w:ascii="Arial;sans-serif" w:hAnsi="Arial;sans-serif"/>
          <w:b w:val="false"/>
          <w:color w:val="000000"/>
          <w:sz w:val="22"/>
        </w:rPr>
        <w:t>after</w:t>
      </w:r>
      <w:r>
        <w:rPr>
          <w:color w:val="000000"/>
        </w:rPr>
        <w:t xml:space="preserve"> </w:t>
      </w:r>
      <w:r>
        <w:rPr>
          <w:rFonts w:ascii="Arial;sans-serif" w:hAnsi="Arial;sans-serif"/>
          <w:b w:val="false"/>
          <w:color w:val="000000"/>
          <w:sz w:val="22"/>
        </w:rPr>
        <w:t>taking</w:t>
      </w:r>
      <w:r>
        <w:rPr>
          <w:color w:val="000000"/>
        </w:rPr>
        <w:t xml:space="preserve"> </w:t>
      </w:r>
      <w:r>
        <w:rPr>
          <w:rFonts w:ascii="Arial;sans-serif" w:hAnsi="Arial;sans-serif"/>
          <w:b w:val="false"/>
          <w:color w:val="000000"/>
          <w:sz w:val="22"/>
        </w:rPr>
        <w:t>into</w:t>
      </w:r>
      <w:r>
        <w:rPr>
          <w:color w:val="000000"/>
        </w:rPr>
        <w:t xml:space="preserve"> </w:t>
      </w:r>
      <w:r>
        <w:rPr>
          <w:rFonts w:ascii="Arial;sans-serif" w:hAnsi="Arial;sans-serif"/>
          <w:b w:val="false"/>
          <w:color w:val="000000"/>
          <w:sz w:val="22"/>
        </w:rPr>
        <w:t>account</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federal, state and local employment taxes, income taxes, and the Excise Tax (all computed at the</w:t>
      </w:r>
      <w:r>
        <w:rPr>
          <w:color w:val="000000"/>
        </w:rPr>
        <w:t xml:space="preserve"> </w:t>
      </w:r>
      <w:r>
        <w:rPr>
          <w:rFonts w:ascii="Arial;sans-serif" w:hAnsi="Arial;sans-serif"/>
          <w:b w:val="false"/>
          <w:color w:val="000000"/>
          <w:sz w:val="22"/>
        </w:rPr>
        <w:t>highest</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marginal</w:t>
      </w:r>
      <w:r>
        <w:rPr>
          <w:color w:val="000000"/>
        </w:rPr>
        <w:t xml:space="preserve"> </w:t>
      </w:r>
      <w:r>
        <w:rPr>
          <w:rFonts w:ascii="Arial;sans-serif" w:hAnsi="Arial;sans-serif"/>
          <w:b w:val="false"/>
          <w:color w:val="000000"/>
          <w:sz w:val="22"/>
        </w:rPr>
        <w:t>rate),</w:t>
      </w:r>
      <w:r>
        <w:rPr>
          <w:color w:val="000000"/>
        </w:rPr>
        <w:t xml:space="preserve"> </w:t>
      </w:r>
      <w:r>
        <w:rPr>
          <w:rFonts w:ascii="Arial;sans-serif" w:hAnsi="Arial;sans-serif"/>
          <w:b w:val="false"/>
          <w:color w:val="000000"/>
          <w:sz w:val="22"/>
        </w:rPr>
        <w:t>results</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receipt,</w:t>
      </w:r>
      <w:r>
        <w:rPr>
          <w:color w:val="000000"/>
        </w:rPr>
        <w:t xml:space="preserve"> </w:t>
      </w:r>
      <w:r>
        <w:rPr>
          <w:rFonts w:ascii="Arial;sans-serif" w:hAnsi="Arial;sans-serif"/>
          <w:b w:val="false"/>
          <w:color w:val="000000"/>
          <w:sz w:val="22"/>
        </w:rPr>
        <w:t>on</w:t>
      </w:r>
      <w:r>
        <w:rPr>
          <w:color w:val="000000"/>
        </w:rPr>
        <w:t xml:space="preserve"> </w:t>
      </w:r>
      <w:r>
        <w:rPr>
          <w:rFonts w:ascii="Arial;sans-serif" w:hAnsi="Arial;sans-serif"/>
          <w:b w:val="false"/>
          <w:color w:val="000000"/>
          <w:sz w:val="22"/>
        </w:rPr>
        <w:t>an</w:t>
      </w:r>
      <w:r>
        <w:rPr>
          <w:color w:val="000000"/>
        </w:rPr>
        <w:t xml:space="preserve"> </w:t>
      </w:r>
      <w:r>
        <w:rPr>
          <w:rFonts w:ascii="Arial;sans-serif" w:hAnsi="Arial;sans-serif"/>
          <w:b w:val="false"/>
          <w:color w:val="000000"/>
          <w:sz w:val="22"/>
        </w:rPr>
        <w:t>after-tax basis,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greater</w:t>
      </w:r>
      <w:r>
        <w:rPr>
          <w:color w:val="000000"/>
        </w:rPr>
        <w:t xml:space="preserve"> </w:t>
      </w:r>
      <w:r>
        <w:rPr>
          <w:rFonts w:ascii="Arial;sans-serif" w:hAnsi="Arial;sans-serif"/>
          <w:b w:val="false"/>
          <w:color w:val="000000"/>
          <w:sz w:val="22"/>
        </w:rPr>
        <w:t>amount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Payment.</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reduction</w:t>
      </w:r>
      <w:r>
        <w:rPr>
          <w:color w:val="000000"/>
        </w:rPr>
        <w:t xml:space="preserve"> </w:t>
      </w:r>
      <w:r>
        <w:rPr>
          <w:rFonts w:ascii="Arial;sans-serif" w:hAnsi="Arial;sans-serif"/>
          <w:b w:val="false"/>
          <w:color w:val="000000"/>
          <w:sz w:val="22"/>
        </w:rPr>
        <w:t>made</w:t>
      </w:r>
      <w:r>
        <w:rPr>
          <w:color w:val="000000"/>
        </w:rPr>
        <w:t xml:space="preserve"> </w:t>
      </w:r>
      <w:r>
        <w:rPr>
          <w:rFonts w:ascii="Arial;sans-serif" w:hAnsi="Arial;sans-serif"/>
          <w:b w:val="false"/>
          <w:color w:val="000000"/>
          <w:sz w:val="22"/>
        </w:rPr>
        <w:t>pursuant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this Section 9(a) shall be made in accordance with the following order of priority: (i) stock options whose exercise price exceeds the fair market value of the optioned stock</w:t>
      </w:r>
      <w:r>
        <w:rPr>
          <w:color w:val="000000"/>
        </w:rPr>
        <w:t xml:space="preserve"> </w:t>
      </w:r>
      <w:r>
        <w:rPr>
          <w:rFonts w:ascii="Arial;sans-serif" w:hAnsi="Arial;sans-serif"/>
          <w:b w:val="false"/>
          <w:color w:val="000000"/>
          <w:sz w:val="22"/>
        </w:rPr>
        <w:t>(“</w:t>
      </w:r>
      <w:r>
        <w:rPr>
          <w:rFonts w:ascii="Arial;sans-serif" w:hAnsi="Arial;sans-serif"/>
          <w:b/>
          <w:i/>
          <w:color w:val="000000"/>
          <w:sz w:val="24"/>
        </w:rPr>
        <w:t>Underwater Options</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(ii)</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Credit</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defined</w:t>
      </w:r>
      <w:r>
        <w:rPr>
          <w:color w:val="000000"/>
        </w:rPr>
        <w:t xml:space="preserve"> </w:t>
      </w:r>
      <w:r>
        <w:rPr>
          <w:rFonts w:ascii="Arial;sans-serif" w:hAnsi="Arial;sans-serif"/>
          <w:b w:val="false"/>
          <w:color w:val="000000"/>
          <w:sz w:val="22"/>
        </w:rPr>
        <w:t>below)</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are payable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cash,</w:t>
      </w:r>
      <w:r>
        <w:rPr>
          <w:color w:val="000000"/>
        </w:rPr>
        <w:t xml:space="preserve"> </w:t>
      </w:r>
      <w:r>
        <w:rPr>
          <w:rFonts w:ascii="Arial;sans-serif" w:hAnsi="Arial;sans-serif"/>
          <w:b w:val="false"/>
          <w:color w:val="000000"/>
          <w:sz w:val="22"/>
        </w:rPr>
        <w:t>(iii)</w:t>
      </w:r>
      <w:r>
        <w:rPr>
          <w:color w:val="000000"/>
        </w:rPr>
        <w:t xml:space="preserve"> </w:t>
      </w:r>
      <w:r>
        <w:rPr>
          <w:rFonts w:ascii="Arial;sans-serif" w:hAnsi="Arial;sans-serif"/>
          <w:b w:val="false"/>
          <w:color w:val="000000"/>
          <w:sz w:val="22"/>
        </w:rPr>
        <w:t>non-cash</w:t>
      </w:r>
      <w:r>
        <w:rPr>
          <w:color w:val="000000"/>
        </w:rPr>
        <w:t xml:space="preserve"> </w:t>
      </w:r>
      <w:r>
        <w:rPr>
          <w:rFonts w:ascii="Arial;sans-serif" w:hAnsi="Arial;sans-serif"/>
          <w:b w:val="false"/>
          <w:color w:val="000000"/>
          <w:sz w:val="22"/>
        </w:rPr>
        <w:t>Full</w:t>
      </w:r>
      <w:r>
        <w:rPr>
          <w:color w:val="000000"/>
        </w:rPr>
        <w:t xml:space="preserve"> </w:t>
      </w:r>
      <w:r>
        <w:rPr>
          <w:rFonts w:ascii="Arial;sans-serif" w:hAnsi="Arial;sans-serif"/>
          <w:b w:val="false"/>
          <w:color w:val="000000"/>
          <w:sz w:val="22"/>
        </w:rPr>
        <w:t>Credit</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taxable,</w:t>
      </w:r>
      <w:r>
        <w:rPr>
          <w:color w:val="000000"/>
        </w:rPr>
        <w:t xml:space="preserve"> </w:t>
      </w:r>
      <w:r>
        <w:rPr>
          <w:rFonts w:ascii="Arial;sans-serif" w:hAnsi="Arial;sans-serif"/>
          <w:b w:val="false"/>
          <w:color w:val="000000"/>
          <w:sz w:val="22"/>
        </w:rPr>
        <w:t>(iv)</w:t>
      </w:r>
      <w:r>
        <w:rPr>
          <w:color w:val="000000"/>
        </w:rPr>
        <w:t xml:space="preserve"> </w:t>
      </w:r>
      <w:r>
        <w:rPr>
          <w:rFonts w:ascii="Arial;sans-serif" w:hAnsi="Arial;sans-serif"/>
          <w:b w:val="false"/>
          <w:color w:val="000000"/>
          <w:sz w:val="22"/>
        </w:rPr>
        <w:t>non-cash Full Credit Payments that are not taxable (v) Partial Credit Payments (as defined below) and (vi) non-cash employee welfare benefits.</w:t>
      </w:r>
      <w:r>
        <w:rPr>
          <w:color w:val="000000"/>
        </w:rPr>
        <w:t xml:space="preserve"> </w:t>
      </w:r>
      <w:r>
        <w:rPr>
          <w:rFonts w:ascii="Arial;sans-serif" w:hAnsi="Arial;sans-serif"/>
          <w:b w:val="false"/>
          <w:color w:val="000000"/>
          <w:sz w:val="22"/>
        </w:rPr>
        <w:t>In each case, reductions shall be made in reverse chronological order such that the payment or benefit owed</w:t>
      </w:r>
      <w:r>
        <w:rPr>
          <w:color w:val="000000"/>
        </w:rPr>
        <w:t xml:space="preserve"> </w:t>
      </w:r>
      <w:r>
        <w:rPr>
          <w:rFonts w:ascii="Arial;sans-serif" w:hAnsi="Arial;sans-serif"/>
          <w:b w:val="false"/>
          <w:color w:val="000000"/>
          <w:sz w:val="22"/>
        </w:rPr>
        <w:t>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latest</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following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occurrence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event</w:t>
      </w:r>
      <w:r>
        <w:rPr>
          <w:color w:val="000000"/>
        </w:rPr>
        <w:t xml:space="preserve"> </w:t>
      </w:r>
      <w:r>
        <w:rPr>
          <w:rFonts w:ascii="Arial;sans-serif" w:hAnsi="Arial;sans-serif"/>
          <w:b w:val="false"/>
          <w:color w:val="000000"/>
          <w:sz w:val="22"/>
        </w:rPr>
        <w:t>triggering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excise tax will be the first payment or benefit to be reduced (with reductions made pro- rata in the event payments or benefits are owed at the same time).</w:t>
      </w:r>
      <w:r>
        <w:rPr>
          <w:color w:val="000000"/>
        </w:rPr>
        <w:t xml:space="preserve"> “</w:t>
      </w:r>
      <w:r>
        <w:rPr>
          <w:rFonts w:ascii="Arial;sans-serif" w:hAnsi="Arial;sans-serif"/>
          <w:b/>
          <w:i/>
          <w:color w:val="000000"/>
          <w:sz w:val="24"/>
        </w:rPr>
        <w:t>Full Credit Payment</w:t>
      </w:r>
      <w:r>
        <w:rPr>
          <w:color w:val="000000"/>
        </w:rPr>
        <w:t xml:space="preserve">” </w:t>
      </w:r>
      <w:r>
        <w:rPr>
          <w:rFonts w:ascii="Arial;sans-serif" w:hAnsi="Arial;sans-serif"/>
          <w:b w:val="false"/>
          <w:color w:val="000000"/>
          <w:sz w:val="22"/>
        </w:rPr>
        <w:t>means a payment, distribution or benefit, whether paid or payable or distributed or distributable pursuant to the terms of this Agreement or otherwise, that</w:t>
      </w:r>
      <w:r>
        <w:rPr>
          <w:color w:val="000000"/>
        </w:rPr>
        <w:t xml:space="preserve"> </w:t>
      </w:r>
      <w:r>
        <w:rPr>
          <w:rFonts w:ascii="Arial;sans-serif" w:hAnsi="Arial;sans-serif"/>
          <w:b w:val="false"/>
          <w:color w:val="000000"/>
          <w:sz w:val="22"/>
        </w:rPr>
        <w:t>if</w:t>
      </w:r>
      <w:r>
        <w:rPr>
          <w:color w:val="000000"/>
        </w:rPr>
        <w:t xml:space="preserve"> </w:t>
      </w:r>
      <w:r>
        <w:rPr>
          <w:rFonts w:ascii="Arial;sans-serif" w:hAnsi="Arial;sans-serif"/>
          <w:b w:val="false"/>
          <w:color w:val="000000"/>
          <w:sz w:val="22"/>
        </w:rPr>
        <w:t>reduced</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value</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one</w:t>
      </w:r>
      <w:r>
        <w:rPr>
          <w:color w:val="000000"/>
        </w:rPr>
        <w:t xml:space="preserve"> </w:t>
      </w:r>
      <w:r>
        <w:rPr>
          <w:rFonts w:ascii="Arial;sans-serif" w:hAnsi="Arial;sans-serif"/>
          <w:b w:val="false"/>
          <w:color w:val="000000"/>
          <w:sz w:val="22"/>
        </w:rPr>
        <w:t>dollar</w:t>
      </w:r>
      <w:r>
        <w:rPr>
          <w:color w:val="000000"/>
        </w:rPr>
        <w:t xml:space="preserve"> </w:t>
      </w:r>
      <w:r>
        <w:rPr>
          <w:rFonts w:ascii="Arial;sans-serif" w:hAnsi="Arial;sans-serif"/>
          <w:b w:val="false"/>
          <w:color w:val="000000"/>
          <w:sz w:val="22"/>
        </w:rPr>
        <w:t>reduces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amount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parachute</w:t>
      </w:r>
      <w:r>
        <w:rPr>
          <w:color w:val="000000"/>
        </w:rPr>
        <w:t xml:space="preserve"> </w:t>
      </w:r>
      <w:r>
        <w:rPr>
          <w:rFonts w:ascii="Arial;sans-serif" w:hAnsi="Arial;sans-serif"/>
          <w:b w:val="false"/>
          <w:color w:val="000000"/>
          <w:sz w:val="22"/>
        </w:rPr>
        <w:t>payment (as defined in Section 280G of the Code) by one dollar, determined as if such payment, distribution or benefit had been paid or distributed on the date of the event triggering the excise tax.</w:t>
      </w:r>
      <w:r>
        <w:rPr>
          <w:color w:val="000000"/>
        </w:rPr>
        <w:t xml:space="preserve"> “</w:t>
      </w:r>
      <w:r>
        <w:rPr>
          <w:rFonts w:ascii="Arial;sans-serif" w:hAnsi="Arial;sans-serif"/>
          <w:b/>
          <w:i/>
          <w:color w:val="000000"/>
          <w:sz w:val="24"/>
        </w:rPr>
        <w:t>Partial Credit Payment</w:t>
      </w:r>
      <w:r>
        <w:rPr>
          <w:color w:val="000000"/>
        </w:rPr>
        <w:t xml:space="preserve">” </w:t>
      </w:r>
      <w:r>
        <w:rPr>
          <w:rFonts w:ascii="Arial;sans-serif" w:hAnsi="Arial;sans-serif"/>
          <w:b w:val="false"/>
          <w:color w:val="000000"/>
          <w:sz w:val="22"/>
        </w:rPr>
        <w:t>means any payment, distribution or benefit that is not a Full Credit Payment.</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b.A nationally recognized certified public accounting firm selected by the Company (the “</w:t>
      </w:r>
      <w:r>
        <w:rPr>
          <w:rFonts w:ascii="Arial;sans-serif" w:hAnsi="Arial;sans-serif"/>
          <w:b/>
          <w:i/>
          <w:color w:val="000000"/>
          <w:sz w:val="24"/>
        </w:rPr>
        <w:t>Accounting Firm</w:t>
      </w:r>
      <w:r>
        <w:rPr>
          <w:color w:val="000000"/>
        </w:rPr>
        <w:t>”</w:t>
      </w:r>
      <w:r>
        <w:rPr>
          <w:rFonts w:ascii="Arial;sans-serif" w:hAnsi="Arial;sans-serif"/>
          <w:b w:val="false"/>
          <w:color w:val="000000"/>
          <w:sz w:val="22"/>
        </w:rPr>
        <w:t>) shall perform the foregoing calculations related to the Excise Tax.</w:t>
      </w:r>
      <w:r>
        <w:rPr>
          <w:color w:val="000000"/>
        </w:rPr>
        <w:t xml:space="preserve"> </w:t>
      </w:r>
      <w:r>
        <w:rPr>
          <w:rFonts w:ascii="Arial;sans-serif" w:hAnsi="Arial;sans-serif"/>
          <w:b w:val="false"/>
          <w:color w:val="000000"/>
          <w:sz w:val="22"/>
        </w:rPr>
        <w:t>If a reduction is required pursuant to Section 9(a), the Accounting Firm</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administer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ordering</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reduction</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set</w:t>
      </w:r>
      <w:r>
        <w:rPr>
          <w:color w:val="000000"/>
        </w:rPr>
        <w:t xml:space="preserve"> </w:t>
      </w:r>
      <w:r>
        <w:rPr>
          <w:rFonts w:ascii="Arial;sans-serif" w:hAnsi="Arial;sans-serif"/>
          <w:b w:val="false"/>
          <w:color w:val="000000"/>
          <w:sz w:val="22"/>
        </w:rPr>
        <w:t>forth</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Section</w:t>
      </w:r>
      <w:r>
        <w:rPr>
          <w:color w:val="000000"/>
        </w:rPr>
        <w:t xml:space="preserve"> </w:t>
      </w:r>
      <w:r>
        <w:rPr>
          <w:rFonts w:ascii="Arial;sans-serif" w:hAnsi="Arial;sans-serif"/>
          <w:b w:val="false"/>
          <w:color w:val="000000"/>
          <w:sz w:val="22"/>
        </w:rPr>
        <w:t>9(a).</w:t>
      </w:r>
      <w:r>
        <w:rPr>
          <w:color w:val="000000"/>
        </w:rPr>
        <w:t xml:space="preserve"> </w:t>
      </w:r>
      <w:r>
        <w:rPr>
          <w:rFonts w:ascii="Arial;sans-serif" w:hAnsi="Arial;sans-serif"/>
          <w:b w:val="false"/>
          <w:color w:val="000000"/>
          <w:sz w:val="22"/>
        </w:rPr>
        <w:t xml:space="preserve">The Company shall bear all expenses with respect to the determinations by such accounting firm required to be made hereunder. </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c.The</w:t>
      </w:r>
      <w:r>
        <w:rPr>
          <w:color w:val="000000"/>
        </w:rPr>
        <w:t xml:space="preserve"> </w:t>
      </w:r>
      <w:r>
        <w:rPr>
          <w:rFonts w:ascii="Arial;sans-serif" w:hAnsi="Arial;sans-serif"/>
          <w:b w:val="false"/>
          <w:color w:val="000000"/>
          <w:sz w:val="22"/>
        </w:rPr>
        <w:t>Accounting</w:t>
      </w:r>
      <w:r>
        <w:rPr>
          <w:color w:val="000000"/>
        </w:rPr>
        <w:t xml:space="preserve"> </w:t>
      </w:r>
      <w:r>
        <w:rPr>
          <w:rFonts w:ascii="Arial;sans-serif" w:hAnsi="Arial;sans-serif"/>
          <w:b w:val="false"/>
          <w:color w:val="000000"/>
          <w:sz w:val="22"/>
        </w:rPr>
        <w:t>Firm</w:t>
      </w:r>
      <w:r>
        <w:rPr>
          <w:color w:val="000000"/>
        </w:rPr>
        <w:t xml:space="preserve"> </w:t>
      </w:r>
      <w:r>
        <w:rPr>
          <w:rFonts w:ascii="Arial;sans-serif" w:hAnsi="Arial;sans-serif"/>
          <w:b w:val="false"/>
          <w:color w:val="000000"/>
          <w:sz w:val="22"/>
        </w:rPr>
        <w:t>engaged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make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determinations</w:t>
      </w:r>
      <w:r>
        <w:rPr>
          <w:color w:val="000000"/>
        </w:rPr>
        <w:t xml:space="preserve"> </w:t>
      </w:r>
      <w:r>
        <w:rPr>
          <w:rFonts w:ascii="Arial;sans-serif" w:hAnsi="Arial;sans-serif"/>
          <w:b w:val="false"/>
          <w:color w:val="000000"/>
          <w:sz w:val="22"/>
        </w:rPr>
        <w:t>hereunder</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provide its</w:t>
      </w:r>
      <w:r>
        <w:rPr>
          <w:color w:val="000000"/>
        </w:rPr>
        <w:t xml:space="preserve"> </w:t>
      </w:r>
      <w:r>
        <w:rPr>
          <w:rFonts w:ascii="Arial;sans-serif" w:hAnsi="Arial;sans-serif"/>
          <w:b w:val="false"/>
          <w:color w:val="000000"/>
          <w:sz w:val="22"/>
        </w:rPr>
        <w:t>calculations,</w:t>
      </w:r>
      <w:r>
        <w:rPr>
          <w:color w:val="000000"/>
        </w:rPr>
        <w:t xml:space="preserve"> </w:t>
      </w:r>
      <w:r>
        <w:rPr>
          <w:rFonts w:ascii="Arial;sans-serif" w:hAnsi="Arial;sans-serif"/>
          <w:b w:val="false"/>
          <w:color w:val="000000"/>
          <w:sz w:val="22"/>
        </w:rPr>
        <w:t>together</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detailed</w:t>
      </w:r>
      <w:r>
        <w:rPr>
          <w:color w:val="000000"/>
        </w:rPr>
        <w:t xml:space="preserve"> </w:t>
      </w:r>
      <w:r>
        <w:rPr>
          <w:rFonts w:ascii="Arial;sans-serif" w:hAnsi="Arial;sans-serif"/>
          <w:b w:val="false"/>
          <w:color w:val="000000"/>
          <w:sz w:val="22"/>
        </w:rPr>
        <w:t>supporting</w:t>
      </w:r>
      <w:r>
        <w:rPr>
          <w:color w:val="000000"/>
        </w:rPr>
        <w:t xml:space="preserve"> </w:t>
      </w:r>
      <w:r>
        <w:rPr>
          <w:rFonts w:ascii="Arial;sans-serif" w:hAnsi="Arial;sans-serif"/>
          <w:b w:val="false"/>
          <w:color w:val="000000"/>
          <w:sz w:val="22"/>
        </w:rPr>
        <w:t>documentation,</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and 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within</w:t>
      </w:r>
      <w:r>
        <w:rPr>
          <w:color w:val="000000"/>
        </w:rPr>
        <w:t xml:space="preserve"> </w:t>
      </w:r>
      <w:r>
        <w:rPr>
          <w:rFonts w:ascii="Arial;sans-serif" w:hAnsi="Arial;sans-serif"/>
          <w:b w:val="false"/>
          <w:color w:val="000000"/>
          <w:sz w:val="22"/>
        </w:rPr>
        <w:t>fifteen</w:t>
      </w:r>
      <w:r>
        <w:rPr>
          <w:color w:val="000000"/>
        </w:rPr>
        <w:t xml:space="preserve"> </w:t>
      </w:r>
      <w:r>
        <w:rPr>
          <w:rFonts w:ascii="Arial;sans-serif" w:hAnsi="Arial;sans-serif"/>
          <w:b w:val="false"/>
          <w:color w:val="000000"/>
          <w:sz w:val="22"/>
        </w:rPr>
        <w:t>(15)</w:t>
      </w:r>
      <w:r>
        <w:rPr>
          <w:color w:val="000000"/>
        </w:rPr>
        <w:t xml:space="preserve"> </w:t>
      </w:r>
      <w:r>
        <w:rPr>
          <w:rFonts w:ascii="Arial;sans-serif" w:hAnsi="Arial;sans-serif"/>
          <w:b w:val="false"/>
          <w:color w:val="000000"/>
          <w:sz w:val="22"/>
        </w:rPr>
        <w:t>calendar</w:t>
      </w:r>
      <w:r>
        <w:rPr>
          <w:color w:val="000000"/>
        </w:rPr>
        <w:t xml:space="preserve"> </w:t>
      </w:r>
      <w:r>
        <w:rPr>
          <w:rFonts w:ascii="Arial;sans-serif" w:hAnsi="Arial;sans-serif"/>
          <w:b w:val="false"/>
          <w:color w:val="000000"/>
          <w:sz w:val="22"/>
        </w:rPr>
        <w:t>days</w:t>
      </w:r>
      <w:r>
        <w:rPr>
          <w:color w:val="000000"/>
        </w:rPr>
        <w:t xml:space="preserve"> </w:t>
      </w:r>
      <w:r>
        <w:rPr>
          <w:rFonts w:ascii="Arial;sans-serif" w:hAnsi="Arial;sans-serif"/>
          <w:b w:val="false"/>
          <w:color w:val="000000"/>
          <w:sz w:val="22"/>
        </w:rPr>
        <w:t>after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on</w:t>
      </w:r>
      <w:r>
        <w:rPr>
          <w:color w:val="000000"/>
        </w:rPr>
        <w:t xml:space="preserve"> </w:t>
      </w:r>
      <w:r>
        <w:rPr>
          <w:rFonts w:ascii="Arial;sans-serif" w:hAnsi="Arial;sans-serif"/>
          <w:b w:val="false"/>
          <w:color w:val="000000"/>
          <w:sz w:val="22"/>
        </w:rPr>
        <w:t>which</w:t>
      </w:r>
      <w:r>
        <w:rPr>
          <w:color w:val="000000"/>
        </w:rPr>
        <w:t xml:space="preserve"> </w:t>
      </w:r>
      <w:r>
        <w:rPr>
          <w:rFonts w:ascii="Arial;sans-serif" w:hAnsi="Arial;sans-serif"/>
          <w:b w:val="false"/>
          <w:color w:val="000000"/>
          <w:sz w:val="22"/>
        </w:rPr>
        <w:t>Executive’s right to a Payment is triggered.</w:t>
      </w:r>
      <w:r>
        <w:rPr>
          <w:color w:val="000000"/>
        </w:rPr>
        <w:t xml:space="preserve"> </w:t>
      </w:r>
      <w:r>
        <w:rPr>
          <w:rFonts w:ascii="Arial;sans-serif" w:hAnsi="Arial;sans-serif"/>
          <w:b w:val="false"/>
          <w:color w:val="000000"/>
          <w:sz w:val="22"/>
        </w:rPr>
        <w:t>Any good faith determinations of the Accounting Firm made hereunder shall be final, binding, and conclusive upon Executive and the Company.</w:t>
      </w:r>
    </w:p>
    <w:p>
      <w:pPr>
        <w:pStyle w:val="TextBody"/>
        <w:spacing w:before="0" w:after="0"/>
        <w:jc w:val="both"/>
        <w:rPr/>
      </w:pPr>
      <w:r>
        <w:rPr/>
      </w:r>
    </w:p>
    <w:p>
      <w:pPr>
        <w:pStyle w:val="TextBody"/>
        <w:spacing w:lineRule="auto" w:line="276"/>
        <w:ind w:left="0" w:right="0" w:hanging="360"/>
        <w:jc w:val="both"/>
        <w:rPr/>
      </w:pPr>
      <w:r>
        <w:rPr>
          <w:rFonts w:ascii="Arial;sans-serif" w:hAnsi="Arial;sans-serif"/>
          <w:b w:val="false"/>
          <w:color w:val="000000"/>
          <w:sz w:val="22"/>
        </w:rPr>
        <w:t>10.</w:t>
      </w:r>
      <w:r>
        <w:rPr>
          <w:rFonts w:ascii="Arial;sans-serif" w:hAnsi="Arial;sans-serif"/>
          <w:b/>
          <w:color w:val="000000"/>
          <w:sz w:val="24"/>
          <w:u w:val="single"/>
        </w:rPr>
        <w:t>Arbitration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fullest</w:t>
      </w:r>
      <w:r>
        <w:rPr>
          <w:color w:val="000000"/>
        </w:rPr>
        <w:t xml:space="preserve"> </w:t>
      </w:r>
      <w:r>
        <w:rPr>
          <w:rFonts w:ascii="Arial;sans-serif" w:hAnsi="Arial;sans-serif"/>
          <w:b w:val="false"/>
          <w:color w:val="000000"/>
          <w:sz w:val="22"/>
        </w:rPr>
        <w:t>extent</w:t>
      </w:r>
      <w:r>
        <w:rPr>
          <w:color w:val="000000"/>
        </w:rPr>
        <w:t xml:space="preserve"> </w:t>
      </w:r>
      <w:r>
        <w:rPr>
          <w:rFonts w:ascii="Arial;sans-serif" w:hAnsi="Arial;sans-serif"/>
          <w:b w:val="false"/>
          <w:color w:val="000000"/>
          <w:sz w:val="22"/>
        </w:rPr>
        <w:t>permitted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 agree that any and all disputes, demands, claims, or controversies (“</w:t>
      </w:r>
      <w:r>
        <w:rPr>
          <w:rFonts w:ascii="Arial;sans-serif" w:hAnsi="Arial;sans-serif"/>
          <w:b/>
          <w:i/>
          <w:color w:val="000000"/>
          <w:sz w:val="24"/>
        </w:rPr>
        <w:t>claims</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relating to, arising from or regarding Executive’s employment, including claims by the Company, claims against the Company, and claims against any current or former parent, affiliate, subsidiary, successor or predecessor of the Company, and each of the Company’s and these entities’ respective officers, directors, agents or employees, shall be resolved by final</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binding arbitration</w:t>
      </w:r>
      <w:r>
        <w:rPr>
          <w:color w:val="000000"/>
        </w:rPr>
        <w:t xml:space="preserve"> </w:t>
      </w:r>
      <w:r>
        <w:rPr>
          <w:rFonts w:ascii="Arial;sans-serif" w:hAnsi="Arial;sans-serif"/>
          <w:b w:val="false"/>
          <w:color w:val="000000"/>
          <w:sz w:val="22"/>
        </w:rPr>
        <w:t>before</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single</w:t>
      </w:r>
      <w:r>
        <w:rPr>
          <w:color w:val="000000"/>
        </w:rPr>
        <w:t xml:space="preserve"> </w:t>
      </w:r>
      <w:r>
        <w:rPr>
          <w:rFonts w:ascii="Arial;sans-serif" w:hAnsi="Arial;sans-serif"/>
          <w:b w:val="false"/>
          <w:color w:val="000000"/>
          <w:sz w:val="22"/>
        </w:rPr>
        <w:t>arbitrator</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State</w:t>
      </w:r>
      <w:r>
        <w:rPr>
          <w:color w:val="000000"/>
        </w:rPr>
        <w:t xml:space="preserve"> </w:t>
      </w:r>
      <w:r>
        <w:rPr>
          <w:rFonts w:ascii="Arial;sans-serif" w:hAnsi="Arial;sans-serif"/>
          <w:b w:val="false"/>
          <w:color w:val="000000"/>
          <w:sz w:val="22"/>
        </w:rPr>
        <w:t xml:space="preserve">of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California</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another mutually</w:t>
      </w:r>
      <w:r>
        <w:rPr>
          <w:color w:val="000000"/>
        </w:rPr>
        <w:t xml:space="preserve"> </w:t>
      </w:r>
      <w:r>
        <w:rPr>
          <w:rFonts w:ascii="Arial;sans-serif" w:hAnsi="Arial;sans-serif"/>
          <w:b w:val="false"/>
          <w:color w:val="000000"/>
          <w:sz w:val="22"/>
        </w:rPr>
        <w:t>agreeable</w:t>
      </w:r>
      <w:r>
        <w:rPr>
          <w:color w:val="000000"/>
        </w:rPr>
        <w:t xml:space="preserve"> </w:t>
      </w:r>
      <w:r>
        <w:rPr>
          <w:rFonts w:ascii="Arial;sans-serif" w:hAnsi="Arial;sans-serif"/>
          <w:b w:val="false"/>
          <w:color w:val="000000"/>
          <w:sz w:val="22"/>
        </w:rPr>
        <w:t>location).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does</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prevent</w:t>
      </w:r>
      <w:r>
        <w:rPr>
          <w:color w:val="000000"/>
        </w:rPr>
        <w:t xml:space="preserve"> </w:t>
      </w:r>
      <w:r>
        <w:rPr>
          <w:rFonts w:ascii="Arial;sans-serif" w:hAnsi="Arial;sans-serif"/>
          <w:b w:val="false"/>
          <w:color w:val="000000"/>
          <w:sz w:val="22"/>
        </w:rPr>
        <w:t>either</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from seeking and obtaining temporary or preliminary injunctive relief in court to prevent irreparable</w:t>
      </w:r>
      <w:r>
        <w:rPr>
          <w:color w:val="000000"/>
        </w:rPr>
        <w:t xml:space="preserve"> </w:t>
      </w:r>
      <w:r>
        <w:rPr>
          <w:rFonts w:ascii="Arial;sans-serif" w:hAnsi="Arial;sans-serif"/>
          <w:b w:val="false"/>
          <w:color w:val="000000"/>
          <w:sz w:val="22"/>
        </w:rPr>
        <w:t>harm</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its</w:t>
      </w:r>
      <w:r>
        <w:rPr>
          <w:color w:val="000000"/>
        </w:rPr>
        <w:t xml:space="preserve"> </w:t>
      </w:r>
      <w:r>
        <w:rPr>
          <w:rFonts w:ascii="Arial;sans-serif" w:hAnsi="Arial;sans-serif"/>
          <w:b w:val="false"/>
          <w:color w:val="000000"/>
          <w:sz w:val="22"/>
        </w:rPr>
        <w:t>confidential</w:t>
      </w:r>
      <w:r>
        <w:rPr>
          <w:color w:val="000000"/>
        </w:rPr>
        <w:t xml:space="preserve"> </w:t>
      </w:r>
      <w:r>
        <w:rPr>
          <w:rFonts w:ascii="Arial;sans-serif" w:hAnsi="Arial;sans-serif"/>
          <w:b w:val="false"/>
          <w:color w:val="000000"/>
          <w:sz w:val="22"/>
        </w:rPr>
        <w:t>information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trade</w:t>
      </w:r>
      <w:r>
        <w:rPr>
          <w:color w:val="000000"/>
        </w:rPr>
        <w:t xml:space="preserve"> </w:t>
      </w:r>
      <w:r>
        <w:rPr>
          <w:rFonts w:ascii="Arial;sans-serif" w:hAnsi="Arial;sans-serif"/>
          <w:b w:val="false"/>
          <w:color w:val="000000"/>
          <w:sz w:val="22"/>
        </w:rPr>
        <w:t>secrets</w:t>
      </w:r>
      <w:r>
        <w:rPr>
          <w:color w:val="000000"/>
        </w:rPr>
        <w:t xml:space="preserve"> </w:t>
      </w:r>
      <w:r>
        <w:rPr>
          <w:rFonts w:ascii="Arial;sans-serif" w:hAnsi="Arial;sans-serif"/>
          <w:b w:val="false"/>
          <w:color w:val="000000"/>
          <w:sz w:val="22"/>
        </w:rPr>
        <w:t>pending</w:t>
      </w:r>
      <w:r>
        <w:rPr>
          <w:color w:val="000000"/>
        </w:rPr>
        <w:t xml:space="preserve"> </w:t>
      </w:r>
      <w:r>
        <w:rPr>
          <w:rFonts w:ascii="Arial;sans-serif" w:hAnsi="Arial;sans-serif"/>
          <w:b w:val="false"/>
          <w:color w:val="000000"/>
          <w:sz w:val="22"/>
        </w:rPr>
        <w:t>the conclusion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arbitration.</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arbitration</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does</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apply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claims</w:t>
      </w:r>
      <w:r>
        <w:rPr>
          <w:color w:val="000000"/>
        </w:rPr>
        <w:t xml:space="preserve"> </w:t>
      </w:r>
      <w:r>
        <w:rPr>
          <w:rFonts w:ascii="Arial;sans-serif" w:hAnsi="Arial;sans-serif"/>
          <w:b w:val="false"/>
          <w:color w:val="000000"/>
          <w:sz w:val="22"/>
        </w:rPr>
        <w:t>that have been expressly excluded from arbitration by a governing law not preempted by the Federal Arbitration Act and does not restrict or preclude Executive from communicating with, filing an administrative charge or claim with, or providing testimony to any governmental</w:t>
      </w:r>
      <w:r>
        <w:rPr>
          <w:color w:val="000000"/>
        </w:rPr>
        <w:t xml:space="preserve"> </w:t>
      </w:r>
      <w:r>
        <w:rPr>
          <w:rFonts w:ascii="Arial;sans-serif" w:hAnsi="Arial;sans-serif"/>
          <w:b w:val="false"/>
          <w:color w:val="000000"/>
          <w:sz w:val="22"/>
        </w:rPr>
        <w:t>entity</w:t>
      </w:r>
      <w:r>
        <w:rPr>
          <w:color w:val="000000"/>
        </w:rPr>
        <w:t xml:space="preserve"> </w:t>
      </w:r>
      <w:r>
        <w:rPr>
          <w:rFonts w:ascii="Arial;sans-serif" w:hAnsi="Arial;sans-serif"/>
          <w:b w:val="false"/>
          <w:color w:val="000000"/>
          <w:sz w:val="22"/>
        </w:rPr>
        <w:t>about</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actual</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potential</w:t>
      </w:r>
      <w:r>
        <w:rPr>
          <w:color w:val="000000"/>
        </w:rPr>
        <w:t xml:space="preserve"> </w:t>
      </w:r>
      <w:r>
        <w:rPr>
          <w:rFonts w:ascii="Arial;sans-serif" w:hAnsi="Arial;sans-serif"/>
          <w:b w:val="false"/>
          <w:color w:val="000000"/>
          <w:sz w:val="22"/>
        </w:rPr>
        <w:t>violation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obtaining</w:t>
      </w:r>
      <w:r>
        <w:rPr>
          <w:color w:val="000000"/>
        </w:rPr>
        <w:t xml:space="preserve"> </w:t>
      </w:r>
      <w:r>
        <w:rPr>
          <w:rFonts w:ascii="Arial;sans-serif" w:hAnsi="Arial;sans-serif"/>
          <w:b w:val="false"/>
          <w:color w:val="000000"/>
          <w:sz w:val="22"/>
        </w:rPr>
        <w:t>relief</w:t>
      </w:r>
      <w:r>
        <w:rPr>
          <w:color w:val="000000"/>
        </w:rPr>
        <w:t xml:space="preserve"> </w:t>
      </w:r>
      <w:r>
        <w:rPr>
          <w:rFonts w:ascii="Arial;sans-serif" w:hAnsi="Arial;sans-serif"/>
          <w:b w:val="false"/>
          <w:color w:val="000000"/>
          <w:sz w:val="22"/>
        </w:rPr>
        <w:t>through a</w:t>
      </w:r>
      <w:r>
        <w:rPr>
          <w:color w:val="000000"/>
        </w:rPr>
        <w:t xml:space="preserve"> </w:t>
      </w:r>
      <w:r>
        <w:rPr>
          <w:rFonts w:ascii="Arial;sans-serif" w:hAnsi="Arial;sans-serif"/>
          <w:b w:val="false"/>
          <w:color w:val="000000"/>
          <w:sz w:val="22"/>
        </w:rPr>
        <w:t>government agency</w:t>
      </w:r>
      <w:r>
        <w:rPr>
          <w:color w:val="000000"/>
        </w:rPr>
        <w:t xml:space="preserve"> </w:t>
      </w:r>
      <w:r>
        <w:rPr>
          <w:rFonts w:ascii="Arial;sans-serif" w:hAnsi="Arial;sans-serif"/>
          <w:b w:val="false"/>
          <w:color w:val="000000"/>
          <w:sz w:val="22"/>
        </w:rPr>
        <w:t>process.</w:t>
      </w:r>
      <w:r>
        <w:rPr>
          <w:color w:val="000000"/>
        </w:rPr>
        <w:t xml:space="preserve"> </w:t>
      </w:r>
      <w:r>
        <w:rPr>
          <w:rFonts w:ascii="Arial;sans-serif" w:hAnsi="Arial;sans-serif"/>
          <w:b w:val="false"/>
          <w:color w:val="000000"/>
          <w:sz w:val="22"/>
        </w:rPr>
        <w:t>The parties</w:t>
      </w:r>
      <w:r>
        <w:rPr>
          <w:color w:val="000000"/>
        </w:rPr>
        <w:t xml:space="preserve"> </w:t>
      </w:r>
      <w:r>
        <w:rPr>
          <w:rFonts w:ascii="Arial;sans-serif" w:hAnsi="Arial;sans-serif"/>
          <w:b w:val="false"/>
          <w:color w:val="000000"/>
          <w:sz w:val="22"/>
        </w:rPr>
        <w:t>hereto agree</w:t>
      </w:r>
      <w:r>
        <w:rPr>
          <w:color w:val="000000"/>
        </w:rPr>
        <w:t xml:space="preserve"> </w:t>
      </w:r>
      <w:r>
        <w:rPr>
          <w:rFonts w:ascii="Arial;sans-serif" w:hAnsi="Arial;sans-serif"/>
          <w:b w:val="false"/>
          <w:color w:val="000000"/>
          <w:sz w:val="22"/>
        </w:rPr>
        <w:t>that claims shall</w:t>
      </w:r>
      <w:r>
        <w:rPr>
          <w:color w:val="000000"/>
        </w:rPr>
        <w:t xml:space="preserve"> </w:t>
      </w:r>
      <w:r>
        <w:rPr>
          <w:rFonts w:ascii="Arial;sans-serif" w:hAnsi="Arial;sans-serif"/>
          <w:b w:val="false"/>
          <w:color w:val="000000"/>
          <w:sz w:val="22"/>
        </w:rPr>
        <w:t>be resolved on an individual basis only, and not on a class, collective, or representative basis on behalf of</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employees</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fullest</w:t>
      </w:r>
      <w:r>
        <w:rPr>
          <w:color w:val="000000"/>
        </w:rPr>
        <w:t xml:space="preserve"> </w:t>
      </w:r>
      <w:r>
        <w:rPr>
          <w:rFonts w:ascii="Arial;sans-serif" w:hAnsi="Arial;sans-serif"/>
          <w:b w:val="false"/>
          <w:color w:val="000000"/>
          <w:sz w:val="22"/>
        </w:rPr>
        <w:t>extent</w:t>
      </w:r>
      <w:r>
        <w:rPr>
          <w:color w:val="000000"/>
        </w:rPr>
        <w:t xml:space="preserve"> </w:t>
      </w:r>
      <w:r>
        <w:rPr>
          <w:rFonts w:ascii="Arial;sans-serif" w:hAnsi="Arial;sans-serif"/>
          <w:b w:val="false"/>
          <w:color w:val="000000"/>
          <w:sz w:val="22"/>
        </w:rPr>
        <w:t>permitted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w:t>
      </w:r>
      <w:r>
        <w:rPr>
          <w:rFonts w:ascii="Arial;sans-serif" w:hAnsi="Arial;sans-serif"/>
          <w:b/>
          <w:i/>
          <w:color w:val="000000"/>
          <w:sz w:val="24"/>
        </w:rPr>
        <w:t>Class Waiver</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Any claim</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part</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Class</w:t>
      </w:r>
      <w:r>
        <w:rPr>
          <w:color w:val="000000"/>
        </w:rPr>
        <w:t xml:space="preserve"> </w:t>
      </w:r>
      <w:r>
        <w:rPr>
          <w:rFonts w:ascii="Arial;sans-serif" w:hAnsi="Arial;sans-serif"/>
          <w:b w:val="false"/>
          <w:color w:val="000000"/>
          <w:sz w:val="22"/>
        </w:rPr>
        <w:t>Waiver</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invalid,</w:t>
      </w:r>
      <w:r>
        <w:rPr>
          <w:color w:val="000000"/>
        </w:rPr>
        <w:t xml:space="preserve"> </w:t>
      </w:r>
      <w:r>
        <w:rPr>
          <w:rFonts w:ascii="Arial;sans-serif" w:hAnsi="Arial;sans-serif"/>
          <w:b w:val="false"/>
          <w:color w:val="000000"/>
          <w:sz w:val="22"/>
        </w:rPr>
        <w:t>unenforceable,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unconscionable</w:t>
      </w:r>
      <w:r>
        <w:rPr>
          <w:color w:val="000000"/>
        </w:rPr>
        <w:t xml:space="preserve"> </w:t>
      </w:r>
      <w:r>
        <w:rPr>
          <w:rFonts w:ascii="Arial;sans-serif" w:hAnsi="Arial;sans-serif"/>
          <w:b w:val="false"/>
          <w:color w:val="000000"/>
          <w:sz w:val="22"/>
        </w:rPr>
        <w:t>may be determined only by a court. In no case may class, collective or representative claims proceed in arbitration on behalf of other employees.</w:t>
      </w:r>
    </w:p>
    <w:p>
      <w:pPr>
        <w:pStyle w:val="TextBody"/>
        <w:spacing w:before="0" w:after="0"/>
        <w:jc w:val="both"/>
        <w:rPr/>
      </w:pPr>
      <w:r>
        <w:rPr/>
      </w:r>
    </w:p>
    <w:p>
      <w:pPr>
        <w:pStyle w:val="TextBody"/>
        <w:spacing w:lineRule="auto" w:line="276" w:before="0" w:after="0"/>
        <w:ind w:left="0" w:right="0" w:firstLine="720"/>
        <w:jc w:val="both"/>
        <w:rPr>
          <w:rFonts w:ascii="Arial;sans-serif" w:hAnsi="Arial;sans-serif"/>
          <w:b w:val="false"/>
          <w:color w:val="000000"/>
          <w:sz w:val="22"/>
        </w:rPr>
      </w:pPr>
      <w:r>
        <w:rPr>
          <w:rFonts w:ascii="Arial;sans-serif" w:hAnsi="Arial;sans-serif"/>
          <w:b w:val="false"/>
          <w:color w:val="000000"/>
          <w:sz w:val="22"/>
        </w:rPr>
        <w:t xml:space="preserve">The parties agree that the arbitration shall be conducted by a single neutral arbitrator </w:t>
      </w:r>
    </w:p>
    <w:p>
      <w:pPr>
        <w:pStyle w:val="TextBody"/>
        <w:spacing w:lineRule="auto" w:line="276" w:before="0" w:after="0"/>
        <w:jc w:val="both"/>
        <w:rPr/>
      </w:pPr>
      <w:r>
        <w:rPr>
          <w:rFonts w:ascii="Arial;sans-serif" w:hAnsi="Arial;sans-serif"/>
          <w:b w:val="false"/>
          <w:color w:val="000000"/>
          <w:sz w:val="22"/>
        </w:rPr>
        <w:t>through JAMS in accordance with JAMS Employment Arbitration Rules and Procedures (available at www.jamsadr.com/rules-employment-arbitration)</w:t>
      </w:r>
      <w:r>
        <w:rPr>
          <w:rFonts w:ascii="Arial;sans-serif" w:hAnsi="Arial;sans-serif"/>
          <w:b w:val="false"/>
          <w:color w:val="0000FF"/>
          <w:sz w:val="24"/>
        </w:rPr>
        <w:t>.</w:t>
      </w:r>
      <w:r>
        <w:rPr>
          <w:color w:val="000000"/>
        </w:rPr>
        <w:t xml:space="preserve"> </w:t>
      </w:r>
      <w:r>
        <w:rPr>
          <w:rFonts w:ascii="Arial;sans-serif" w:hAnsi="Arial;sans-serif"/>
          <w:b w:val="false"/>
          <w:color w:val="000000"/>
          <w:sz w:val="22"/>
        </w:rPr>
        <w:t>Except as to the Class Waiver, the arbitrator shall determine arbitrability. The Company will bear all JAMS arbitration fees and administrative costs in excess of the amount of administrative fees and costs that Executive otherwise would have been required to pay if the claims were litigated in court. The arbitrator shall apply the applicable substantive law in deciding the claims</w:t>
      </w:r>
      <w:r>
        <w:rPr>
          <w:color w:val="000000"/>
        </w:rPr>
        <w:t xml:space="preserve"> </w:t>
      </w:r>
      <w:r>
        <w:rPr>
          <w:rFonts w:ascii="Arial;sans-serif" w:hAnsi="Arial;sans-serif"/>
          <w:b w:val="false"/>
          <w:color w:val="000000"/>
          <w:sz w:val="22"/>
        </w:rPr>
        <w:t>at</w:t>
      </w:r>
      <w:r>
        <w:rPr>
          <w:color w:val="000000"/>
        </w:rPr>
        <w:t xml:space="preserve"> </w:t>
      </w:r>
      <w:r>
        <w:rPr>
          <w:rFonts w:ascii="Arial;sans-serif" w:hAnsi="Arial;sans-serif"/>
          <w:b w:val="false"/>
          <w:color w:val="000000"/>
          <w:sz w:val="22"/>
        </w:rPr>
        <w:t>issue.</w:t>
      </w:r>
      <w:r>
        <w:rPr>
          <w:color w:val="000000"/>
        </w:rPr>
        <w:t xml:space="preserve"> </w:t>
      </w:r>
      <w:r>
        <w:rPr>
          <w:rFonts w:ascii="Arial;sans-serif" w:hAnsi="Arial;sans-serif"/>
          <w:b w:val="false"/>
          <w:color w:val="000000"/>
          <w:sz w:val="22"/>
        </w:rPr>
        <w:t>Claims</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governed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their</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statute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limitations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failure to demand arbitration within the prescribed time period shall bar the claims as provided by</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decision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award</w:t>
      </w:r>
      <w:r>
        <w:rPr>
          <w:color w:val="000000"/>
        </w:rPr>
        <w:t xml:space="preserve"> </w:t>
      </w:r>
      <w:r>
        <w:rPr>
          <w:rFonts w:ascii="Arial;sans-serif" w:hAnsi="Arial;sans-serif"/>
          <w:b w:val="false"/>
          <w:color w:val="000000"/>
          <w:sz w:val="22"/>
        </w:rPr>
        <w:t>of the</w:t>
      </w:r>
      <w:r>
        <w:rPr>
          <w:color w:val="000000"/>
        </w:rPr>
        <w:t xml:space="preserve"> </w:t>
      </w:r>
      <w:r>
        <w:rPr>
          <w:rFonts w:ascii="Arial;sans-serif" w:hAnsi="Arial;sans-serif"/>
          <w:b w:val="false"/>
          <w:color w:val="000000"/>
          <w:sz w:val="22"/>
        </w:rPr>
        <w:t>arbitrator</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final</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binding</w:t>
      </w:r>
      <w:r>
        <w:rPr>
          <w:color w:val="000000"/>
        </w:rPr>
        <w:t xml:space="preserve"> </w:t>
      </w:r>
      <w:r>
        <w:rPr>
          <w:rFonts w:ascii="Arial;sans-serif" w:hAnsi="Arial;sans-serif"/>
          <w:b w:val="false"/>
          <w:color w:val="000000"/>
          <w:sz w:val="22"/>
        </w:rPr>
        <w:t>upon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parties. This arbitration agreement is enforceable under and governed by the Federal Arbitration Act. In the event that any portion of this arbitration agreement is held to be invalid or unenforceable,</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such provision shall be severed, and the</w:t>
      </w:r>
      <w:r>
        <w:rPr>
          <w:color w:val="000000"/>
        </w:rPr>
        <w:t xml:space="preserve"> </w:t>
      </w:r>
      <w:r>
        <w:rPr>
          <w:rFonts w:ascii="Arial;sans-serif" w:hAnsi="Arial;sans-serif"/>
          <w:b w:val="false"/>
          <w:color w:val="000000"/>
          <w:sz w:val="22"/>
        </w:rPr>
        <w:t>remainder of this arbitration agreement will be given full force and effect. By signing the offer letter, Executive acknowledges and agrees that Executive has read this arbitration agreement carefully, are</w:t>
      </w:r>
      <w:r>
        <w:rPr>
          <w:color w:val="000000"/>
        </w:rPr>
        <w:t xml:space="preserve"> </w:t>
      </w:r>
      <w:r>
        <w:rPr>
          <w:rFonts w:ascii="Arial;sans-serif" w:hAnsi="Arial;sans-serif"/>
          <w:b w:val="false"/>
          <w:color w:val="000000"/>
          <w:sz w:val="22"/>
        </w:rPr>
        <w:t>bound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it</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are</w:t>
      </w:r>
      <w:r>
        <w:rPr>
          <w:color w:val="000000"/>
        </w:rPr>
        <w:t xml:space="preserve"> </w:t>
      </w:r>
      <w:r>
        <w:rPr>
          <w:rFonts w:ascii="Arial;sans-serif" w:hAnsi="Arial;sans-serif"/>
          <w:b w:val="false"/>
          <w:color w:val="000000"/>
          <w:sz w:val="22"/>
        </w:rPr>
        <w:t>WAIVING</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RIGHT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TRIAL</w:t>
      </w:r>
      <w:r>
        <w:rPr>
          <w:color w:val="000000"/>
        </w:rPr>
        <w:t xml:space="preserve"> </w:t>
      </w:r>
      <w:r>
        <w:rPr>
          <w:rFonts w:ascii="Arial;sans-serif" w:hAnsi="Arial;sans-serif"/>
          <w:b w:val="false"/>
          <w:color w:val="000000"/>
          <w:sz w:val="22"/>
        </w:rPr>
        <w:t>BEFORE</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4"/>
        </w:rPr>
        <w:t xml:space="preserve">COURT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JURY</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CLAIMS</w:t>
      </w:r>
      <w:r>
        <w:rPr>
          <w:color w:val="000000"/>
        </w:rPr>
        <w:t xml:space="preserve"> </w:t>
      </w:r>
      <w:r>
        <w:rPr>
          <w:rFonts w:ascii="Arial;sans-serif" w:hAnsi="Arial;sans-serif"/>
          <w:b w:val="false"/>
          <w:color w:val="000000"/>
          <w:sz w:val="22"/>
        </w:rPr>
        <w:t>SUBJECT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ARBITRATION</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 ARBITRATION AGREEMENT.</w:t>
      </w:r>
    </w:p>
    <w:p>
      <w:pPr>
        <w:pStyle w:val="TextBody"/>
        <w:spacing w:before="0" w:after="0"/>
        <w:rPr/>
      </w:pPr>
      <w:r>
        <w:rPr/>
      </w:r>
    </w:p>
    <w:p>
      <w:pPr>
        <w:pStyle w:val="TextBody"/>
        <w:spacing w:lineRule="auto" w:line="268" w:before="0" w:after="0"/>
        <w:ind w:left="0" w:right="0" w:hanging="360"/>
        <w:rPr/>
      </w:pPr>
      <w:r>
        <w:rPr>
          <w:rFonts w:ascii="Arial;sans-serif" w:hAnsi="Arial;sans-serif"/>
          <w:b/>
          <w:color w:val="000000"/>
          <w:sz w:val="22"/>
        </w:rPr>
        <w:t>11.</w:t>
      </w:r>
      <w:r>
        <w:rPr>
          <w:rFonts w:ascii="Arial;sans-serif" w:hAnsi="Arial;sans-serif"/>
          <w:b/>
          <w:color w:val="000000"/>
          <w:sz w:val="24"/>
          <w:u w:val="single"/>
        </w:rPr>
        <w:t>Pre-Employment Conditions</w:t>
      </w:r>
      <w:r>
        <w:rPr>
          <w:rFonts w:ascii="Arial;sans-serif" w:hAnsi="Arial;sans-serif"/>
          <w:b/>
          <w:color w:val="000000"/>
          <w:sz w:val="24"/>
        </w:rPr>
        <w:t>.</w:t>
      </w:r>
      <w:r>
        <w:rPr>
          <w:rFonts w:ascii="Arial;sans-serif" w:hAnsi="Arial;sans-serif"/>
          <w:b/>
          <w:color w:val="000000"/>
          <w:sz w:val="13"/>
        </w:rPr>
        <w:t>[3]</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a.</w:t>
      </w:r>
      <w:r>
        <w:rPr>
          <w:rFonts w:ascii="Arial;sans-serif" w:hAnsi="Arial;sans-serif"/>
          <w:b/>
          <w:color w:val="000000"/>
          <w:sz w:val="24"/>
          <w:u w:val="single"/>
        </w:rPr>
        <w:t>Confidentiality Agreement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acceptance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offer</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 xml:space="preserve">Executive’s Employment with the Company is contingent upon the execution, and delivery to an officer of the Company, of the Company’s Employee Nondisclosure, Non- Solicitation, Confidentiality and Developments Agreement, a copy of which is attached hereto as </w:t>
      </w:r>
      <w:r>
        <w:rPr>
          <w:rFonts w:ascii="Arial;sans-serif" w:hAnsi="Arial;sans-serif"/>
          <w:b w:val="false"/>
          <w:color w:val="000000"/>
          <w:sz w:val="24"/>
          <w:u w:val="single"/>
        </w:rPr>
        <w:t>Attachment [B]</w:t>
      </w:r>
      <w:r>
        <w:rPr>
          <w:color w:val="000000"/>
        </w:rPr>
        <w:t xml:space="preserve"> </w:t>
      </w:r>
      <w:r>
        <w:rPr>
          <w:rFonts w:ascii="Arial;sans-serif" w:hAnsi="Arial;sans-serif"/>
          <w:b w:val="false"/>
          <w:color w:val="000000"/>
          <w:sz w:val="22"/>
        </w:rPr>
        <w:t>for Executive’s review and execution (the “</w:t>
      </w:r>
      <w:r>
        <w:rPr>
          <w:rFonts w:ascii="Arial;sans-serif" w:hAnsi="Arial;sans-serif"/>
          <w:b/>
          <w:i/>
          <w:color w:val="000000"/>
          <w:sz w:val="24"/>
        </w:rPr>
        <w:t>Confidentiality Agreement</w:t>
      </w:r>
      <w:r>
        <w:rPr>
          <w:color w:val="000000"/>
        </w:rPr>
        <w:t>”</w:t>
      </w:r>
      <w:r>
        <w:rPr>
          <w:rFonts w:ascii="Arial;sans-serif" w:hAnsi="Arial;sans-serif"/>
          <w:b w:val="false"/>
          <w:color w:val="000000"/>
          <w:sz w:val="22"/>
        </w:rPr>
        <w:t>), prior to or on the Effective Date.</w:t>
      </w:r>
    </w:p>
    <w:p>
      <w:pPr>
        <w:pStyle w:val="TextBody"/>
        <w:spacing w:before="0" w:after="0"/>
        <w:jc w:val="both"/>
        <w:rPr/>
      </w:pPr>
      <w:r>
        <w:rPr/>
      </w:r>
    </w:p>
    <w:p>
      <w:pPr>
        <w:pStyle w:val="TextBody"/>
        <w:spacing w:lineRule="auto" w:line="276"/>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Right to Work</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For purposes of federal immigration law, Executive will be required, if Executive has not already, to provide to the Company documentary evidence</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identity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eligibility</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United</w:t>
      </w:r>
      <w:r>
        <w:rPr>
          <w:color w:val="000000"/>
        </w:rPr>
        <w:t xml:space="preserve"> </w:t>
      </w:r>
      <w:r>
        <w:rPr>
          <w:rFonts w:ascii="Arial;sans-serif" w:hAnsi="Arial;sans-serif"/>
          <w:b w:val="false"/>
          <w:color w:val="000000"/>
          <w:sz w:val="22"/>
        </w:rPr>
        <w:t xml:space="preserve">States. Such documentation must be provided to the Company within three (3)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business days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Effective</w:t>
      </w:r>
      <w:r>
        <w:rPr>
          <w:color w:val="000000"/>
        </w:rPr>
        <w:t xml:space="preserve"> </w:t>
      </w:r>
      <w:r>
        <w:rPr>
          <w:rFonts w:ascii="Arial;sans-serif" w:hAnsi="Arial;sans-serif"/>
          <w:b w:val="false"/>
          <w:color w:val="000000"/>
          <w:sz w:val="22"/>
        </w:rPr>
        <w:t>Date,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Employment</w:t>
      </w:r>
      <w:r>
        <w:rPr>
          <w:color w:val="000000"/>
        </w:rPr>
        <w:t xml:space="preserve"> </w:t>
      </w:r>
      <w:r>
        <w:rPr>
          <w:rFonts w:ascii="Arial;sans-serif" w:hAnsi="Arial;sans-serif"/>
          <w:b w:val="false"/>
          <w:color w:val="000000"/>
          <w:sz w:val="22"/>
        </w:rPr>
        <w:t>relationship</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Executive may</w:t>
      </w:r>
      <w:r>
        <w:rPr>
          <w:color w:val="000000"/>
        </w:rPr>
        <w:t xml:space="preserve"> </w:t>
      </w:r>
      <w:r>
        <w:rPr>
          <w:rFonts w:ascii="Arial;sans-serif" w:hAnsi="Arial;sans-serif"/>
          <w:b w:val="false"/>
          <w:color w:val="000000"/>
          <w:sz w:val="22"/>
        </w:rPr>
        <w:t xml:space="preserve">be </w:t>
      </w:r>
      <w:r>
        <w:rPr>
          <w:rFonts w:ascii="Arial;sans-serif" w:hAnsi="Arial;sans-serif"/>
          <w:b w:val="false"/>
          <w:color w:val="000000"/>
          <w:sz w:val="24"/>
        </w:rPr>
        <w:t>terminated.</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c.</w:t>
      </w:r>
      <w:r>
        <w:rPr>
          <w:rFonts w:ascii="Arial;sans-serif" w:hAnsi="Arial;sans-serif"/>
          <w:b/>
          <w:color w:val="000000"/>
          <w:sz w:val="24"/>
          <w:u w:val="single"/>
        </w:rPr>
        <w:t>Verification of Information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This Agreement is also contingent upon the successful verification of the information Executive provided to the Company during Executive’s application process, as well as a general background check performed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 Company</w:t>
      </w:r>
      <w:r>
        <w:rPr>
          <w:color w:val="000000"/>
        </w:rPr>
        <w:t xml:space="preserve"> </w:t>
      </w:r>
      <w:r>
        <w:rPr>
          <w:rFonts w:ascii="Arial;sans-serif" w:hAnsi="Arial;sans-serif"/>
          <w:b w:val="false"/>
          <w:color w:val="000000"/>
          <w:sz w:val="22"/>
        </w:rPr>
        <w:t>to confirm Executive’s suitability</w:t>
      </w:r>
      <w:r>
        <w:rPr>
          <w:color w:val="000000"/>
        </w:rPr>
        <w:t xml:space="preserve"> </w:t>
      </w:r>
      <w:r>
        <w:rPr>
          <w:rFonts w:ascii="Arial;sans-serif" w:hAnsi="Arial;sans-serif"/>
          <w:b w:val="false"/>
          <w:color w:val="000000"/>
          <w:sz w:val="22"/>
        </w:rPr>
        <w:t>for Employment.</w:t>
      </w:r>
      <w:r>
        <w:rPr>
          <w:color w:val="000000"/>
        </w:rPr>
        <w:t xml:space="preserve"> </w:t>
      </w:r>
      <w:r>
        <w:rPr>
          <w:rFonts w:ascii="Arial;sans-serif" w:hAnsi="Arial;sans-serif"/>
          <w:b w:val="false"/>
          <w:color w:val="000000"/>
          <w:sz w:val="22"/>
        </w:rPr>
        <w:t>By accepting this Agreement, Executive warrants that all information provided by Executive is true and correct to the best of Executive’s knowledge, Executive agrees to execute any and all documentation necessary for the Company to conduct</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background</w:t>
      </w:r>
      <w:r>
        <w:rPr>
          <w:color w:val="000000"/>
        </w:rPr>
        <w:t xml:space="preserve"> </w:t>
      </w:r>
      <w:r>
        <w:rPr>
          <w:rFonts w:ascii="Arial;sans-serif" w:hAnsi="Arial;sans-serif"/>
          <w:b w:val="false"/>
          <w:color w:val="000000"/>
          <w:sz w:val="22"/>
        </w:rPr>
        <w:t>check</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expressly</w:t>
      </w:r>
      <w:r>
        <w:rPr>
          <w:color w:val="000000"/>
        </w:rPr>
        <w:t xml:space="preserve"> </w:t>
      </w:r>
      <w:r>
        <w:rPr>
          <w:rFonts w:ascii="Arial;sans-serif" w:hAnsi="Arial;sans-serif"/>
          <w:b w:val="false"/>
          <w:color w:val="000000"/>
          <w:sz w:val="22"/>
        </w:rPr>
        <w:t>releases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 xml:space="preserve">from any claim or cause of action arising out of the Company’s verification of such </w:t>
      </w:r>
      <w:r>
        <w:rPr>
          <w:rFonts w:ascii="Arial;sans-serif" w:hAnsi="Arial;sans-serif"/>
          <w:b w:val="false"/>
          <w:color w:val="000000"/>
          <w:sz w:val="24"/>
        </w:rPr>
        <w:t>information.</w:t>
      </w:r>
    </w:p>
    <w:p>
      <w:pPr>
        <w:pStyle w:val="TextBody"/>
        <w:spacing w:before="0" w:after="0"/>
        <w:jc w:val="both"/>
        <w:rPr/>
      </w:pPr>
      <w:r>
        <w:rPr/>
      </w:r>
    </w:p>
    <w:p>
      <w:pPr>
        <w:pStyle w:val="TextBody"/>
        <w:spacing w:lineRule="auto" w:line="268" w:before="0" w:after="0"/>
        <w:ind w:left="0" w:right="0" w:hanging="360"/>
        <w:rPr/>
      </w:pPr>
      <w:r>
        <w:rPr>
          <w:rFonts w:ascii="Arial;sans-serif" w:hAnsi="Arial;sans-serif"/>
          <w:b/>
          <w:color w:val="000000"/>
          <w:sz w:val="22"/>
        </w:rPr>
        <w:t>12.</w:t>
      </w:r>
      <w:r>
        <w:rPr>
          <w:rFonts w:ascii="Arial;sans-serif" w:hAnsi="Arial;sans-serif"/>
          <w:b/>
          <w:color w:val="000000"/>
          <w:sz w:val="24"/>
          <w:u w:val="single"/>
        </w:rPr>
        <w:t>Successors</w:t>
      </w:r>
      <w:r>
        <w:rPr>
          <w:rFonts w:ascii="Arial;sans-serif" w:hAnsi="Arial;sans-serif"/>
          <w:b/>
          <w:color w:val="000000"/>
          <w:sz w:val="24"/>
        </w:rPr>
        <w:t>.</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a.</w:t>
      </w:r>
      <w:r>
        <w:rPr>
          <w:rFonts w:ascii="Arial;sans-serif" w:hAnsi="Arial;sans-serif"/>
          <w:b/>
          <w:color w:val="000000"/>
          <w:sz w:val="24"/>
          <w:u w:val="single"/>
        </w:rPr>
        <w:t>Company’s Successors</w:t>
      </w:r>
      <w:r>
        <w:rPr>
          <w:rFonts w:ascii="Arial;sans-serif" w:hAnsi="Arial;sans-serif"/>
          <w:b/>
          <w:color w:val="000000"/>
          <w:sz w:val="24"/>
        </w:rPr>
        <w:t xml:space="preserve">. </w:t>
      </w:r>
      <w:r>
        <w:rPr>
          <w:rFonts w:ascii="Arial;sans-serif" w:hAnsi="Arial;sans-serif"/>
          <w:b w:val="false"/>
          <w:color w:val="000000"/>
          <w:sz w:val="22"/>
        </w:rPr>
        <w:t>This Agreement shall be binding upon any successor (whether</w:t>
      </w:r>
      <w:r>
        <w:rPr>
          <w:color w:val="000000"/>
        </w:rPr>
        <w:t xml:space="preserve"> </w:t>
      </w:r>
      <w:r>
        <w:rPr>
          <w:rFonts w:ascii="Arial;sans-serif" w:hAnsi="Arial;sans-serif"/>
          <w:b w:val="false"/>
          <w:color w:val="000000"/>
          <w:sz w:val="22"/>
        </w:rPr>
        <w:t>direct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indirect</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whether</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purchase,</w:t>
      </w:r>
      <w:r>
        <w:rPr>
          <w:color w:val="000000"/>
        </w:rPr>
        <w:t xml:space="preserve"> </w:t>
      </w:r>
      <w:r>
        <w:rPr>
          <w:rFonts w:ascii="Arial;sans-serif" w:hAnsi="Arial;sans-serif"/>
          <w:b w:val="false"/>
          <w:color w:val="000000"/>
          <w:sz w:val="22"/>
        </w:rPr>
        <w:t>lease,</w:t>
      </w:r>
      <w:r>
        <w:rPr>
          <w:color w:val="000000"/>
        </w:rPr>
        <w:t xml:space="preserve"> </w:t>
      </w:r>
      <w:r>
        <w:rPr>
          <w:rFonts w:ascii="Arial;sans-serif" w:hAnsi="Arial;sans-serif"/>
          <w:b w:val="false"/>
          <w:color w:val="000000"/>
          <w:sz w:val="22"/>
        </w:rPr>
        <w:t>merger,</w:t>
      </w:r>
      <w:r>
        <w:rPr>
          <w:color w:val="000000"/>
        </w:rPr>
        <w:t xml:space="preserve"> </w:t>
      </w:r>
      <w:r>
        <w:rPr>
          <w:rFonts w:ascii="Arial;sans-serif" w:hAnsi="Arial;sans-serif"/>
          <w:b w:val="false"/>
          <w:color w:val="000000"/>
          <w:sz w:val="22"/>
        </w:rPr>
        <w:t>consolidation, liquidation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otherwise)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substantially</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business</w:t>
      </w:r>
      <w:r>
        <w:rPr>
          <w:color w:val="000000"/>
        </w:rPr>
        <w:t xml:space="preserve"> </w:t>
      </w:r>
      <w:r>
        <w:rPr>
          <w:rFonts w:ascii="Arial;sans-serif" w:hAnsi="Arial;sans-serif"/>
          <w:b w:val="false"/>
          <w:color w:val="000000"/>
          <w:sz w:val="22"/>
        </w:rPr>
        <w:t>and/or assets.</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purposes</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term</w:t>
      </w:r>
      <w:r>
        <w:rPr>
          <w:color w:val="000000"/>
        </w:rPr>
        <w:t xml:space="preserve"> “</w:t>
      </w:r>
      <w:r>
        <w:rPr>
          <w:rFonts w:ascii="Arial;sans-serif" w:hAnsi="Arial;sans-serif"/>
          <w:b/>
          <w:i/>
          <w:color w:val="000000"/>
          <w:sz w:val="24"/>
        </w:rPr>
        <w:t>Company</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include any successor to the Company’s business or assets that become bound by this Agreement or any affiliate of any such successor that employs Executive.</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Executive’s Successors</w:t>
      </w:r>
      <w:r>
        <w:rPr>
          <w:rFonts w:ascii="Arial;sans-serif" w:hAnsi="Arial;sans-serif"/>
          <w:b/>
          <w:color w:val="000000"/>
          <w:sz w:val="24"/>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rights</w:t>
      </w:r>
      <w:r>
        <w:rPr>
          <w:color w:val="000000"/>
        </w:rPr>
        <w:t xml:space="preserve"> </w:t>
      </w:r>
      <w:r>
        <w:rPr>
          <w:rFonts w:ascii="Arial;sans-serif" w:hAnsi="Arial;sans-serif"/>
          <w:b w:val="false"/>
          <w:color w:val="000000"/>
          <w:sz w:val="22"/>
        </w:rPr>
        <w:t>hereunder shall inure to the benefit of, and be enforceable by, Executive’s personal or legal representatives, executors, administrators, successors, heirs, distributees, devisees and legatees.</w:t>
      </w:r>
    </w:p>
    <w:p>
      <w:pPr>
        <w:pStyle w:val="TextBody"/>
        <w:spacing w:before="0" w:after="0"/>
        <w:jc w:val="both"/>
        <w:rPr/>
      </w:pPr>
      <w:r>
        <w:rPr/>
      </w:r>
    </w:p>
    <w:p>
      <w:pPr>
        <w:pStyle w:val="TextBody"/>
        <w:spacing w:lineRule="auto" w:line="268" w:before="0" w:after="0"/>
        <w:ind w:left="0" w:right="0" w:hanging="360"/>
        <w:rPr/>
      </w:pPr>
      <w:r>
        <w:rPr>
          <w:rFonts w:ascii="Arial;sans-serif" w:hAnsi="Arial;sans-serif"/>
          <w:b/>
          <w:color w:val="000000"/>
          <w:sz w:val="22"/>
        </w:rPr>
        <w:t>13.</w:t>
      </w:r>
      <w:r>
        <w:rPr>
          <w:rFonts w:ascii="Arial;sans-serif" w:hAnsi="Arial;sans-serif"/>
          <w:b/>
          <w:color w:val="000000"/>
          <w:sz w:val="24"/>
          <w:u w:val="single"/>
        </w:rPr>
        <w:t>Miscellaneous Provisions</w:t>
      </w:r>
      <w:r>
        <w:rPr>
          <w:rFonts w:ascii="Arial;sans-serif" w:hAnsi="Arial;sans-serif"/>
          <w:b/>
          <w:color w:val="000000"/>
          <w:sz w:val="24"/>
        </w:rPr>
        <w:t>.</w:t>
      </w:r>
    </w:p>
    <w:p>
      <w:pPr>
        <w:pStyle w:val="TextBody"/>
        <w:spacing w:before="0" w:after="0"/>
        <w:rPr/>
      </w:pPr>
      <w:r>
        <w:rPr/>
      </w:r>
    </w:p>
    <w:p>
      <w:pPr>
        <w:pStyle w:val="TextBody"/>
        <w:spacing w:lineRule="auto" w:line="276" w:before="0" w:after="0"/>
        <w:ind w:left="0" w:right="0" w:hanging="360"/>
        <w:jc w:val="both"/>
        <w:rPr/>
      </w:pPr>
      <w:r>
        <w:rPr>
          <w:rFonts w:ascii="Arial;sans-serif" w:hAnsi="Arial;sans-serif"/>
          <w:b w:val="false"/>
          <w:color w:val="000000"/>
          <w:sz w:val="22"/>
        </w:rPr>
        <w:t>a.</w:t>
      </w:r>
      <w:r>
        <w:rPr>
          <w:rFonts w:ascii="Arial;sans-serif" w:hAnsi="Arial;sans-serif"/>
          <w:b/>
          <w:color w:val="000000"/>
          <w:sz w:val="24"/>
          <w:u w:val="single"/>
        </w:rPr>
        <w:t>Indemnification</w:t>
      </w:r>
      <w:r>
        <w:rPr>
          <w:rFonts w:ascii="Arial;sans-serif" w:hAnsi="Arial;sans-serif"/>
          <w:b/>
          <w:color w:val="000000"/>
          <w:sz w:val="24"/>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indemnify</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maximum</w:t>
      </w:r>
      <w:r>
        <w:rPr>
          <w:color w:val="000000"/>
        </w:rPr>
        <w:t xml:space="preserve"> </w:t>
      </w:r>
      <w:r>
        <w:rPr>
          <w:rFonts w:ascii="Arial;sans-serif" w:hAnsi="Arial;sans-serif"/>
          <w:b w:val="false"/>
          <w:color w:val="000000"/>
          <w:sz w:val="22"/>
        </w:rPr>
        <w:t>extent permitted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Bylaws</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respect</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Executive’s service and Executive shall</w:t>
      </w:r>
      <w:r>
        <w:rPr>
          <w:color w:val="000000"/>
        </w:rPr>
        <w:t xml:space="preserve"> </w:t>
      </w:r>
      <w:r>
        <w:rPr>
          <w:rFonts w:ascii="Arial;sans-serif" w:hAnsi="Arial;sans-serif"/>
          <w:b w:val="false"/>
          <w:color w:val="000000"/>
          <w:sz w:val="22"/>
        </w:rPr>
        <w:t>also be</w:t>
      </w:r>
      <w:r>
        <w:rPr>
          <w:color w:val="000000"/>
        </w:rPr>
        <w:t xml:space="preserve"> </w:t>
      </w:r>
      <w:r>
        <w:rPr>
          <w:rFonts w:ascii="Arial;sans-serif" w:hAnsi="Arial;sans-serif"/>
          <w:b w:val="false"/>
          <w:color w:val="000000"/>
          <w:sz w:val="22"/>
        </w:rPr>
        <w:t>covered under a</w:t>
      </w:r>
      <w:r>
        <w:rPr>
          <w:color w:val="000000"/>
        </w:rPr>
        <w:t xml:space="preserve"> </w:t>
      </w:r>
      <w:r>
        <w:rPr>
          <w:rFonts w:ascii="Arial;sans-serif" w:hAnsi="Arial;sans-serif"/>
          <w:b w:val="false"/>
          <w:color w:val="000000"/>
          <w:sz w:val="22"/>
        </w:rPr>
        <w:t>directors and</w:t>
      </w:r>
      <w:r>
        <w:rPr>
          <w:color w:val="000000"/>
        </w:rPr>
        <w:t xml:space="preserve"> </w:t>
      </w:r>
      <w:r>
        <w:rPr>
          <w:rFonts w:ascii="Arial;sans-serif" w:hAnsi="Arial;sans-serif"/>
          <w:b w:val="false"/>
          <w:color w:val="000000"/>
          <w:sz w:val="22"/>
        </w:rPr>
        <w:t>officers</w:t>
      </w:r>
      <w:r>
        <w:rPr>
          <w:color w:val="000000"/>
        </w:rPr>
        <w:t xml:space="preserve"> </w:t>
      </w:r>
      <w:r>
        <w:rPr>
          <w:rFonts w:ascii="Arial;sans-serif" w:hAnsi="Arial;sans-serif"/>
          <w:b w:val="false"/>
          <w:color w:val="000000"/>
          <w:sz w:val="22"/>
        </w:rPr>
        <w:t>liability insurance</w:t>
      </w:r>
      <w:r>
        <w:rPr>
          <w:color w:val="000000"/>
        </w:rPr>
        <w:t xml:space="preserve"> </w:t>
      </w:r>
      <w:r>
        <w:rPr>
          <w:rFonts w:ascii="Arial;sans-serif" w:hAnsi="Arial;sans-serif"/>
          <w:b w:val="false"/>
          <w:color w:val="000000"/>
          <w:sz w:val="22"/>
        </w:rPr>
        <w:t>policy</w:t>
      </w:r>
      <w:r>
        <w:rPr>
          <w:color w:val="000000"/>
        </w:rPr>
        <w:t xml:space="preserve"> </w:t>
      </w:r>
      <w:r>
        <w:rPr>
          <w:rFonts w:ascii="Arial;sans-serif" w:hAnsi="Arial;sans-serif"/>
          <w:b w:val="false"/>
          <w:color w:val="000000"/>
          <w:sz w:val="22"/>
        </w:rPr>
        <w:t>paid</w:t>
      </w:r>
      <w:r>
        <w:rPr>
          <w:color w:val="000000"/>
        </w:rPr>
        <w:t xml:space="preserve"> </w:t>
      </w:r>
      <w:r>
        <w:rPr>
          <w:rFonts w:ascii="Arial;sans-serif" w:hAnsi="Arial;sans-serif"/>
          <w:b w:val="false"/>
          <w:color w:val="000000"/>
          <w:sz w:val="22"/>
        </w:rPr>
        <w:t>for</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extent</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maintains such a liability insurance policy now or in the future.</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b.</w:t>
      </w:r>
      <w:r>
        <w:rPr>
          <w:rFonts w:ascii="Arial;sans-serif" w:hAnsi="Arial;sans-serif"/>
          <w:b/>
          <w:color w:val="000000"/>
          <w:sz w:val="24"/>
          <w:u w:val="single"/>
        </w:rPr>
        <w:t>Headings</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All captions and section headings used in this Agreement are for convenient reference only and do not form a part of this Agreement.</w:t>
      </w:r>
    </w:p>
    <w:p>
      <w:pPr>
        <w:pStyle w:val="TextBody"/>
        <w:spacing w:before="0" w:after="0"/>
        <w:jc w:val="both"/>
        <w:rPr/>
      </w:pPr>
      <w:r>
        <w:rPr/>
      </w:r>
    </w:p>
    <w:p>
      <w:pPr>
        <w:pStyle w:val="TextBody"/>
        <w:spacing w:lineRule="auto" w:line="268" w:before="0" w:after="0"/>
        <w:ind w:left="0" w:right="0" w:hanging="360"/>
        <w:rPr/>
      </w:pPr>
      <w:r>
        <w:rPr>
          <w:rFonts w:ascii="Arial;sans-serif" w:hAnsi="Arial;sans-serif"/>
          <w:b/>
          <w:color w:val="000000"/>
          <w:sz w:val="22"/>
        </w:rPr>
        <w:t>c.</w:t>
      </w:r>
      <w:r>
        <w:rPr>
          <w:rFonts w:ascii="Arial;sans-serif" w:hAnsi="Arial;sans-serif"/>
          <w:b/>
          <w:color w:val="000000"/>
          <w:sz w:val="24"/>
        </w:rPr>
        <w:t>Notice.</w:t>
      </w:r>
    </w:p>
    <w:p>
      <w:pPr>
        <w:pStyle w:val="TextBody"/>
        <w:spacing w:before="0" w:after="0"/>
        <w:rPr/>
      </w:pPr>
      <w:r>
        <w:rPr/>
      </w:r>
    </w:p>
    <w:p>
      <w:pPr>
        <w:pStyle w:val="TextBody"/>
        <w:spacing w:lineRule="auto" w:line="276"/>
        <w:ind w:left="0" w:right="0" w:hanging="470"/>
        <w:jc w:val="both"/>
        <w:rPr/>
      </w:pPr>
      <w:r>
        <w:rPr>
          <w:rFonts w:ascii="Arial;sans-serif" w:hAnsi="Arial;sans-serif"/>
          <w:b w:val="false"/>
          <w:color w:val="000000"/>
          <w:sz w:val="22"/>
        </w:rPr>
        <w:t>i.General.</w:t>
      </w:r>
      <w:r>
        <w:rPr>
          <w:color w:val="000000"/>
        </w:rPr>
        <w:t xml:space="preserve"> </w:t>
      </w:r>
      <w:r>
        <w:rPr>
          <w:rFonts w:ascii="Arial;sans-serif" w:hAnsi="Arial;sans-serif"/>
          <w:b w:val="false"/>
          <w:color w:val="000000"/>
          <w:sz w:val="22"/>
        </w:rPr>
        <w:t>Notices and all other communications contemplated by this 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writing</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deemed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been</w:t>
      </w:r>
      <w:r>
        <w:rPr>
          <w:color w:val="000000"/>
        </w:rPr>
        <w:t xml:space="preserve"> </w:t>
      </w:r>
      <w:r>
        <w:rPr>
          <w:rFonts w:ascii="Arial;sans-serif" w:hAnsi="Arial;sans-serif"/>
          <w:b w:val="false"/>
          <w:color w:val="000000"/>
          <w:sz w:val="22"/>
        </w:rPr>
        <w:t>duly</w:t>
      </w:r>
      <w:r>
        <w:rPr>
          <w:color w:val="000000"/>
        </w:rPr>
        <w:t xml:space="preserve"> </w:t>
      </w:r>
      <w:r>
        <w:rPr>
          <w:rFonts w:ascii="Arial;sans-serif" w:hAnsi="Arial;sans-serif"/>
          <w:b w:val="false"/>
          <w:color w:val="000000"/>
          <w:sz w:val="22"/>
        </w:rPr>
        <w:t>given when personally delivered or when mailed by U.S. registered or certified mail, return receipt requested and postage prepaid.</w:t>
      </w:r>
      <w:r>
        <w:rPr>
          <w:color w:val="000000"/>
        </w:rPr>
        <w:t xml:space="preserve"> </w:t>
      </w:r>
      <w:r>
        <w:rPr>
          <w:rFonts w:ascii="Arial;sans-serif" w:hAnsi="Arial;sans-serif"/>
          <w:b w:val="false"/>
          <w:color w:val="000000"/>
          <w:sz w:val="22"/>
        </w:rPr>
        <w:t xml:space="preserve">In Executive’s case, mailed notices shall be addressed to Executive at the home address that Executive most recently communicated to the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Company in writing.</w:t>
      </w:r>
      <w:r>
        <w:rPr>
          <w:color w:val="000000"/>
        </w:rPr>
        <w:t xml:space="preserve"> </w:t>
      </w:r>
      <w:r>
        <w:rPr>
          <w:rFonts w:ascii="Arial;sans-serif" w:hAnsi="Arial;sans-serif"/>
          <w:b w:val="false"/>
          <w:color w:val="000000"/>
          <w:sz w:val="22"/>
        </w:rPr>
        <w:t xml:space="preserve">In the case of the Company, mailed notices shall be addressed to its corporate headquarters, and all notices shall be directed to the attention of its </w:t>
      </w:r>
      <w:r>
        <w:rPr>
          <w:rFonts w:ascii="Arial;sans-serif" w:hAnsi="Arial;sans-serif"/>
          <w:b w:val="false"/>
          <w:color w:val="000000"/>
          <w:sz w:val="24"/>
        </w:rPr>
        <w:t>Secretary.</w:t>
      </w:r>
    </w:p>
    <w:p>
      <w:pPr>
        <w:pStyle w:val="TextBody"/>
        <w:spacing w:before="0" w:after="0"/>
        <w:jc w:val="both"/>
        <w:rPr/>
      </w:pPr>
      <w:r>
        <w:rPr/>
      </w:r>
    </w:p>
    <w:p>
      <w:pPr>
        <w:pStyle w:val="TextBody"/>
        <w:spacing w:lineRule="auto" w:line="276" w:before="0" w:after="0"/>
        <w:ind w:left="0" w:right="0" w:hanging="519"/>
        <w:jc w:val="both"/>
        <w:rPr/>
      </w:pPr>
      <w:r>
        <w:rPr>
          <w:rFonts w:ascii="Arial;sans-serif" w:hAnsi="Arial;sans-serif"/>
          <w:b w:val="false"/>
          <w:color w:val="000000"/>
          <w:sz w:val="22"/>
        </w:rPr>
        <w:t>ii.</w:t>
      </w:r>
      <w:r>
        <w:rPr>
          <w:rFonts w:ascii="Arial;sans-serif" w:hAnsi="Arial;sans-serif"/>
          <w:b w:val="false"/>
          <w:color w:val="000000"/>
          <w:sz w:val="24"/>
          <w:u w:val="single"/>
        </w:rPr>
        <w:t>Notice of Termination</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Any termination by the Company for Cause or by Executive for Good Reason will be communicated by a notice of termination to the other party hereto given in accordance with Section 13(c)(i)</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notice</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indicate</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specific</w:t>
      </w:r>
      <w:r>
        <w:rPr>
          <w:color w:val="000000"/>
        </w:rPr>
        <w:t xml:space="preserve"> </w:t>
      </w:r>
      <w:r>
        <w:rPr>
          <w:rFonts w:ascii="Arial;sans-serif" w:hAnsi="Arial;sans-serif"/>
          <w:b w:val="false"/>
          <w:color w:val="000000"/>
          <w:sz w:val="22"/>
        </w:rPr>
        <w:t>termination provision in this Agreement relied upon, will set forth in reasonable detail the facts and circumstances claimed to provide a basis for termination under the provision so indicated, and will specify the termination date (which</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not</w:t>
      </w:r>
      <w:r>
        <w:rPr>
          <w:color w:val="000000"/>
        </w:rPr>
        <w:t xml:space="preserve"> </w:t>
      </w:r>
      <w:r>
        <w:rPr>
          <w:rFonts w:ascii="Arial;sans-serif" w:hAnsi="Arial;sans-serif"/>
          <w:b w:val="false"/>
          <w:color w:val="000000"/>
          <w:sz w:val="22"/>
        </w:rPr>
        <w:t>more</w:t>
      </w:r>
      <w:r>
        <w:rPr>
          <w:color w:val="000000"/>
        </w:rPr>
        <w:t xml:space="preserve"> </w:t>
      </w:r>
      <w:r>
        <w:rPr>
          <w:rFonts w:ascii="Arial;sans-serif" w:hAnsi="Arial;sans-serif"/>
          <w:b w:val="false"/>
          <w:color w:val="000000"/>
          <w:sz w:val="22"/>
        </w:rPr>
        <w:t>than</w:t>
      </w:r>
      <w:r>
        <w:rPr>
          <w:color w:val="000000"/>
        </w:rPr>
        <w:t xml:space="preserve"> </w:t>
      </w:r>
      <w:r>
        <w:rPr>
          <w:rFonts w:ascii="Arial;sans-serif" w:hAnsi="Arial;sans-serif"/>
          <w:b w:val="false"/>
          <w:color w:val="000000"/>
          <w:sz w:val="22"/>
        </w:rPr>
        <w:t>thirty</w:t>
      </w:r>
      <w:r>
        <w:rPr>
          <w:color w:val="000000"/>
        </w:rPr>
        <w:t xml:space="preserve"> </w:t>
      </w:r>
      <w:r>
        <w:rPr>
          <w:rFonts w:ascii="Arial;sans-serif" w:hAnsi="Arial;sans-serif"/>
          <w:b w:val="false"/>
          <w:color w:val="000000"/>
          <w:sz w:val="22"/>
        </w:rPr>
        <w:t>(30)</w:t>
      </w:r>
      <w:r>
        <w:rPr>
          <w:color w:val="000000"/>
        </w:rPr>
        <w:t xml:space="preserve"> </w:t>
      </w:r>
      <w:r>
        <w:rPr>
          <w:rFonts w:ascii="Arial;sans-serif" w:hAnsi="Arial;sans-serif"/>
          <w:b w:val="false"/>
          <w:color w:val="000000"/>
          <w:sz w:val="22"/>
        </w:rPr>
        <w:t>days</w:t>
      </w:r>
      <w:r>
        <w:rPr>
          <w:color w:val="000000"/>
        </w:rPr>
        <w:t xml:space="preserve"> </w:t>
      </w:r>
      <w:r>
        <w:rPr>
          <w:rFonts w:ascii="Arial;sans-serif" w:hAnsi="Arial;sans-serif"/>
          <w:b w:val="false"/>
          <w:color w:val="000000"/>
          <w:sz w:val="22"/>
        </w:rPr>
        <w:t>after</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giving</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such</w:t>
      </w:r>
      <w:r>
        <w:rPr>
          <w:color w:val="000000"/>
        </w:rPr>
        <w:t xml:space="preserve"> </w:t>
      </w:r>
      <w:r>
        <w:rPr>
          <w:rFonts w:ascii="Arial;sans-serif" w:hAnsi="Arial;sans-serif"/>
          <w:b w:val="false"/>
          <w:color w:val="000000"/>
          <w:sz w:val="22"/>
        </w:rPr>
        <w:t>notice), subject to any applicable cure period.</w:t>
      </w:r>
      <w:r>
        <w:rPr>
          <w:color w:val="000000"/>
        </w:rPr>
        <w:t xml:space="preserve"> </w:t>
      </w:r>
      <w:r>
        <w:rPr>
          <w:rFonts w:ascii="Arial;sans-serif" w:hAnsi="Arial;sans-serif"/>
          <w:b w:val="false"/>
          <w:color w:val="000000"/>
          <w:sz w:val="22"/>
        </w:rPr>
        <w:t>The failure by Executive or the Company to include in the notice any fact or circumstance which contributes</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showing</w:t>
      </w:r>
      <w:r>
        <w:rPr>
          <w:color w:val="000000"/>
        </w:rPr>
        <w:t xml:space="preserve"> </w:t>
      </w:r>
      <w:r>
        <w:rPr>
          <w:rFonts w:ascii="Arial;sans-serif" w:hAnsi="Arial;sans-serif"/>
          <w:b w:val="false"/>
          <w:color w:val="000000"/>
          <w:sz w:val="22"/>
        </w:rPr>
        <w:t>of Good</w:t>
      </w:r>
      <w:r>
        <w:rPr>
          <w:color w:val="000000"/>
        </w:rPr>
        <w:t xml:space="preserve"> </w:t>
      </w:r>
      <w:r>
        <w:rPr>
          <w:rFonts w:ascii="Arial;sans-serif" w:hAnsi="Arial;sans-serif"/>
          <w:b w:val="false"/>
          <w:color w:val="000000"/>
          <w:sz w:val="22"/>
        </w:rPr>
        <w:t>Reason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Cause,</w:t>
      </w:r>
      <w:r>
        <w:rPr>
          <w:color w:val="000000"/>
        </w:rPr>
        <w:t xml:space="preserve"> </w:t>
      </w:r>
      <w:r>
        <w:rPr>
          <w:rFonts w:ascii="Arial;sans-serif" w:hAnsi="Arial;sans-serif"/>
          <w:b w:val="false"/>
          <w:color w:val="000000"/>
          <w:sz w:val="22"/>
        </w:rPr>
        <w:t>as</w:t>
      </w:r>
      <w:r>
        <w:rPr>
          <w:color w:val="000000"/>
        </w:rPr>
        <w:t xml:space="preserve"> </w:t>
      </w:r>
      <w:r>
        <w:rPr>
          <w:rFonts w:ascii="Arial;sans-serif" w:hAnsi="Arial;sans-serif"/>
          <w:b w:val="false"/>
          <w:color w:val="000000"/>
          <w:sz w:val="22"/>
        </w:rPr>
        <w:t>applicable,</w:t>
      </w:r>
      <w:r>
        <w:rPr>
          <w:color w:val="000000"/>
        </w:rPr>
        <w:t xml:space="preserve"> </w:t>
      </w:r>
      <w:r>
        <w:rPr>
          <w:rFonts w:ascii="Arial;sans-serif" w:hAnsi="Arial;sans-serif"/>
          <w:b w:val="false"/>
          <w:color w:val="000000"/>
          <w:sz w:val="22"/>
        </w:rPr>
        <w:t>will</w:t>
      </w:r>
      <w:r>
        <w:rPr>
          <w:color w:val="000000"/>
        </w:rPr>
        <w:t xml:space="preserve"> </w:t>
      </w:r>
      <w:r>
        <w:rPr>
          <w:rFonts w:ascii="Arial;sans-serif" w:hAnsi="Arial;sans-serif"/>
          <w:b w:val="false"/>
          <w:color w:val="000000"/>
          <w:sz w:val="22"/>
        </w:rPr>
        <w:t>not waive any right of Executive or the Company, as applicable, hereunder or preclude Executive or the Company, as applicable, from asserting such fact or circumstance in enforcing his or her or its rights hereunder, as applicable.</w:t>
      </w:r>
      <w:r>
        <w:rPr>
          <w:color w:val="000000"/>
        </w:rPr>
        <w:t xml:space="preserve"> </w:t>
      </w:r>
      <w:r>
        <w:rPr>
          <w:rFonts w:ascii="Arial;sans-serif" w:hAnsi="Arial;sans-serif"/>
          <w:b w:val="false"/>
          <w:color w:val="000000"/>
          <w:sz w:val="22"/>
        </w:rPr>
        <w:t>Any termination</w:t>
      </w:r>
      <w:r>
        <w:rPr>
          <w:color w:val="000000"/>
        </w:rPr>
        <w:t xml:space="preserve"> </w:t>
      </w:r>
      <w:r>
        <w:rPr>
          <w:rFonts w:ascii="Arial;sans-serif" w:hAnsi="Arial;sans-serif"/>
          <w:b w:val="false"/>
          <w:color w:val="000000"/>
          <w:sz w:val="22"/>
        </w:rPr>
        <w:t>by Executive without Good Reason will be communicated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upon</w:t>
      </w:r>
      <w:r>
        <w:rPr>
          <w:color w:val="000000"/>
        </w:rPr>
        <w:t xml:space="preserve"> </w:t>
      </w:r>
      <w:r>
        <w:rPr>
          <w:rFonts w:ascii="Arial;sans-serif" w:hAnsi="Arial;sans-serif"/>
          <w:b w:val="false"/>
          <w:color w:val="000000"/>
          <w:sz w:val="22"/>
        </w:rPr>
        <w:t>sixty</w:t>
      </w:r>
      <w:r>
        <w:rPr>
          <w:color w:val="000000"/>
        </w:rPr>
        <w:t xml:space="preserve"> </w:t>
      </w:r>
      <w:r>
        <w:rPr>
          <w:rFonts w:ascii="Arial;sans-serif" w:hAnsi="Arial;sans-serif"/>
          <w:b w:val="false"/>
          <w:color w:val="000000"/>
          <w:sz w:val="22"/>
        </w:rPr>
        <w:t>(60)</w:t>
      </w:r>
      <w:r>
        <w:rPr>
          <w:color w:val="000000"/>
        </w:rPr>
        <w:t xml:space="preserve"> </w:t>
      </w:r>
      <w:r>
        <w:rPr>
          <w:rFonts w:ascii="Arial;sans-serif" w:hAnsi="Arial;sans-serif"/>
          <w:b w:val="false"/>
          <w:color w:val="000000"/>
          <w:sz w:val="22"/>
        </w:rPr>
        <w:t>days</w:t>
      </w:r>
      <w:r>
        <w:rPr>
          <w:color w:val="000000"/>
        </w:rPr>
        <w:t xml:space="preserve"> </w:t>
      </w:r>
      <w:r>
        <w:rPr>
          <w:rFonts w:ascii="Arial;sans-serif" w:hAnsi="Arial;sans-serif"/>
          <w:b w:val="false"/>
          <w:color w:val="000000"/>
          <w:sz w:val="22"/>
        </w:rPr>
        <w:t>advance written notice.</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d.</w:t>
      </w:r>
      <w:r>
        <w:rPr>
          <w:rFonts w:ascii="Arial;sans-serif" w:hAnsi="Arial;sans-serif"/>
          <w:b/>
          <w:color w:val="000000"/>
          <w:sz w:val="24"/>
          <w:u w:val="single"/>
        </w:rPr>
        <w:t>Modifications and Waivers</w:t>
      </w:r>
      <w:r>
        <w:rPr>
          <w:rFonts w:ascii="Arial;sans-serif" w:hAnsi="Arial;sans-serif"/>
          <w:b/>
          <w:color w:val="000000"/>
          <w:sz w:val="24"/>
        </w:rPr>
        <w:t xml:space="preserve">. </w:t>
      </w:r>
      <w:r>
        <w:rPr>
          <w:rFonts w:ascii="Arial;sans-serif" w:hAnsi="Arial;sans-serif"/>
          <w:b w:val="false"/>
          <w:color w:val="000000"/>
          <w:sz w:val="22"/>
        </w:rPr>
        <w:t>No provision of this Agreement shall be modified, waived or discharged unless the modification, waiver or discharge is agreed to in writing</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signed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an</w:t>
      </w:r>
      <w:r>
        <w:rPr>
          <w:color w:val="000000"/>
        </w:rPr>
        <w:t xml:space="preserve"> </w:t>
      </w:r>
      <w:r>
        <w:rPr>
          <w:rFonts w:ascii="Arial;sans-serif" w:hAnsi="Arial;sans-serif"/>
          <w:b w:val="false"/>
          <w:color w:val="000000"/>
          <w:sz w:val="22"/>
        </w:rPr>
        <w:t>authorized</w:t>
      </w:r>
      <w:r>
        <w:rPr>
          <w:color w:val="000000"/>
        </w:rPr>
        <w:t xml:space="preserve"> </w:t>
      </w:r>
      <w:r>
        <w:rPr>
          <w:rFonts w:ascii="Arial;sans-serif" w:hAnsi="Arial;sans-serif"/>
          <w:b w:val="false"/>
          <w:color w:val="000000"/>
          <w:sz w:val="22"/>
        </w:rPr>
        <w:t>officer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(other than</w:t>
      </w:r>
      <w:r>
        <w:rPr>
          <w:color w:val="000000"/>
        </w:rPr>
        <w:t xml:space="preserve"> </w:t>
      </w:r>
      <w:r>
        <w:rPr>
          <w:rFonts w:ascii="Arial;sans-serif" w:hAnsi="Arial;sans-serif"/>
          <w:b w:val="false"/>
          <w:color w:val="000000"/>
          <w:sz w:val="22"/>
        </w:rPr>
        <w:t>Executive</w:t>
      </w:r>
      <w:r>
        <w:rPr>
          <w:color w:val="000000"/>
        </w:rPr>
        <w:t xml:space="preserve"> </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No</w:t>
      </w:r>
      <w:r>
        <w:rPr>
          <w:color w:val="000000"/>
        </w:rPr>
        <w:t xml:space="preserve"> </w:t>
      </w:r>
      <w:r>
        <w:rPr>
          <w:rFonts w:ascii="Arial;sans-serif" w:hAnsi="Arial;sans-serif"/>
          <w:b w:val="false"/>
          <w:color w:val="000000"/>
          <w:sz w:val="22"/>
        </w:rPr>
        <w:t>waiver</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either</w:t>
      </w:r>
      <w:r>
        <w:rPr>
          <w:color w:val="000000"/>
        </w:rPr>
        <w:t xml:space="preserve"> </w:t>
      </w:r>
      <w:r>
        <w:rPr>
          <w:rFonts w:ascii="Arial;sans-serif" w:hAnsi="Arial;sans-serif"/>
          <w:b w:val="false"/>
          <w:color w:val="000000"/>
          <w:sz w:val="22"/>
        </w:rPr>
        <w:t>party</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breach</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compliance</w:t>
      </w:r>
      <w:r>
        <w:rPr>
          <w:color w:val="000000"/>
        </w:rPr>
        <w:t xml:space="preserve"> </w:t>
      </w:r>
      <w:r>
        <w:rPr>
          <w:rFonts w:ascii="Arial;sans-serif" w:hAnsi="Arial;sans-serif"/>
          <w:b w:val="false"/>
          <w:color w:val="000000"/>
          <w:sz w:val="22"/>
        </w:rPr>
        <w:t>with, any</w:t>
      </w:r>
      <w:r>
        <w:rPr>
          <w:color w:val="000000"/>
        </w:rPr>
        <w:t xml:space="preserve"> </w:t>
      </w:r>
      <w:r>
        <w:rPr>
          <w:rFonts w:ascii="Arial;sans-serif" w:hAnsi="Arial;sans-serif"/>
          <w:b w:val="false"/>
          <w:color w:val="000000"/>
          <w:sz w:val="22"/>
        </w:rPr>
        <w:t>condition</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party</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considered a waiver of any other condition or provision or of the same condition or provision at another time.</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e.</w:t>
      </w:r>
      <w:r>
        <w:rPr>
          <w:rFonts w:ascii="Arial;sans-serif" w:hAnsi="Arial;sans-serif"/>
          <w:b/>
          <w:color w:val="000000"/>
          <w:sz w:val="24"/>
          <w:u w:val="single"/>
        </w:rPr>
        <w:t>Entire Agreement</w:t>
      </w:r>
      <w:r>
        <w:rPr>
          <w:rFonts w:ascii="Arial;sans-serif" w:hAnsi="Arial;sans-serif"/>
          <w:b/>
          <w:color w:val="000000"/>
          <w:sz w:val="24"/>
        </w:rPr>
        <w:t xml:space="preserve">. </w:t>
      </w:r>
      <w:r>
        <w:rPr>
          <w:rFonts w:ascii="Arial;sans-serif" w:hAnsi="Arial;sans-serif"/>
          <w:b w:val="false"/>
          <w:color w:val="000000"/>
          <w:sz w:val="22"/>
        </w:rPr>
        <w:t>This Agreement and the Confidentiality Agreement contain the entire understanding of the parties with respect to the subject matter hereof and supersede all other prior or contemporaneous discussions, understandings and agreements, whether oral or written, between them relating to the subject matter hereof.</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f.</w:t>
      </w:r>
      <w:r>
        <w:rPr>
          <w:rFonts w:ascii="Arial;sans-serif" w:hAnsi="Arial;sans-serif"/>
          <w:b/>
          <w:color w:val="000000"/>
          <w:sz w:val="24"/>
          <w:u w:val="single"/>
        </w:rPr>
        <w:t>Withholding Taxes</w:t>
      </w:r>
      <w:r>
        <w:rPr>
          <w:rFonts w:ascii="Arial;sans-serif" w:hAnsi="Arial;sans-serif"/>
          <w:b/>
          <w:color w:val="000000"/>
          <w:sz w:val="24"/>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payments</w:t>
      </w:r>
      <w:r>
        <w:rPr>
          <w:color w:val="000000"/>
        </w:rPr>
        <w:t xml:space="preserve"> </w:t>
      </w:r>
      <w:r>
        <w:rPr>
          <w:rFonts w:ascii="Arial;sans-serif" w:hAnsi="Arial;sans-serif"/>
          <w:b w:val="false"/>
          <w:color w:val="000000"/>
          <w:sz w:val="22"/>
        </w:rPr>
        <w:t>made</w:t>
      </w:r>
      <w:r>
        <w:rPr>
          <w:color w:val="000000"/>
        </w:rPr>
        <w:t xml:space="preserve"> </w:t>
      </w:r>
      <w:r>
        <w:rPr>
          <w:rFonts w:ascii="Arial;sans-serif" w:hAnsi="Arial;sans-serif"/>
          <w:b w:val="false"/>
          <w:color w:val="000000"/>
          <w:sz w:val="22"/>
        </w:rPr>
        <w:t>under</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subject</w:t>
      </w:r>
      <w:r>
        <w:rPr>
          <w:color w:val="000000"/>
        </w:rPr>
        <w:t xml:space="preserve"> </w:t>
      </w:r>
      <w:r>
        <w:rPr>
          <w:rFonts w:ascii="Arial;sans-serif" w:hAnsi="Arial;sans-serif"/>
          <w:b w:val="false"/>
          <w:color w:val="000000"/>
          <w:sz w:val="22"/>
        </w:rPr>
        <w:t>to reduction to reflect taxes or other deductions required to be withheld by law.</w:t>
      </w:r>
    </w:p>
    <w:p>
      <w:pPr>
        <w:pStyle w:val="TextBody"/>
        <w:spacing w:before="0" w:after="0"/>
        <w:jc w:val="both"/>
        <w:rPr/>
      </w:pPr>
      <w:r>
        <w:rPr/>
      </w:r>
    </w:p>
    <w:p>
      <w:pPr>
        <w:pStyle w:val="TextBody"/>
        <w:spacing w:lineRule="auto" w:line="276"/>
        <w:ind w:left="0" w:right="0" w:hanging="360"/>
        <w:jc w:val="both"/>
        <w:rPr/>
      </w:pPr>
      <w:r>
        <w:rPr>
          <w:rFonts w:ascii="Arial;sans-serif" w:hAnsi="Arial;sans-serif"/>
          <w:b w:val="false"/>
          <w:color w:val="000000"/>
          <w:sz w:val="22"/>
        </w:rPr>
        <w:t>g.</w:t>
      </w:r>
      <w:r>
        <w:rPr>
          <w:rFonts w:ascii="Arial;sans-serif" w:hAnsi="Arial;sans-serif"/>
          <w:b/>
          <w:color w:val="000000"/>
          <w:sz w:val="24"/>
          <w:u w:val="single"/>
        </w:rPr>
        <w:t>Choice of Law and Severability</w:t>
      </w:r>
      <w:r>
        <w:rPr>
          <w:rFonts w:ascii="Arial;sans-serif" w:hAnsi="Arial;sans-serif"/>
          <w:b/>
          <w:color w:val="000000"/>
          <w:sz w:val="24"/>
        </w:rPr>
        <w:t xml:space="preserve">. </w:t>
      </w:r>
      <w:r>
        <w:rPr>
          <w:rFonts w:ascii="Arial;sans-serif" w:hAnsi="Arial;sans-serif"/>
          <w:b w:val="false"/>
          <w:color w:val="000000"/>
          <w:sz w:val="22"/>
        </w:rPr>
        <w:t>This Agreement shall be interpreted in accordance with the laws of the State of California without giving effect to provisions governing the choice of law.</w:t>
      </w:r>
      <w:r>
        <w:rPr>
          <w:color w:val="000000"/>
        </w:rPr>
        <w:t xml:space="preserve"> </w:t>
      </w:r>
      <w:r>
        <w:rPr>
          <w:rFonts w:ascii="Arial;sans-serif" w:hAnsi="Arial;sans-serif"/>
          <w:b w:val="false"/>
          <w:color w:val="000000"/>
          <w:sz w:val="22"/>
        </w:rPr>
        <w:t>If any provision of this Agreement becomes or is deemed invalid, illegal or unenforceable in any applicable jurisdiction by reason of the scope, extent or duration of its coverage, then such provision</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deemed</w:t>
      </w:r>
      <w:r>
        <w:rPr>
          <w:color w:val="000000"/>
        </w:rPr>
        <w:t xml:space="preserve"> </w:t>
      </w:r>
      <w:r>
        <w:rPr>
          <w:rFonts w:ascii="Arial;sans-serif" w:hAnsi="Arial;sans-serif"/>
          <w:b w:val="false"/>
          <w:color w:val="000000"/>
          <w:sz w:val="22"/>
        </w:rPr>
        <w:t>amended</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minimum</w:t>
      </w:r>
      <w:r>
        <w:rPr>
          <w:color w:val="000000"/>
        </w:rPr>
        <w:t xml:space="preserve"> </w:t>
      </w:r>
      <w:r>
        <w:rPr>
          <w:rFonts w:ascii="Arial;sans-serif" w:hAnsi="Arial;sans-serif"/>
          <w:b w:val="false"/>
          <w:color w:val="000000"/>
          <w:sz w:val="22"/>
        </w:rPr>
        <w:t>extent</w:t>
      </w:r>
      <w:r>
        <w:rPr>
          <w:color w:val="000000"/>
        </w:rPr>
        <w:t xml:space="preserve"> </w:t>
      </w:r>
      <w:r>
        <w:rPr>
          <w:rFonts w:ascii="Arial;sans-serif" w:hAnsi="Arial;sans-serif"/>
          <w:b w:val="false"/>
          <w:color w:val="000000"/>
          <w:sz w:val="22"/>
        </w:rPr>
        <w:t>necessary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conform to</w:t>
      </w:r>
      <w:r>
        <w:rPr>
          <w:color w:val="000000"/>
        </w:rPr>
        <w:t xml:space="preserve"> </w:t>
      </w:r>
      <w:r>
        <w:rPr>
          <w:rFonts w:ascii="Arial;sans-serif" w:hAnsi="Arial;sans-serif"/>
          <w:b w:val="false"/>
          <w:color w:val="000000"/>
          <w:sz w:val="22"/>
        </w:rPr>
        <w:t>applicable law</w:t>
      </w:r>
      <w:r>
        <w:rPr>
          <w:color w:val="000000"/>
        </w:rPr>
        <w:t xml:space="preserve"> </w:t>
      </w:r>
      <w:r>
        <w:rPr>
          <w:rFonts w:ascii="Arial;sans-serif" w:hAnsi="Arial;sans-serif"/>
          <w:b w:val="false"/>
          <w:color w:val="000000"/>
          <w:sz w:val="22"/>
        </w:rPr>
        <w:t>so as</w:t>
      </w:r>
      <w:r>
        <w:rPr>
          <w:color w:val="000000"/>
        </w:rPr>
        <w:t xml:space="preserve"> </w:t>
      </w:r>
      <w:r>
        <w:rPr>
          <w:rFonts w:ascii="Arial;sans-serif" w:hAnsi="Arial;sans-serif"/>
          <w:b w:val="false"/>
          <w:color w:val="000000"/>
          <w:sz w:val="22"/>
        </w:rPr>
        <w:t>to be</w:t>
      </w:r>
      <w:r>
        <w:rPr>
          <w:color w:val="000000"/>
        </w:rPr>
        <w:t xml:space="preserve"> </w:t>
      </w:r>
      <w:r>
        <w:rPr>
          <w:rFonts w:ascii="Arial;sans-serif" w:hAnsi="Arial;sans-serif"/>
          <w:b w:val="false"/>
          <w:color w:val="000000"/>
          <w:sz w:val="22"/>
        </w:rPr>
        <w:t>valid and</w:t>
      </w:r>
      <w:r>
        <w:rPr>
          <w:color w:val="000000"/>
        </w:rPr>
        <w:t xml:space="preserve"> </w:t>
      </w:r>
      <w:r>
        <w:rPr>
          <w:rFonts w:ascii="Arial;sans-serif" w:hAnsi="Arial;sans-serif"/>
          <w:b w:val="false"/>
          <w:color w:val="000000"/>
          <w:sz w:val="22"/>
        </w:rPr>
        <w:t>enforceable or,</w:t>
      </w:r>
      <w:r>
        <w:rPr>
          <w:color w:val="000000"/>
        </w:rPr>
        <w:t xml:space="preserve"> </w:t>
      </w:r>
      <w:r>
        <w:rPr>
          <w:rFonts w:ascii="Arial;sans-serif" w:hAnsi="Arial;sans-serif"/>
          <w:b w:val="false"/>
          <w:color w:val="000000"/>
          <w:sz w:val="22"/>
        </w:rPr>
        <w:t>if such</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cannot</w:t>
      </w:r>
      <w:r>
        <w:rPr>
          <w:color w:val="000000"/>
        </w:rPr>
        <w:t xml:space="preserve"> </w:t>
      </w:r>
      <w:r>
        <w:rPr>
          <w:rFonts w:ascii="Arial;sans-serif" w:hAnsi="Arial;sans-serif"/>
          <w:b w:val="false"/>
          <w:color w:val="000000"/>
          <w:sz w:val="22"/>
        </w:rPr>
        <w:t>be so amended without materially altering the intention of the parties, then such provision shall be stricken and the remainder of this Agreement shall continue in full force and effect.</w:t>
      </w:r>
      <w:r>
        <w:rPr>
          <w:color w:val="000000"/>
        </w:rPr>
        <w:t xml:space="preserve"> </w:t>
      </w:r>
      <w:r>
        <w:rPr>
          <w:rFonts w:ascii="Arial;sans-serif" w:hAnsi="Arial;sans-serif"/>
          <w:b w:val="false"/>
          <w:color w:val="000000"/>
          <w:sz w:val="22"/>
        </w:rPr>
        <w:t xml:space="preserve">If any provision of this Agreement is rendered </w:t>
      </w:r>
      <w:r>
        <w:br w:type="page"/>
      </w:r>
    </w:p>
    <w:p>
      <w:pPr>
        <w:pStyle w:val="TextBody"/>
        <w:spacing w:before="0" w:after="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illegal by any present</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future</w:t>
      </w:r>
      <w:r>
        <w:rPr>
          <w:color w:val="000000"/>
        </w:rPr>
        <w:t xml:space="preserve"> </w:t>
      </w:r>
      <w:r>
        <w:rPr>
          <w:rFonts w:ascii="Arial;sans-serif" w:hAnsi="Arial;sans-serif"/>
          <w:b w:val="false"/>
          <w:color w:val="000000"/>
          <w:sz w:val="22"/>
        </w:rPr>
        <w:t>statute,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ordinance</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regulation</w:t>
      </w:r>
      <w:r>
        <w:rPr>
          <w:color w:val="000000"/>
        </w:rPr>
        <w:t xml:space="preserve"> </w:t>
      </w:r>
      <w:r>
        <w:rPr>
          <w:rFonts w:ascii="Arial;sans-serif" w:hAnsi="Arial;sans-serif"/>
          <w:b w:val="false"/>
          <w:color w:val="000000"/>
          <w:sz w:val="22"/>
        </w:rPr>
        <w:t>(collectively,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i/>
          <w:color w:val="000000"/>
          <w:sz w:val="24"/>
        </w:rPr>
        <w:t>Law</w:t>
      </w:r>
      <w:r>
        <w:rPr>
          <w:color w:val="000000"/>
        </w:rPr>
        <w: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then that</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curtailed</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limited</w:t>
      </w:r>
      <w:r>
        <w:rPr>
          <w:color w:val="000000"/>
        </w:rPr>
        <w:t xml:space="preserve"> </w:t>
      </w:r>
      <w:r>
        <w:rPr>
          <w:rFonts w:ascii="Arial;sans-serif" w:hAnsi="Arial;sans-serif"/>
          <w:b w:val="false"/>
          <w:color w:val="000000"/>
          <w:sz w:val="22"/>
        </w:rPr>
        <w:t>only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minimum</w:t>
      </w:r>
      <w:r>
        <w:rPr>
          <w:color w:val="000000"/>
        </w:rPr>
        <w:t xml:space="preserve"> </w:t>
      </w:r>
      <w:r>
        <w:rPr>
          <w:rFonts w:ascii="Arial;sans-serif" w:hAnsi="Arial;sans-serif"/>
          <w:b w:val="false"/>
          <w:color w:val="000000"/>
          <w:sz w:val="22"/>
        </w:rPr>
        <w:t>extent</w:t>
      </w:r>
      <w:r>
        <w:rPr>
          <w:color w:val="000000"/>
        </w:rPr>
        <w:t xml:space="preserve"> </w:t>
      </w:r>
      <w:r>
        <w:rPr>
          <w:rFonts w:ascii="Arial;sans-serif" w:hAnsi="Arial;sans-serif"/>
          <w:b w:val="false"/>
          <w:color w:val="000000"/>
          <w:sz w:val="22"/>
        </w:rPr>
        <w:t>necessary</w:t>
      </w:r>
      <w:r>
        <w:rPr>
          <w:color w:val="000000"/>
        </w:rPr>
        <w:t xml:space="preserve"> </w:t>
      </w:r>
      <w:r>
        <w:rPr>
          <w:rFonts w:ascii="Arial;sans-serif" w:hAnsi="Arial;sans-serif"/>
          <w:b w:val="false"/>
          <w:color w:val="000000"/>
          <w:sz w:val="22"/>
        </w:rPr>
        <w:t>to bring</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provision</w:t>
      </w:r>
      <w:r>
        <w:rPr>
          <w:color w:val="000000"/>
        </w:rPr>
        <w:t xml:space="preserve"> </w:t>
      </w:r>
      <w:r>
        <w:rPr>
          <w:rFonts w:ascii="Arial;sans-serif" w:hAnsi="Arial;sans-serif"/>
          <w:b w:val="false"/>
          <w:color w:val="000000"/>
          <w:sz w:val="22"/>
        </w:rPr>
        <w:t>into</w:t>
      </w:r>
      <w:r>
        <w:rPr>
          <w:color w:val="000000"/>
        </w:rPr>
        <w:t xml:space="preserve"> </w:t>
      </w:r>
      <w:r>
        <w:rPr>
          <w:rFonts w:ascii="Arial;sans-serif" w:hAnsi="Arial;sans-serif"/>
          <w:b w:val="false"/>
          <w:color w:val="000000"/>
          <w:sz w:val="22"/>
        </w:rPr>
        <w:t>compliance</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Law.</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terms</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 xml:space="preserve">provisions of this Agreement shall continue in full force and effect without impairment or </w:t>
      </w:r>
      <w:r>
        <w:rPr>
          <w:rFonts w:ascii="Arial;sans-serif" w:hAnsi="Arial;sans-serif"/>
          <w:b w:val="false"/>
          <w:color w:val="000000"/>
          <w:sz w:val="24"/>
        </w:rPr>
        <w:t>limitation.</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h.</w:t>
      </w:r>
      <w:r>
        <w:rPr>
          <w:rFonts w:ascii="Arial;sans-serif" w:hAnsi="Arial;sans-serif"/>
          <w:b/>
          <w:color w:val="000000"/>
          <w:sz w:val="24"/>
          <w:u w:val="single"/>
        </w:rPr>
        <w:t>No Assignment</w:t>
      </w:r>
      <w:r>
        <w:rPr>
          <w:rFonts w:ascii="Arial;sans-serif" w:hAnsi="Arial;sans-serif"/>
          <w:b/>
          <w:color w:val="000000"/>
          <w:sz w:val="24"/>
        </w:rPr>
        <w:t xml:space="preserve">. </w:t>
      </w:r>
      <w:r>
        <w:rPr>
          <w:rFonts w:ascii="Arial;sans-serif" w:hAnsi="Arial;sans-serif"/>
          <w:b w:val="false"/>
          <w:color w:val="000000"/>
          <w:sz w:val="22"/>
        </w:rPr>
        <w:t>This Agreement and all of Executive’s rights and obligations hereunder are personal to Executive and may not be transferred or assigned by Executive at any</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The Company</w:t>
      </w:r>
      <w:r>
        <w:rPr>
          <w:color w:val="000000"/>
        </w:rPr>
        <w:t xml:space="preserve"> </w:t>
      </w:r>
      <w:r>
        <w:rPr>
          <w:rFonts w:ascii="Arial;sans-serif" w:hAnsi="Arial;sans-serif"/>
          <w:b w:val="false"/>
          <w:color w:val="000000"/>
          <w:sz w:val="22"/>
        </w:rPr>
        <w:t>may</w:t>
      </w:r>
      <w:r>
        <w:rPr>
          <w:color w:val="000000"/>
        </w:rPr>
        <w:t xml:space="preserve"> </w:t>
      </w:r>
      <w:r>
        <w:rPr>
          <w:rFonts w:ascii="Arial;sans-serif" w:hAnsi="Arial;sans-serif"/>
          <w:b w:val="false"/>
          <w:color w:val="000000"/>
          <w:sz w:val="22"/>
        </w:rPr>
        <w:t>assign</w:t>
      </w:r>
      <w:r>
        <w:rPr>
          <w:color w:val="000000"/>
        </w:rPr>
        <w:t xml:space="preserve"> </w:t>
      </w:r>
      <w:r>
        <w:rPr>
          <w:rFonts w:ascii="Arial;sans-serif" w:hAnsi="Arial;sans-serif"/>
          <w:b w:val="false"/>
          <w:color w:val="000000"/>
          <w:sz w:val="22"/>
        </w:rPr>
        <w:t>its rights under</w:t>
      </w:r>
      <w:r>
        <w:rPr>
          <w:color w:val="000000"/>
        </w:rPr>
        <w:t xml:space="preserve"> </w:t>
      </w:r>
      <w:r>
        <w:rPr>
          <w:rFonts w:ascii="Arial;sans-serif" w:hAnsi="Arial;sans-serif"/>
          <w:b w:val="false"/>
          <w:color w:val="000000"/>
          <w:sz w:val="22"/>
        </w:rPr>
        <w:t>this Agreement to</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entity</w:t>
      </w:r>
      <w:r>
        <w:rPr>
          <w:color w:val="000000"/>
        </w:rPr>
        <w:t xml:space="preserve"> </w:t>
      </w:r>
      <w:r>
        <w:rPr>
          <w:rFonts w:ascii="Arial;sans-serif" w:hAnsi="Arial;sans-serif"/>
          <w:b w:val="false"/>
          <w:color w:val="000000"/>
          <w:sz w:val="22"/>
        </w:rPr>
        <w:t>that</w:t>
      </w:r>
      <w:r>
        <w:rPr>
          <w:color w:val="000000"/>
        </w:rPr>
        <w:t xml:space="preserve"> </w:t>
      </w:r>
      <w:r>
        <w:rPr>
          <w:rFonts w:ascii="Arial;sans-serif" w:hAnsi="Arial;sans-serif"/>
          <w:b w:val="false"/>
          <w:color w:val="000000"/>
          <w:sz w:val="22"/>
        </w:rPr>
        <w:t>assumes</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Company’s</w:t>
      </w:r>
      <w:r>
        <w:rPr>
          <w:color w:val="000000"/>
        </w:rPr>
        <w:t xml:space="preserve"> </w:t>
      </w:r>
      <w:r>
        <w:rPr>
          <w:rFonts w:ascii="Arial;sans-serif" w:hAnsi="Arial;sans-serif"/>
          <w:b w:val="false"/>
          <w:color w:val="000000"/>
          <w:sz w:val="22"/>
        </w:rPr>
        <w:t>obligations</w:t>
      </w:r>
      <w:r>
        <w:rPr>
          <w:color w:val="000000"/>
        </w:rPr>
        <w:t xml:space="preserve"> </w:t>
      </w:r>
      <w:r>
        <w:rPr>
          <w:rFonts w:ascii="Arial;sans-serif" w:hAnsi="Arial;sans-serif"/>
          <w:b w:val="false"/>
          <w:color w:val="000000"/>
          <w:sz w:val="22"/>
        </w:rPr>
        <w:t>hereunder</w:t>
      </w:r>
      <w:r>
        <w:rPr>
          <w:color w:val="000000"/>
        </w:rPr>
        <w:t xml:space="preserve"> </w:t>
      </w:r>
      <w:r>
        <w:rPr>
          <w:rFonts w:ascii="Arial;sans-serif" w:hAnsi="Arial;sans-serif"/>
          <w:b w:val="false"/>
          <w:color w:val="000000"/>
          <w:sz w:val="22"/>
        </w:rPr>
        <w:t>in</w:t>
      </w:r>
      <w:r>
        <w:rPr>
          <w:color w:val="000000"/>
        </w:rPr>
        <w:t xml:space="preserve"> </w:t>
      </w:r>
      <w:r>
        <w:rPr>
          <w:rFonts w:ascii="Arial;sans-serif" w:hAnsi="Arial;sans-serif"/>
          <w:b w:val="false"/>
          <w:color w:val="000000"/>
          <w:sz w:val="22"/>
        </w:rPr>
        <w:t>connection</w:t>
      </w:r>
      <w:r>
        <w:rPr>
          <w:color w:val="000000"/>
        </w:rPr>
        <w:t xml:space="preserve"> </w:t>
      </w:r>
      <w:r>
        <w:rPr>
          <w:rFonts w:ascii="Arial;sans-serif" w:hAnsi="Arial;sans-serif"/>
          <w:b w:val="false"/>
          <w:color w:val="000000"/>
          <w:sz w:val="22"/>
        </w:rPr>
        <w:t xml:space="preserve">with any sale or transfer to such entity of all or a substantial portion of the Company’s </w:t>
      </w:r>
      <w:r>
        <w:rPr>
          <w:rFonts w:ascii="Arial;sans-serif" w:hAnsi="Arial;sans-serif"/>
          <w:b w:val="false"/>
          <w:color w:val="000000"/>
          <w:sz w:val="24"/>
        </w:rPr>
        <w:t>assets.</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i.</w:t>
      </w:r>
      <w:r>
        <w:rPr>
          <w:rFonts w:ascii="Arial;sans-serif" w:hAnsi="Arial;sans-serif"/>
          <w:b/>
          <w:color w:val="000000"/>
          <w:sz w:val="24"/>
          <w:u w:val="single"/>
        </w:rPr>
        <w:t>Acknowledgment</w:t>
      </w:r>
      <w:r>
        <w:rPr>
          <w:rFonts w:ascii="Arial;sans-serif" w:hAnsi="Arial;sans-serif"/>
          <w:b w:val="false"/>
          <w:color w:val="000000"/>
          <w:sz w:val="22"/>
        </w:rPr>
        <w:t>.</w:t>
      </w:r>
      <w:r>
        <w:rPr>
          <w:color w:val="000000"/>
        </w:rPr>
        <w:t xml:space="preserve"> </w:t>
      </w:r>
      <w:r>
        <w:rPr>
          <w:rFonts w:ascii="Arial;sans-serif" w:hAnsi="Arial;sans-serif"/>
          <w:b w:val="false"/>
          <w:color w:val="000000"/>
          <w:sz w:val="22"/>
        </w:rPr>
        <w:t>Executive acknowledges that Executive has had the opportunity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discuss</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matter</w:t>
      </w:r>
      <w:r>
        <w:rPr>
          <w:color w:val="000000"/>
        </w:rPr>
        <w:t xml:space="preserve"> </w:t>
      </w:r>
      <w:r>
        <w:rPr>
          <w:rFonts w:ascii="Arial;sans-serif" w:hAnsi="Arial;sans-serif"/>
          <w:b w:val="false"/>
          <w:color w:val="000000"/>
          <w:sz w:val="22"/>
        </w:rPr>
        <w:t>with</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obtain</w:t>
      </w:r>
      <w:r>
        <w:rPr>
          <w:color w:val="000000"/>
        </w:rPr>
        <w:t xml:space="preserve"> </w:t>
      </w:r>
      <w:r>
        <w:rPr>
          <w:rFonts w:ascii="Arial;sans-serif" w:hAnsi="Arial;sans-serif"/>
          <w:b w:val="false"/>
          <w:color w:val="000000"/>
          <w:sz w:val="22"/>
        </w:rPr>
        <w:t>advice</w:t>
      </w:r>
      <w:r>
        <w:rPr>
          <w:color w:val="000000"/>
        </w:rPr>
        <w:t xml:space="preserve"> </w:t>
      </w:r>
      <w:r>
        <w:rPr>
          <w:rFonts w:ascii="Arial;sans-serif" w:hAnsi="Arial;sans-serif"/>
          <w:b w:val="false"/>
          <w:color w:val="000000"/>
          <w:sz w:val="22"/>
        </w:rPr>
        <w:t>from</w:t>
      </w:r>
      <w:r>
        <w:rPr>
          <w:color w:val="000000"/>
        </w:rPr>
        <w:t xml:space="preserve"> </w:t>
      </w:r>
      <w:r>
        <w:rPr>
          <w:rFonts w:ascii="Arial;sans-serif" w:hAnsi="Arial;sans-serif"/>
          <w:b w:val="false"/>
          <w:color w:val="000000"/>
          <w:sz w:val="22"/>
        </w:rPr>
        <w:t>Executive’s</w:t>
      </w:r>
      <w:r>
        <w:rPr>
          <w:color w:val="000000"/>
        </w:rPr>
        <w:t xml:space="preserve"> </w:t>
      </w:r>
      <w:r>
        <w:rPr>
          <w:rFonts w:ascii="Arial;sans-serif" w:hAnsi="Arial;sans-serif"/>
          <w:b w:val="false"/>
          <w:color w:val="000000"/>
          <w:sz w:val="22"/>
        </w:rPr>
        <w:t>personal attorney,</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had</w:t>
      </w:r>
      <w:r>
        <w:rPr>
          <w:color w:val="000000"/>
        </w:rPr>
        <w:t xml:space="preserve"> </w:t>
      </w:r>
      <w:r>
        <w:rPr>
          <w:rFonts w:ascii="Arial;sans-serif" w:hAnsi="Arial;sans-serif"/>
          <w:b w:val="false"/>
          <w:color w:val="000000"/>
          <w:sz w:val="22"/>
        </w:rPr>
        <w:t>sufficient</w:t>
      </w:r>
      <w:r>
        <w:rPr>
          <w:color w:val="000000"/>
        </w:rPr>
        <w:t xml:space="preserve"> </w:t>
      </w:r>
      <w:r>
        <w:rPr>
          <w:rFonts w:ascii="Arial;sans-serif" w:hAnsi="Arial;sans-serif"/>
          <w:b w:val="false"/>
          <w:color w:val="000000"/>
          <w:sz w:val="22"/>
        </w:rPr>
        <w:t>time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has</w:t>
      </w:r>
      <w:r>
        <w:rPr>
          <w:color w:val="000000"/>
        </w:rPr>
        <w:t xml:space="preserve"> </w:t>
      </w:r>
      <w:r>
        <w:rPr>
          <w:rFonts w:ascii="Arial;sans-serif" w:hAnsi="Arial;sans-serif"/>
          <w:b w:val="false"/>
          <w:color w:val="000000"/>
          <w:sz w:val="22"/>
        </w:rPr>
        <w:t>carefully</w:t>
      </w:r>
      <w:r>
        <w:rPr>
          <w:color w:val="000000"/>
        </w:rPr>
        <w:t xml:space="preserve"> </w:t>
      </w:r>
      <w:r>
        <w:rPr>
          <w:rFonts w:ascii="Arial;sans-serif" w:hAnsi="Arial;sans-serif"/>
          <w:b w:val="false"/>
          <w:color w:val="000000"/>
          <w:sz w:val="22"/>
        </w:rPr>
        <w:t>read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fully</w:t>
      </w:r>
      <w:r>
        <w:rPr>
          <w:color w:val="000000"/>
        </w:rPr>
        <w:t xml:space="preserve"> </w:t>
      </w:r>
      <w:r>
        <w:rPr>
          <w:rFonts w:ascii="Arial;sans-serif" w:hAnsi="Arial;sans-serif"/>
          <w:b w:val="false"/>
          <w:color w:val="000000"/>
          <w:sz w:val="22"/>
        </w:rPr>
        <w:t>understood</w:t>
      </w:r>
      <w:r>
        <w:rPr>
          <w:color w:val="000000"/>
        </w:rPr>
        <w:t xml:space="preserve"> </w:t>
      </w:r>
      <w:r>
        <w:rPr>
          <w:rFonts w:ascii="Arial;sans-serif" w:hAnsi="Arial;sans-serif"/>
          <w:b w:val="false"/>
          <w:color w:val="000000"/>
          <w:sz w:val="22"/>
        </w:rPr>
        <w:t>all the</w:t>
      </w:r>
      <w:r>
        <w:rPr>
          <w:color w:val="000000"/>
        </w:rPr>
        <w:t xml:space="preserve"> </w:t>
      </w:r>
      <w:r>
        <w:rPr>
          <w:rFonts w:ascii="Arial;sans-serif" w:hAnsi="Arial;sans-serif"/>
          <w:b w:val="false"/>
          <w:color w:val="000000"/>
          <w:sz w:val="22"/>
        </w:rPr>
        <w:t>provisions</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is</w:t>
      </w:r>
      <w:r>
        <w:rPr>
          <w:color w:val="000000"/>
        </w:rPr>
        <w:t xml:space="preserve"> </w:t>
      </w:r>
      <w:r>
        <w:rPr>
          <w:rFonts w:ascii="Arial;sans-serif" w:hAnsi="Arial;sans-serif"/>
          <w:b w:val="false"/>
          <w:color w:val="000000"/>
          <w:sz w:val="22"/>
        </w:rPr>
        <w:t>knowingly</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voluntarily</w:t>
      </w:r>
      <w:r>
        <w:rPr>
          <w:color w:val="000000"/>
        </w:rPr>
        <w:t xml:space="preserve"> </w:t>
      </w:r>
      <w:r>
        <w:rPr>
          <w:rFonts w:ascii="Arial;sans-serif" w:hAnsi="Arial;sans-serif"/>
          <w:b w:val="false"/>
          <w:color w:val="000000"/>
          <w:sz w:val="22"/>
        </w:rPr>
        <w:t>entering</w:t>
      </w:r>
      <w:r>
        <w:rPr>
          <w:color w:val="000000"/>
        </w:rPr>
        <w:t xml:space="preserve"> </w:t>
      </w:r>
      <w:r>
        <w:rPr>
          <w:rFonts w:ascii="Arial;sans-serif" w:hAnsi="Arial;sans-serif"/>
          <w:b w:val="false"/>
          <w:color w:val="000000"/>
          <w:sz w:val="22"/>
        </w:rPr>
        <w:t>into</w:t>
      </w:r>
      <w:r>
        <w:rPr>
          <w:color w:val="000000"/>
        </w:rPr>
        <w:t xml:space="preserve"> </w:t>
      </w:r>
      <w:r>
        <w:rPr>
          <w:rFonts w:ascii="Arial;sans-serif" w:hAnsi="Arial;sans-serif"/>
          <w:b w:val="false"/>
          <w:color w:val="000000"/>
          <w:sz w:val="22"/>
        </w:rPr>
        <w:t xml:space="preserve">this </w:t>
      </w:r>
      <w:r>
        <w:rPr>
          <w:rFonts w:ascii="Arial;sans-serif" w:hAnsi="Arial;sans-serif"/>
          <w:b w:val="false"/>
          <w:color w:val="000000"/>
          <w:sz w:val="24"/>
        </w:rPr>
        <w:t>Agreement.</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j.</w:t>
      </w:r>
      <w:r>
        <w:rPr>
          <w:rFonts w:ascii="Arial;sans-serif" w:hAnsi="Arial;sans-serif"/>
          <w:b/>
          <w:color w:val="000000"/>
          <w:sz w:val="24"/>
          <w:u w:val="single"/>
        </w:rPr>
        <w:t>Counterparts</w:t>
      </w:r>
      <w:r>
        <w:rPr>
          <w:rFonts w:ascii="Arial;sans-serif" w:hAnsi="Arial;sans-serif"/>
          <w:b/>
          <w:color w:val="000000"/>
          <w:sz w:val="24"/>
        </w:rPr>
        <w:t xml:space="preserve">. </w:t>
      </w:r>
      <w:r>
        <w:rPr>
          <w:rFonts w:ascii="Arial;sans-serif" w:hAnsi="Arial;sans-serif"/>
          <w:b w:val="false"/>
          <w:color w:val="000000"/>
          <w:sz w:val="22"/>
        </w:rPr>
        <w:t>This Agreement may be executed in two or more counterparts, each</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which</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be</w:t>
      </w:r>
      <w:r>
        <w:rPr>
          <w:color w:val="000000"/>
        </w:rPr>
        <w:t xml:space="preserve"> </w:t>
      </w:r>
      <w:r>
        <w:rPr>
          <w:rFonts w:ascii="Arial;sans-serif" w:hAnsi="Arial;sans-serif"/>
          <w:b w:val="false"/>
          <w:color w:val="000000"/>
          <w:sz w:val="22"/>
        </w:rPr>
        <w:t>deemed</w:t>
      </w:r>
      <w:r>
        <w:rPr>
          <w:color w:val="000000"/>
        </w:rPr>
        <w:t xml:space="preserve"> </w:t>
      </w:r>
      <w:r>
        <w:rPr>
          <w:rFonts w:ascii="Arial;sans-serif" w:hAnsi="Arial;sans-serif"/>
          <w:b w:val="false"/>
          <w:color w:val="000000"/>
          <w:sz w:val="22"/>
        </w:rPr>
        <w:t>an</w:t>
      </w:r>
      <w:r>
        <w:rPr>
          <w:color w:val="000000"/>
        </w:rPr>
        <w:t xml:space="preserve"> </w:t>
      </w:r>
      <w:r>
        <w:rPr>
          <w:rFonts w:ascii="Arial;sans-serif" w:hAnsi="Arial;sans-serif"/>
          <w:b w:val="false"/>
          <w:color w:val="000000"/>
          <w:sz w:val="22"/>
        </w:rPr>
        <w:t>original,</w:t>
      </w:r>
      <w:r>
        <w:rPr>
          <w:color w:val="000000"/>
        </w:rPr>
        <w:t xml:space="preserve"> </w:t>
      </w:r>
      <w:r>
        <w:rPr>
          <w:rFonts w:ascii="Arial;sans-serif" w:hAnsi="Arial;sans-serif"/>
          <w:b w:val="false"/>
          <w:color w:val="000000"/>
          <w:sz w:val="22"/>
        </w:rPr>
        <w:t>but</w:t>
      </w:r>
      <w:r>
        <w:rPr>
          <w:color w:val="000000"/>
        </w:rPr>
        <w:t xml:space="preserve"> </w:t>
      </w:r>
      <w:r>
        <w:rPr>
          <w:rFonts w:ascii="Arial;sans-serif" w:hAnsi="Arial;sans-serif"/>
          <w:b w:val="false"/>
          <w:color w:val="000000"/>
          <w:sz w:val="22"/>
        </w:rPr>
        <w:t>all</w:t>
      </w:r>
      <w:r>
        <w:rPr>
          <w:color w:val="000000"/>
        </w:rPr>
        <w:t xml:space="preserve"> </w:t>
      </w:r>
      <w:r>
        <w:rPr>
          <w:rFonts w:ascii="Arial;sans-serif" w:hAnsi="Arial;sans-serif"/>
          <w:b w:val="false"/>
          <w:color w:val="000000"/>
          <w:sz w:val="22"/>
        </w:rPr>
        <w:t>of</w:t>
      </w:r>
      <w:r>
        <w:rPr>
          <w:color w:val="000000"/>
        </w:rPr>
        <w:t xml:space="preserve"> </w:t>
      </w:r>
      <w:r>
        <w:rPr>
          <w:rFonts w:ascii="Arial;sans-serif" w:hAnsi="Arial;sans-serif"/>
          <w:b w:val="false"/>
          <w:color w:val="000000"/>
          <w:sz w:val="22"/>
        </w:rPr>
        <w:t>which</w:t>
      </w:r>
      <w:r>
        <w:rPr>
          <w:color w:val="000000"/>
        </w:rPr>
        <w:t xml:space="preserve"> </w:t>
      </w:r>
      <w:r>
        <w:rPr>
          <w:rFonts w:ascii="Arial;sans-serif" w:hAnsi="Arial;sans-serif"/>
          <w:b w:val="false"/>
          <w:color w:val="000000"/>
          <w:sz w:val="22"/>
        </w:rPr>
        <w:t>together</w:t>
      </w:r>
      <w:r>
        <w:rPr>
          <w:color w:val="000000"/>
        </w:rPr>
        <w:t xml:space="preserve"> </w:t>
      </w:r>
      <w:r>
        <w:rPr>
          <w:rFonts w:ascii="Arial;sans-serif" w:hAnsi="Arial;sans-serif"/>
          <w:b w:val="false"/>
          <w:color w:val="000000"/>
          <w:sz w:val="22"/>
        </w:rPr>
        <w:t>shall</w:t>
      </w:r>
      <w:r>
        <w:rPr>
          <w:color w:val="000000"/>
        </w:rPr>
        <w:t xml:space="preserve"> </w:t>
      </w:r>
      <w:r>
        <w:rPr>
          <w:rFonts w:ascii="Arial;sans-serif" w:hAnsi="Arial;sans-serif"/>
          <w:b w:val="false"/>
          <w:color w:val="000000"/>
          <w:sz w:val="22"/>
        </w:rPr>
        <w:t>constitute one and the same instrument.</w:t>
      </w:r>
      <w:r>
        <w:rPr>
          <w:color w:val="000000"/>
        </w:rPr>
        <w:t xml:space="preserve"> </w:t>
      </w:r>
      <w:r>
        <w:rPr>
          <w:rFonts w:ascii="Arial;sans-serif" w:hAnsi="Arial;sans-serif"/>
          <w:b w:val="false"/>
          <w:color w:val="000000"/>
          <w:sz w:val="22"/>
        </w:rPr>
        <w:t>Execution of a facsimile copy will have the same force and effect as execution of an original, and a facsimile signature will be deemed an original and valid signature.</w:t>
      </w:r>
    </w:p>
    <w:p>
      <w:pPr>
        <w:pStyle w:val="TextBody"/>
        <w:spacing w:before="0" w:after="0"/>
        <w:jc w:val="both"/>
        <w:rPr/>
      </w:pPr>
      <w:r>
        <w:rPr/>
      </w:r>
    </w:p>
    <w:p>
      <w:pPr>
        <w:pStyle w:val="TextBody"/>
        <w:spacing w:lineRule="auto" w:line="276" w:before="0" w:after="0"/>
        <w:ind w:left="0" w:right="0" w:hanging="360"/>
        <w:jc w:val="both"/>
        <w:rPr/>
      </w:pPr>
      <w:r>
        <w:rPr>
          <w:rFonts w:ascii="Arial;sans-serif" w:hAnsi="Arial;sans-serif"/>
          <w:b w:val="false"/>
          <w:color w:val="000000"/>
          <w:sz w:val="22"/>
        </w:rPr>
        <w:t>k.</w:t>
      </w:r>
      <w:r>
        <w:rPr>
          <w:rFonts w:ascii="Arial;sans-serif" w:hAnsi="Arial;sans-serif"/>
          <w:b/>
          <w:color w:val="000000"/>
          <w:sz w:val="24"/>
          <w:u w:val="single"/>
        </w:rPr>
        <w:t>Electronic Delivery</w:t>
      </w:r>
      <w:r>
        <w:rPr>
          <w:rFonts w:ascii="Arial;sans-serif" w:hAnsi="Arial;sans-serif"/>
          <w:b/>
          <w:color w:val="000000"/>
          <w:sz w:val="24"/>
        </w:rPr>
        <w:t xml:space="preserve">. </w:t>
      </w:r>
      <w:r>
        <w:rPr>
          <w:rFonts w:ascii="Arial;sans-serif" w:hAnsi="Arial;sans-serif"/>
          <w:b w:val="false"/>
          <w:color w:val="000000"/>
          <w:sz w:val="22"/>
        </w:rPr>
        <w:t>The Company may, in its sole discretion, decide to deliver any documents or notices related to this letter, securities of the Company or any of</w:t>
      </w:r>
      <w:r>
        <w:rPr>
          <w:color w:val="000000"/>
        </w:rPr>
        <w:t xml:space="preserve"> </w:t>
      </w:r>
      <w:r>
        <w:rPr>
          <w:rFonts w:ascii="Arial;sans-serif" w:hAnsi="Arial;sans-serif"/>
          <w:b w:val="false"/>
          <w:color w:val="000000"/>
          <w:sz w:val="22"/>
        </w:rPr>
        <w:t>its</w:t>
      </w:r>
      <w:r>
        <w:rPr>
          <w:color w:val="000000"/>
        </w:rPr>
        <w:t xml:space="preserve"> </w:t>
      </w:r>
      <w:r>
        <w:rPr>
          <w:rFonts w:ascii="Arial;sans-serif" w:hAnsi="Arial;sans-serif"/>
          <w:b w:val="false"/>
          <w:color w:val="000000"/>
          <w:sz w:val="22"/>
        </w:rPr>
        <w:t>affiliates</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any</w:t>
      </w:r>
      <w:r>
        <w:rPr>
          <w:color w:val="000000"/>
        </w:rPr>
        <w:t xml:space="preserve"> </w:t>
      </w:r>
      <w:r>
        <w:rPr>
          <w:rFonts w:ascii="Arial;sans-serif" w:hAnsi="Arial;sans-serif"/>
          <w:b w:val="false"/>
          <w:color w:val="000000"/>
          <w:sz w:val="22"/>
        </w:rPr>
        <w:t>other</w:t>
      </w:r>
      <w:r>
        <w:rPr>
          <w:color w:val="000000"/>
        </w:rPr>
        <w:t xml:space="preserve"> </w:t>
      </w:r>
      <w:r>
        <w:rPr>
          <w:rFonts w:ascii="Arial;sans-serif" w:hAnsi="Arial;sans-serif"/>
          <w:b w:val="false"/>
          <w:color w:val="000000"/>
          <w:sz w:val="22"/>
        </w:rPr>
        <w:t>matter,</w:t>
      </w:r>
      <w:r>
        <w:rPr>
          <w:color w:val="000000"/>
        </w:rPr>
        <w:t xml:space="preserve"> </w:t>
      </w:r>
      <w:r>
        <w:rPr>
          <w:rFonts w:ascii="Arial;sans-serif" w:hAnsi="Arial;sans-serif"/>
          <w:b w:val="false"/>
          <w:color w:val="000000"/>
          <w:sz w:val="22"/>
        </w:rPr>
        <w:t>including</w:t>
      </w:r>
      <w:r>
        <w:rPr>
          <w:color w:val="000000"/>
        </w:rPr>
        <w:t xml:space="preserve"> </w:t>
      </w:r>
      <w:r>
        <w:rPr>
          <w:rFonts w:ascii="Arial;sans-serif" w:hAnsi="Arial;sans-serif"/>
          <w:b w:val="false"/>
          <w:color w:val="000000"/>
          <w:sz w:val="22"/>
        </w:rPr>
        <w:t>documents</w:t>
      </w:r>
      <w:r>
        <w:rPr>
          <w:color w:val="000000"/>
        </w:rPr>
        <w:t xml:space="preserve"> </w:t>
      </w:r>
      <w:r>
        <w:rPr>
          <w:rFonts w:ascii="Arial;sans-serif" w:hAnsi="Arial;sans-serif"/>
          <w:b w:val="false"/>
          <w:color w:val="000000"/>
          <w:sz w:val="22"/>
        </w:rPr>
        <w:t>and/or</w:t>
      </w:r>
      <w:r>
        <w:rPr>
          <w:color w:val="000000"/>
        </w:rPr>
        <w:t xml:space="preserve"> </w:t>
      </w:r>
      <w:r>
        <w:rPr>
          <w:rFonts w:ascii="Arial;sans-serif" w:hAnsi="Arial;sans-serif"/>
          <w:b w:val="false"/>
          <w:color w:val="000000"/>
          <w:sz w:val="22"/>
        </w:rPr>
        <w:t>notices</w:t>
      </w:r>
      <w:r>
        <w:rPr>
          <w:color w:val="000000"/>
        </w:rPr>
        <w:t xml:space="preserve"> </w:t>
      </w:r>
      <w:r>
        <w:rPr>
          <w:rFonts w:ascii="Arial;sans-serif" w:hAnsi="Arial;sans-serif"/>
          <w:b w:val="false"/>
          <w:color w:val="000000"/>
          <w:sz w:val="22"/>
        </w:rPr>
        <w:t>required</w:t>
      </w:r>
      <w:r>
        <w:rPr>
          <w:color w:val="000000"/>
        </w:rPr>
        <w:t xml:space="preserve"> </w:t>
      </w:r>
      <w:r>
        <w:rPr>
          <w:rFonts w:ascii="Arial;sans-serif" w:hAnsi="Arial;sans-serif"/>
          <w:b w:val="false"/>
          <w:color w:val="000000"/>
          <w:sz w:val="22"/>
        </w:rPr>
        <w:t>to be delivered to Executive by applicable securities law or any other law or the Company’s Certificate of Incorporation</w:t>
      </w:r>
      <w:r>
        <w:rPr>
          <w:color w:val="000000"/>
        </w:rPr>
        <w:t xml:space="preserve"> </w:t>
      </w:r>
      <w:r>
        <w:rPr>
          <w:rFonts w:ascii="Arial;sans-serif" w:hAnsi="Arial;sans-serif"/>
          <w:b w:val="false"/>
          <w:color w:val="000000"/>
          <w:sz w:val="22"/>
        </w:rPr>
        <w:t>or Bylaws by</w:t>
      </w:r>
      <w:r>
        <w:rPr>
          <w:color w:val="000000"/>
        </w:rPr>
        <w:t xml:space="preserve"> </w:t>
      </w:r>
      <w:r>
        <w:rPr>
          <w:rFonts w:ascii="Arial;sans-serif" w:hAnsi="Arial;sans-serif"/>
          <w:b w:val="false"/>
          <w:color w:val="000000"/>
          <w:sz w:val="22"/>
        </w:rPr>
        <w:t>email or any other electronic means.</w:t>
      </w:r>
      <w:r>
        <w:rPr>
          <w:color w:val="000000"/>
        </w:rPr>
        <w:t xml:space="preserve"> </w:t>
      </w:r>
      <w:r>
        <w:rPr>
          <w:rFonts w:ascii="Arial;sans-serif" w:hAnsi="Arial;sans-serif"/>
          <w:b w:val="false"/>
          <w:color w:val="000000"/>
          <w:sz w:val="22"/>
        </w:rPr>
        <w:t>Executive hereby consents to (i) conduct business electronically (ii) receive such documents and notices by such electronic delivery and (iii) sign documents electronically and agree to</w:t>
      </w:r>
      <w:r>
        <w:rPr>
          <w:color w:val="000000"/>
        </w:rPr>
        <w:t xml:space="preserve"> </w:t>
      </w:r>
      <w:r>
        <w:rPr>
          <w:rFonts w:ascii="Arial;sans-serif" w:hAnsi="Arial;sans-serif"/>
          <w:b w:val="false"/>
          <w:color w:val="000000"/>
          <w:sz w:val="22"/>
        </w:rPr>
        <w:t>participate</w:t>
      </w:r>
      <w:r>
        <w:rPr>
          <w:color w:val="000000"/>
        </w:rPr>
        <w:t xml:space="preserve"> </w:t>
      </w:r>
      <w:r>
        <w:rPr>
          <w:rFonts w:ascii="Arial;sans-serif" w:hAnsi="Arial;sans-serif"/>
          <w:b w:val="false"/>
          <w:color w:val="000000"/>
          <w:sz w:val="22"/>
        </w:rPr>
        <w:t>through</w:t>
      </w:r>
      <w:r>
        <w:rPr>
          <w:color w:val="000000"/>
        </w:rPr>
        <w:t xml:space="preserve"> </w:t>
      </w:r>
      <w:r>
        <w:rPr>
          <w:rFonts w:ascii="Arial;sans-serif" w:hAnsi="Arial;sans-serif"/>
          <w:b w:val="false"/>
          <w:color w:val="000000"/>
          <w:sz w:val="22"/>
        </w:rPr>
        <w:t>an on-line or electronic system</w:t>
      </w:r>
      <w:r>
        <w:rPr>
          <w:color w:val="000000"/>
        </w:rPr>
        <w:t xml:space="preserve"> </w:t>
      </w:r>
      <w:r>
        <w:rPr>
          <w:rFonts w:ascii="Arial;sans-serif" w:hAnsi="Arial;sans-serif"/>
          <w:b w:val="false"/>
          <w:color w:val="000000"/>
          <w:sz w:val="22"/>
        </w:rPr>
        <w:t>established</w:t>
      </w:r>
      <w:r>
        <w:rPr>
          <w:color w:val="000000"/>
        </w:rPr>
        <w:t xml:space="preserve"> </w:t>
      </w:r>
      <w:r>
        <w:rPr>
          <w:rFonts w:ascii="Arial;sans-serif" w:hAnsi="Arial;sans-serif"/>
          <w:b w:val="false"/>
          <w:color w:val="000000"/>
          <w:sz w:val="22"/>
        </w:rPr>
        <w:t>and</w:t>
      </w:r>
      <w:r>
        <w:rPr>
          <w:color w:val="000000"/>
        </w:rPr>
        <w:t xml:space="preserve"> </w:t>
      </w:r>
      <w:r>
        <w:rPr>
          <w:rFonts w:ascii="Arial;sans-serif" w:hAnsi="Arial;sans-serif"/>
          <w:b w:val="false"/>
          <w:color w:val="000000"/>
          <w:sz w:val="22"/>
        </w:rPr>
        <w:t>maintained</w:t>
      </w:r>
      <w:r>
        <w:rPr>
          <w:color w:val="000000"/>
        </w:rPr>
        <w:t xml:space="preserve"> </w:t>
      </w:r>
      <w:r>
        <w:rPr>
          <w:rFonts w:ascii="Arial;sans-serif" w:hAnsi="Arial;sans-serif"/>
          <w:b w:val="false"/>
          <w:color w:val="000000"/>
          <w:sz w:val="22"/>
        </w:rPr>
        <w:t>by</w:t>
      </w:r>
      <w:r>
        <w:rPr>
          <w:color w:val="000000"/>
        </w:rPr>
        <w:t xml:space="preserve"> </w:t>
      </w:r>
      <w:r>
        <w:rPr>
          <w:rFonts w:ascii="Arial;sans-serif" w:hAnsi="Arial;sans-serif"/>
          <w:b w:val="false"/>
          <w:color w:val="000000"/>
          <w:sz w:val="22"/>
        </w:rPr>
        <w:t>the</w:t>
      </w:r>
      <w:r>
        <w:rPr>
          <w:color w:val="000000"/>
        </w:rPr>
        <w:t xml:space="preserve"> </w:t>
      </w:r>
      <w:r>
        <w:rPr>
          <w:rFonts w:ascii="Arial;sans-serif" w:hAnsi="Arial;sans-serif"/>
          <w:b w:val="false"/>
          <w:color w:val="000000"/>
          <w:sz w:val="22"/>
        </w:rPr>
        <w:t>Company</w:t>
      </w:r>
      <w:r>
        <w:rPr>
          <w:color w:val="000000"/>
        </w:rPr>
        <w:t xml:space="preserve"> </w:t>
      </w:r>
      <w:r>
        <w:rPr>
          <w:rFonts w:ascii="Arial;sans-serif" w:hAnsi="Arial;sans-serif"/>
          <w:b w:val="false"/>
          <w:color w:val="000000"/>
          <w:sz w:val="22"/>
        </w:rPr>
        <w:t>or</w:t>
      </w:r>
      <w:r>
        <w:rPr>
          <w:color w:val="000000"/>
        </w:rPr>
        <w:t xml:space="preserve"> </w:t>
      </w:r>
      <w:r>
        <w:rPr>
          <w:rFonts w:ascii="Arial;sans-serif" w:hAnsi="Arial;sans-serif"/>
          <w:b w:val="false"/>
          <w:color w:val="000000"/>
          <w:sz w:val="22"/>
        </w:rPr>
        <w:t>a</w:t>
      </w:r>
      <w:r>
        <w:rPr>
          <w:color w:val="000000"/>
        </w:rPr>
        <w:t xml:space="preserve"> </w:t>
      </w:r>
      <w:r>
        <w:rPr>
          <w:rFonts w:ascii="Arial;sans-serif" w:hAnsi="Arial;sans-serif"/>
          <w:b w:val="false"/>
          <w:color w:val="000000"/>
          <w:sz w:val="22"/>
        </w:rPr>
        <w:t>third</w:t>
      </w:r>
      <w:r>
        <w:rPr>
          <w:color w:val="000000"/>
        </w:rPr>
        <w:t xml:space="preserve"> </w:t>
      </w:r>
      <w:r>
        <w:rPr>
          <w:rFonts w:ascii="Arial;sans-serif" w:hAnsi="Arial;sans-serif"/>
          <w:b w:val="false"/>
          <w:color w:val="000000"/>
          <w:sz w:val="22"/>
        </w:rPr>
        <w:t>party</w:t>
      </w:r>
      <w:r>
        <w:rPr>
          <w:color w:val="000000"/>
        </w:rPr>
        <w:t xml:space="preserve"> </w:t>
      </w:r>
      <w:r>
        <w:rPr>
          <w:rFonts w:ascii="Arial;sans-serif" w:hAnsi="Arial;sans-serif"/>
          <w:b w:val="false"/>
          <w:color w:val="000000"/>
          <w:sz w:val="22"/>
        </w:rPr>
        <w:t>designated</w:t>
      </w:r>
      <w:r>
        <w:rPr>
          <w:color w:val="000000"/>
        </w:rPr>
        <w:t xml:space="preserve"> </w:t>
      </w:r>
      <w:r>
        <w:rPr>
          <w:rFonts w:ascii="Arial;sans-serif" w:hAnsi="Arial;sans-serif"/>
          <w:b w:val="false"/>
          <w:color w:val="000000"/>
          <w:sz w:val="22"/>
        </w:rPr>
        <w:t>by the Company.</w:t>
      </w:r>
    </w:p>
    <w:p>
      <w:pPr>
        <w:pStyle w:val="TextBody"/>
        <w:spacing w:before="0" w:after="0"/>
        <w:rPr/>
      </w:pPr>
      <w:r>
        <w:rPr/>
      </w:r>
    </w:p>
    <w:p>
      <w:pPr>
        <w:pStyle w:val="TextBody"/>
        <w:spacing w:lineRule="auto" w:line="268" w:before="0" w:after="0"/>
        <w:ind w:left="0" w:right="0" w:firstLine="3552"/>
        <w:jc w:val="center"/>
        <w:rPr>
          <w:rFonts w:ascii="Arial;sans-serif" w:hAnsi="Arial;sans-serif"/>
          <w:b w:val="false"/>
          <w:i/>
          <w:color w:val="000000"/>
          <w:sz w:val="24"/>
        </w:rPr>
      </w:pPr>
      <w:r>
        <w:rPr>
          <w:rFonts w:ascii="Arial;sans-serif" w:hAnsi="Arial;sans-serif"/>
          <w:b w:val="false"/>
          <w:i/>
          <w:color w:val="000000"/>
          <w:sz w:val="24"/>
        </w:rPr>
        <w:t>[Signature Page Follows]</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ind w:left="0" w:right="0" w:firstLine="100"/>
        <w:jc w:val="both"/>
        <w:rPr/>
      </w:pPr>
      <w:r>
        <w:rPr/>
      </w:r>
      <w:r>
        <w:br w:type="page"/>
      </w:r>
    </w:p>
    <w:p>
      <w:pPr>
        <w:pStyle w:val="TextBody"/>
        <w:spacing w:before="0" w:after="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jc w:val="both"/>
        <w:rPr/>
      </w:pPr>
      <w:r>
        <w:rPr>
          <w:rFonts w:ascii="Arial;sans-serif" w:hAnsi="Arial;sans-serif"/>
          <w:b w:val="false"/>
          <w:color w:val="000000"/>
          <w:sz w:val="22"/>
        </w:rPr>
        <w:t>After</w:t>
      </w:r>
      <w:r>
        <w:rPr>
          <w:color w:val="000000"/>
        </w:rPr>
        <w:t xml:space="preserve"> </w:t>
      </w:r>
      <w:r>
        <w:rPr>
          <w:rFonts w:ascii="Arial;sans-serif" w:hAnsi="Arial;sans-serif"/>
          <w:b w:val="false"/>
          <w:color w:val="000000"/>
          <w:sz w:val="22"/>
        </w:rPr>
        <w:t>you</w:t>
      </w:r>
      <w:r>
        <w:rPr>
          <w:color w:val="000000"/>
        </w:rPr>
        <w:t xml:space="preserve"> </w:t>
      </w:r>
      <w:r>
        <w:rPr>
          <w:rFonts w:ascii="Arial;sans-serif" w:hAnsi="Arial;sans-serif"/>
          <w:b w:val="false"/>
          <w:color w:val="000000"/>
          <w:sz w:val="22"/>
        </w:rPr>
        <w:t>have</w:t>
      </w:r>
      <w:r>
        <w:rPr>
          <w:color w:val="000000"/>
        </w:rPr>
        <w:t xml:space="preserve"> </w:t>
      </w:r>
      <w:r>
        <w:rPr>
          <w:rFonts w:ascii="Arial;sans-serif" w:hAnsi="Arial;sans-serif"/>
          <w:b w:val="false"/>
          <w:color w:val="000000"/>
          <w:sz w:val="22"/>
        </w:rPr>
        <w:t>had</w:t>
      </w:r>
      <w:r>
        <w:rPr>
          <w:color w:val="000000"/>
        </w:rPr>
        <w:t xml:space="preserve"> </w:t>
      </w:r>
      <w:r>
        <w:rPr>
          <w:rFonts w:ascii="Arial;sans-serif" w:hAnsi="Arial;sans-serif"/>
          <w:b w:val="false"/>
          <w:color w:val="000000"/>
          <w:sz w:val="22"/>
        </w:rPr>
        <w:t>an</w:t>
      </w:r>
      <w:r>
        <w:rPr>
          <w:color w:val="000000"/>
        </w:rPr>
        <w:t xml:space="preserve"> </w:t>
      </w:r>
      <w:r>
        <w:rPr>
          <w:rFonts w:ascii="Arial;sans-serif" w:hAnsi="Arial;sans-serif"/>
          <w:b w:val="false"/>
          <w:color w:val="000000"/>
          <w:sz w:val="22"/>
        </w:rPr>
        <w:t>opportunity</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review</w:t>
      </w:r>
      <w:r>
        <w:rPr>
          <w:color w:val="000000"/>
        </w:rPr>
        <w:t xml:space="preserve"> </w:t>
      </w:r>
      <w:r>
        <w:rPr>
          <w:rFonts w:ascii="Arial;sans-serif" w:hAnsi="Arial;sans-serif"/>
          <w:b w:val="false"/>
          <w:color w:val="000000"/>
          <w:sz w:val="22"/>
        </w:rPr>
        <w:t>this</w:t>
      </w:r>
      <w:r>
        <w:rPr>
          <w:color w:val="000000"/>
        </w:rPr>
        <w:t xml:space="preserve"> </w:t>
      </w:r>
      <w:r>
        <w:rPr>
          <w:rFonts w:ascii="Arial;sans-serif" w:hAnsi="Arial;sans-serif"/>
          <w:b w:val="false"/>
          <w:color w:val="000000"/>
          <w:sz w:val="22"/>
        </w:rPr>
        <w:t>Agreement,</w:t>
      </w:r>
      <w:r>
        <w:rPr>
          <w:color w:val="000000"/>
        </w:rPr>
        <w:t xml:space="preserve"> </w:t>
      </w:r>
      <w:r>
        <w:rPr>
          <w:rFonts w:ascii="Arial;sans-serif" w:hAnsi="Arial;sans-serif"/>
          <w:b w:val="false"/>
          <w:color w:val="000000"/>
          <w:sz w:val="22"/>
        </w:rPr>
        <w:t>please</w:t>
      </w:r>
      <w:r>
        <w:rPr>
          <w:color w:val="000000"/>
        </w:rPr>
        <w:t xml:space="preserve"> </w:t>
      </w:r>
      <w:r>
        <w:rPr>
          <w:rFonts w:ascii="Arial;sans-serif" w:hAnsi="Arial;sans-serif"/>
          <w:b w:val="false"/>
          <w:color w:val="000000"/>
          <w:sz w:val="22"/>
        </w:rPr>
        <w:t>feel</w:t>
      </w:r>
      <w:r>
        <w:rPr>
          <w:color w:val="000000"/>
        </w:rPr>
        <w:t xml:space="preserve"> </w:t>
      </w:r>
      <w:r>
        <w:rPr>
          <w:rFonts w:ascii="Arial;sans-serif" w:hAnsi="Arial;sans-serif"/>
          <w:b w:val="false"/>
          <w:color w:val="000000"/>
          <w:sz w:val="22"/>
        </w:rPr>
        <w:t>free</w:t>
      </w:r>
      <w:r>
        <w:rPr>
          <w:color w:val="000000"/>
        </w:rPr>
        <w:t xml:space="preserve"> </w:t>
      </w:r>
      <w:r>
        <w:rPr>
          <w:rFonts w:ascii="Arial;sans-serif" w:hAnsi="Arial;sans-serif"/>
          <w:b w:val="false"/>
          <w:color w:val="000000"/>
          <w:sz w:val="22"/>
        </w:rPr>
        <w:t>to</w:t>
      </w:r>
      <w:r>
        <w:rPr>
          <w:color w:val="000000"/>
        </w:rPr>
        <w:t xml:space="preserve"> </w:t>
      </w:r>
      <w:r>
        <w:rPr>
          <w:rFonts w:ascii="Arial;sans-serif" w:hAnsi="Arial;sans-serif"/>
          <w:b w:val="false"/>
          <w:color w:val="000000"/>
          <w:sz w:val="22"/>
        </w:rPr>
        <w:t>contact</w:t>
      </w:r>
      <w:r>
        <w:rPr>
          <w:color w:val="000000"/>
        </w:rPr>
        <w:t xml:space="preserve"> </w:t>
      </w:r>
      <w:r>
        <w:rPr>
          <w:rFonts w:ascii="Arial;sans-serif" w:hAnsi="Arial;sans-serif"/>
          <w:b w:val="false"/>
          <w:color w:val="000000"/>
          <w:sz w:val="22"/>
        </w:rPr>
        <w:t>me</w:t>
      </w:r>
      <w:r>
        <w:rPr>
          <w:color w:val="000000"/>
        </w:rPr>
        <w:t xml:space="preserve"> </w:t>
      </w:r>
      <w:r>
        <w:rPr>
          <w:rFonts w:ascii="Arial;sans-serif" w:hAnsi="Arial;sans-serif"/>
          <w:b w:val="false"/>
          <w:color w:val="000000"/>
          <w:sz w:val="22"/>
        </w:rPr>
        <w:t>if you have any questions or comments.</w:t>
      </w:r>
      <w:r>
        <w:rPr>
          <w:color w:val="000000"/>
        </w:rPr>
        <w:t xml:space="preserve"> </w:t>
      </w:r>
      <w:r>
        <w:rPr>
          <w:rFonts w:ascii="Arial;sans-serif" w:hAnsi="Arial;sans-serif"/>
          <w:b w:val="false"/>
          <w:color w:val="000000"/>
          <w:sz w:val="22"/>
        </w:rPr>
        <w:t>To indicate your acceptance of this Agreement, please sign and date this letter in the space provided below and return it to the Company.</w:t>
      </w:r>
    </w:p>
    <w:p>
      <w:pPr>
        <w:pStyle w:val="TextBody"/>
        <w:spacing w:before="0" w:after="0"/>
        <w:rPr/>
      </w:pPr>
      <w:r>
        <w:rPr/>
      </w:r>
    </w:p>
    <w:p>
      <w:pPr>
        <w:pStyle w:val="TextBody"/>
        <w:spacing w:before="0" w:after="0"/>
        <w:rPr/>
      </w:pPr>
      <w:r>
        <w:rPr/>
      </w:r>
    </w:p>
    <w:tbl>
      <w:tblPr>
        <w:tblW w:w="6358" w:type="dxa"/>
        <w:jc w:val="left"/>
        <w:tblInd w:w="0" w:type="dxa"/>
        <w:tblCellMar>
          <w:top w:w="28" w:type="dxa"/>
          <w:left w:w="28" w:type="dxa"/>
          <w:bottom w:w="28" w:type="dxa"/>
          <w:right w:w="28" w:type="dxa"/>
        </w:tblCellMar>
      </w:tblPr>
      <w:tblGrid>
        <w:gridCol w:w="1005"/>
        <w:gridCol w:w="883"/>
        <w:gridCol w:w="886"/>
        <w:gridCol w:w="1050"/>
        <w:gridCol w:w="1050"/>
        <w:gridCol w:w="1484"/>
      </w:tblGrid>
      <w:tr>
        <w:trPr/>
        <w:tc>
          <w:tcPr>
            <w:tcW w:w="1005"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484" w:type="dxa"/>
            <w:tcBorders/>
            <w:shd w:fill="auto" w:val="cle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Very truly yours,</w:t>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Vivek Garipalli</w:t>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Vivek Garipalli, CEO &amp; Co-Founder</w:t>
            </w:r>
          </w:p>
        </w:tc>
      </w:tr>
      <w:tr>
        <w:trPr/>
        <w:tc>
          <w:tcPr>
            <w:tcW w:w="2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Agreed to and Accepted by</w:t>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/s/ Conrad Wai</w:t>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Conrad Wai</w:t>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w:t>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Address</w:t>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7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Date: 2/25/2022</w:t>
            </w:r>
          </w:p>
        </w:tc>
        <w:tc>
          <w:tcPr>
            <w:tcW w:w="35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76" w:before="0" w:after="0"/>
        <w:rPr>
          <w:rFonts w:ascii="Times New Roman;sans-serif" w:hAnsi="Times New Roman;sans-serif"/>
          <w:b w:val="false"/>
          <w:color w:val="000000"/>
          <w:sz w:val="24"/>
        </w:rPr>
      </w:pPr>
      <w:r>
        <w:rPr>
          <w:rFonts w:ascii="Times New Roman;sans-serif" w:hAnsi="Times New Roman;sans-serif"/>
          <w:b w:val="false"/>
          <w:color w:val="000000"/>
          <w:sz w:val="24"/>
        </w:rPr>
        <w:t>May 9, 2023</w:t>
      </w:r>
    </w:p>
    <w:p>
      <w:pPr>
        <w:pStyle w:val="TextBody"/>
        <w:spacing w:before="0" w:after="0"/>
        <w:rPr/>
      </w:pPr>
      <w:r>
        <w:rPr/>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Board of Directors</w:t>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Clover Health Investments, Corp.</w:t>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3401 Mallory Lane, Suite 210 </w:t>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Franklin, Tennessee, 37067</w:t>
      </w:r>
    </w:p>
    <w:p>
      <w:pPr>
        <w:pStyle w:val="TextBody"/>
        <w:spacing w:before="0" w:after="0"/>
        <w:rPr/>
      </w:pPr>
      <w:r>
        <w:rPr/>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Ladies and Gentlemen:</w:t>
      </w:r>
    </w:p>
    <w:p>
      <w:pPr>
        <w:pStyle w:val="TextBody"/>
        <w:spacing w:before="0" w:after="0"/>
        <w:rPr/>
      </w:pPr>
      <w:r>
        <w:rPr/>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Note 2 to the Notes to the consolidated financial statements of Clover Health Investments, Corp. included in its Form 10-Q for the period ended March 31, 2023, describes a change in the method of accounting for premium deficiency reserves to include anticipated net investment income. There are no authoritative criteria for determining a 'preferable' method for including anticipated net investment income in the determination of premium deficiency reserves based on the particular circumstances; however, we conclude that such change in the method of accounting is to an acceptable alternative method which, based on your business judgment to make this change and for the stated reasons, is preferable in your circumstances. We have not conducted an audit in accordance with the standards of the Public Company Accounting Oversight Board (United States) of any financial statements of the Company as of any date or for any period subsequent to December 31, 2022, and therefore we do not express any opinion on any financial statements of Clover Health Investments, Corp. subsequent to that date. </w:t>
      </w:r>
    </w:p>
    <w:p>
      <w:pPr>
        <w:pStyle w:val="TextBody"/>
        <w:spacing w:before="0" w:after="0"/>
        <w:rPr/>
      </w:pPr>
      <w:r>
        <w:rPr/>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Very truly yours,</w:t>
      </w:r>
    </w:p>
    <w:p>
      <w:pPr>
        <w:pStyle w:val="TextBody"/>
        <w:spacing w:before="0" w:after="0"/>
        <w:rPr/>
      </w:pPr>
      <w:r>
        <w:rPr/>
      </w:r>
    </w:p>
    <w:p>
      <w:pPr>
        <w:pStyle w:val="TextBody"/>
        <w:spacing w:lineRule="auto" w:line="28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/s/ Ernst &amp; Young LLP</w:t>
      </w:r>
    </w:p>
    <w:p>
      <w:pPr>
        <w:pStyle w:val="TextBody"/>
        <w:spacing w:lineRule="auto" w:line="280"/>
        <w:jc w:val="both"/>
        <w:rPr>
          <w:rFonts w:ascii="Times New Roman;sans-serif" w:hAnsi="Times New Roman;sans-serif"/>
          <w:b w:val="false"/>
          <w:color w:val="000000"/>
          <w:sz w:val="24"/>
        </w:rPr>
      </w:pPr>
      <w:r>
        <w:rPr>
          <w:rFonts w:ascii="Times New Roman;sans-serif" w:hAnsi="Times New Roman;sans-serif"/>
          <w:b w:val="false"/>
          <w:color w:val="000000"/>
          <w:sz w:val="24"/>
        </w:rPr>
        <w:t>New York, New York</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Andrew Toy, certify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2023, of Clover Health Investments, Corp.;</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67" w:type="dxa"/>
        <w:jc w:val="left"/>
        <w:tblInd w:w="0" w:type="dxa"/>
        <w:tblCellMar>
          <w:top w:w="28" w:type="dxa"/>
          <w:left w:w="28" w:type="dxa"/>
          <w:bottom w:w="28" w:type="dxa"/>
          <w:right w:w="28" w:type="dxa"/>
        </w:tblCellMar>
      </w:tblPr>
      <w:tblGrid>
        <w:gridCol w:w="591"/>
        <w:gridCol w:w="520"/>
        <w:gridCol w:w="523"/>
        <w:gridCol w:w="134"/>
        <w:gridCol w:w="134"/>
        <w:gridCol w:w="136"/>
        <w:gridCol w:w="623"/>
        <w:gridCol w:w="623"/>
        <w:gridCol w:w="883"/>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Toy</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Toy</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RULES 13a-14(a) AND 15d-14(a) UNDER THE SECURITIES EXCHANGE ACT OF 1934,</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I, Scott J. Leffler, certify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for the period ended March 31, 2023, of Clover Health Investments, Corp.;</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9448" w:type="dxa"/>
        <w:jc w:val="left"/>
        <w:tblInd w:w="0" w:type="dxa"/>
        <w:tblCellMar>
          <w:top w:w="28" w:type="dxa"/>
          <w:left w:w="28" w:type="dxa"/>
          <w:bottom w:w="28" w:type="dxa"/>
          <w:right w:w="28" w:type="dxa"/>
        </w:tblCellMar>
      </w:tblPr>
      <w:tblGrid>
        <w:gridCol w:w="591"/>
        <w:gridCol w:w="520"/>
        <w:gridCol w:w="523"/>
        <w:gridCol w:w="134"/>
        <w:gridCol w:w="134"/>
        <w:gridCol w:w="136"/>
        <w:gridCol w:w="2166"/>
        <w:gridCol w:w="2166"/>
        <w:gridCol w:w="3078"/>
      </w:tblGrid>
      <w:tr>
        <w:trPr/>
        <w:tc>
          <w:tcPr>
            <w:tcW w:w="59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52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3078" w:type="dxa"/>
            <w:tcBorders/>
            <w:shd w:fill="auto" w:val="clear"/>
            <w:vAlign w:val="center"/>
          </w:tcPr>
          <w:p>
            <w:pPr>
              <w:pStyle w:val="TableContents"/>
              <w:spacing w:before="0" w:after="283"/>
              <w:rPr>
                <w:sz w:val="4"/>
                <w:szCs w:val="4"/>
              </w:rPr>
            </w:pPr>
            <w:r>
              <w:rPr>
                <w:sz w:val="4"/>
                <w:szCs w:val="4"/>
              </w:rPr>
            </w:r>
          </w:p>
        </w:tc>
      </w:tr>
      <w:tr>
        <w:trPr/>
        <w:tc>
          <w:tcPr>
            <w:tcW w:w="163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9, 2023</w:t>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J. Leffler</w:t>
            </w:r>
          </w:p>
        </w:tc>
      </w:tr>
      <w:tr>
        <w:trPr/>
        <w:tc>
          <w:tcPr>
            <w:tcW w:w="1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(Principal Financial Officer and Principal Accounting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Clover Health Investments, Corp. (the “Company”) for the period ended March 31, 2023, as filed with the Securities and Exchange Commission on the date hereof (the “Report”), I certify, pursuant to 18 U.S.C. § 1350, as adopted pursuant to § 906 of the Sarbanes-Oxley Act of 2002,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4273" w:type="dxa"/>
        <w:jc w:val="left"/>
        <w:tblInd w:w="0" w:type="dxa"/>
        <w:tblCellMar>
          <w:top w:w="28" w:type="dxa"/>
          <w:left w:w="28" w:type="dxa"/>
          <w:bottom w:w="28" w:type="dxa"/>
          <w:right w:w="28" w:type="dxa"/>
        </w:tblCellMar>
      </w:tblPr>
      <w:tblGrid>
        <w:gridCol w:w="629"/>
        <w:gridCol w:w="553"/>
        <w:gridCol w:w="558"/>
        <w:gridCol w:w="134"/>
        <w:gridCol w:w="134"/>
        <w:gridCol w:w="136"/>
        <w:gridCol w:w="623"/>
        <w:gridCol w:w="623"/>
        <w:gridCol w:w="883"/>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Andrew Toy</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Andrew Toy</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18 U.S.C. SECTION 1350, AS ADOPTED PURSUANT TO</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on Form 10-Q of Clover Health Investments, Corp. (the “Company”) for the period ended March 31, 2023, as filed with the Securities and Exchange Commission on the date hereof (the “Report”), I certify, pursuant to 18 U.S.C. § 1350, as adopted pursuant to § 906 of the Sarbanes-Oxley Act of 2002, that:</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lineRule="auto" w:line="288" w:before="240" w:after="283"/>
        <w:ind w:left="0" w:right="0" w:hanging="49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9554" w:type="dxa"/>
        <w:jc w:val="left"/>
        <w:tblInd w:w="0" w:type="dxa"/>
        <w:tblCellMar>
          <w:top w:w="28" w:type="dxa"/>
          <w:left w:w="28" w:type="dxa"/>
          <w:bottom w:w="28" w:type="dxa"/>
          <w:right w:w="28" w:type="dxa"/>
        </w:tblCellMar>
      </w:tblPr>
      <w:tblGrid>
        <w:gridCol w:w="629"/>
        <w:gridCol w:w="553"/>
        <w:gridCol w:w="558"/>
        <w:gridCol w:w="134"/>
        <w:gridCol w:w="134"/>
        <w:gridCol w:w="136"/>
        <w:gridCol w:w="2166"/>
        <w:gridCol w:w="2166"/>
        <w:gridCol w:w="3078"/>
      </w:tblGrid>
      <w:tr>
        <w:trPr/>
        <w:tc>
          <w:tcPr>
            <w:tcW w:w="629" w:type="dxa"/>
            <w:tcBorders/>
            <w:shd w:fill="auto" w:val="clear"/>
            <w:vAlign w:val="center"/>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c>
          <w:tcPr>
            <w:tcW w:w="55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3078"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May 9, 2023</w:t>
            </w:r>
          </w:p>
        </w:tc>
        <w:tc>
          <w:tcPr>
            <w:tcW w:w="4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74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Scott J. Leffler</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Scott J. Leffler</w:t>
            </w:r>
          </w:p>
        </w:tc>
      </w:tr>
      <w:tr>
        <w:trPr/>
        <w:tc>
          <w:tcPr>
            <w:tcW w:w="17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 (Principal Financial Officer and Principal Accounting Officer)</w:t>
            </w:r>
          </w:p>
        </w:tc>
      </w:tr>
    </w:tbl>
    <w:p>
      <w:pPr>
        <w:pStyle w:val="TextBody"/>
        <w:spacing w:before="0" w:after="283"/>
        <w:ind w:left="0" w:right="0" w:hanging="490"/>
        <w:rPr/>
      </w:pPr>
      <w:r>
        <w:br w:type="page"/>
      </w: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Times New Roman">
    <w:altName w:val="sans-serif"/>
    <w:charset w:val="00"/>
    <w:family w:val="auto"/>
    <w:pitch w:val="default"/>
  </w:font>
  <w:font w:name="Wingdings">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1170/000180117023000020/exhibit101-boardobserverag.htm" TargetMode="External"/><Relationship Id="rId3" Type="http://schemas.openxmlformats.org/officeDocument/2006/relationships/hyperlink" Target="https://www.sec.gov/Archives/edgar/data/1801170/000180117023000015/a12312022-exx1017.htm" TargetMode="External"/><Relationship Id="rId4" Type="http://schemas.openxmlformats.org/officeDocument/2006/relationships/image" Target="media/image1.pn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25</Pages>
  <Words>32331</Words>
  <CharactersWithSpaces>213403</CharactersWithSpaces>
  <Paragraphs>2708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