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55"/>
        </w:trPr>
        <w:tc>
          <w:tcPr>
            <w:tcW w:w="5840" w:type="dxa"/>
            <w:vAlign w:val="bottom"/>
          </w:tcPr>
          <w:p>
            <w:pPr>
              <w:jc w:val="center"/>
              <w:ind w:right="370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74"/>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503"/>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spacing w:after="0"/>
              <w:rPr>
                <w:sz w:val="24"/>
                <w:szCs w:val="24"/>
                <w:color w:val="auto"/>
              </w:rPr>
            </w:pPr>
          </w:p>
        </w:tc>
      </w:tr>
      <w:tr>
        <w:trPr>
          <w:trHeight w:val="255"/>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2"/>
                <w:szCs w:val="22"/>
                <w:color w:val="auto"/>
              </w:rPr>
            </w:pPr>
          </w:p>
        </w:tc>
      </w:tr>
      <w:tr>
        <w:trPr>
          <w:trHeight w:val="237"/>
        </w:trPr>
        <w:tc>
          <w:tcPr>
            <w:tcW w:w="5840" w:type="dxa"/>
            <w:vAlign w:val="bottom"/>
          </w:tcPr>
          <w:p>
            <w:pPr>
              <w:jc w:val="center"/>
              <w:ind w:left="1765"/>
              <w:spacing w:after="0"/>
              <w:rPr>
                <w:sz w:val="20"/>
                <w:szCs w:val="20"/>
                <w:color w:val="auto"/>
              </w:rPr>
            </w:pPr>
            <w:r>
              <w:rPr>
                <w:rFonts w:ascii="Arial" w:cs="Arial" w:eastAsia="Arial" w:hAnsi="Arial"/>
                <w:sz w:val="11"/>
                <w:szCs w:val="11"/>
                <w:color w:val="auto"/>
                <w:w w:val="98"/>
              </w:rPr>
              <w:t>________________________________________</w:t>
            </w:r>
          </w:p>
        </w:tc>
        <w:tc>
          <w:tcPr>
            <w:tcW w:w="1460" w:type="dxa"/>
            <w:vAlign w:val="bottom"/>
          </w:tcPr>
          <w:p>
            <w:pPr>
              <w:spacing w:after="0"/>
              <w:rPr>
                <w:sz w:val="20"/>
                <w:szCs w:val="20"/>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vMerge w:val="restart"/>
          </w:tcPr>
          <w:p>
            <w:pPr>
              <w:jc w:val="right"/>
              <w:spacing w:after="0"/>
              <w:rPr>
                <w:sz w:val="20"/>
                <w:szCs w:val="20"/>
                <w:color w:val="auto"/>
              </w:rPr>
            </w:pP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32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At May 2, 2025, the registrant had 416,541,578 shares of Class A Common Stock, $0.0001 par value per share, and 92,375,003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26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60" w:firstLine="8"/>
        <w:spacing w:after="0" w:line="239" w:lineRule="auto"/>
        <w:tabs>
          <w:tab w:leader="none" w:pos="16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172" w:right="339" w:bottom="551"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1"/>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8"/>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1"/>
            <w:vMerge w:val="continue"/>
          </w:tcPr>
          <w:p>
            <w:pPr>
              <w:spacing w:after="0"/>
              <w:rPr>
                <w:sz w:val="14"/>
                <w:szCs w:val="14"/>
                <w:color w:val="auto"/>
              </w:rPr>
            </w:pPr>
          </w:p>
        </w:tc>
        <w:tc>
          <w:tcPr>
            <w:tcW w:w="6680" w:type="dxa"/>
            <w:vAlign w:val="bottom"/>
            <w:gridSpan w:val="8"/>
            <w:vMerge w:val="continue"/>
          </w:tcPr>
          <w:p>
            <w:pPr>
              <w:spacing w:after="0"/>
              <w:rPr>
                <w:sz w:val="14"/>
                <w:szCs w:val="14"/>
                <w:color w:val="auto"/>
              </w:rPr>
            </w:pPr>
          </w:p>
        </w:tc>
        <w:tc>
          <w:tcPr>
            <w:tcW w:w="620" w:type="dxa"/>
            <w:vAlign w:val="bottom"/>
            <w:gridSpan w:val="4"/>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2025 and December 31, 2024</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March 31,</w:t>
            </w:r>
          </w:p>
        </w:tc>
        <w:tc>
          <w:tcPr>
            <w:tcW w:w="20" w:type="dxa"/>
            <w:vAlign w:val="bottom"/>
          </w:tcPr>
          <w:p>
            <w:pPr>
              <w:spacing w:after="0"/>
              <w:rPr>
                <w:sz w:val="18"/>
                <w:szCs w:val="18"/>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2025 and 2024</w:t>
            </w:r>
          </w:p>
        </w:tc>
        <w:tc>
          <w:tcPr>
            <w:tcW w:w="8020" w:type="dxa"/>
            <w:vAlign w:val="bottom"/>
            <w:gridSpan w:val="15"/>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Borders>
              <w:bottom w:val="single" w:sz="8" w:color="0000FF"/>
            </w:tcBorders>
            <w:gridSpan w:val="4"/>
            <w:vMerge w:val="continue"/>
          </w:tcPr>
          <w:p>
            <w:pPr>
              <w:spacing w:after="0"/>
              <w:rPr>
                <w:sz w:val="5"/>
                <w:szCs w:val="5"/>
                <w:color w:val="auto"/>
              </w:rPr>
            </w:pPr>
          </w:p>
        </w:tc>
        <w:tc>
          <w:tcPr>
            <w:tcW w:w="8020" w:type="dxa"/>
            <w:vAlign w:val="bottom"/>
            <w:gridSpan w:val="15"/>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2025 and</w:t>
            </w: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top w:val="single" w:sz="8" w:color="0000FF"/>
            </w:tcBorders>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4"/>
              </w:rPr>
              <w:t>2024</w:t>
            </w:r>
          </w:p>
        </w:tc>
        <w:tc>
          <w:tcPr>
            <w:tcW w:w="24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58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680" w:type="dxa"/>
            <w:vAlign w:val="bottom"/>
            <w:tcBorders>
              <w:top w:val="single" w:sz="8" w:color="0000FF"/>
            </w:tcBorders>
          </w:tcPr>
          <w:p>
            <w:pPr>
              <w:spacing w:after="0"/>
              <w:rPr>
                <w:sz w:val="6"/>
                <w:szCs w:val="6"/>
                <w:color w:val="auto"/>
              </w:rPr>
            </w:pPr>
          </w:p>
        </w:tc>
        <w:tc>
          <w:tcPr>
            <w:tcW w:w="380" w:type="dxa"/>
            <w:vAlign w:val="bottom"/>
            <w:tcBorders>
              <w:top w:val="single" w:sz="8" w:color="0000FF"/>
            </w:tcBorders>
          </w:tcPr>
          <w:p>
            <w:pPr>
              <w:spacing w:after="0"/>
              <w:rPr>
                <w:sz w:val="6"/>
                <w:szCs w:val="6"/>
                <w:color w:val="auto"/>
              </w:rPr>
            </w:pPr>
          </w:p>
        </w:tc>
        <w:tc>
          <w:tcPr>
            <w:tcW w:w="1160" w:type="dxa"/>
            <w:vAlign w:val="bottom"/>
            <w:tcBorders>
              <w:top w:val="single" w:sz="8" w:color="0000FF"/>
            </w:tcBorders>
          </w:tcPr>
          <w:p>
            <w:pPr>
              <w:spacing w:after="0"/>
              <w:rPr>
                <w:sz w:val="6"/>
                <w:szCs w:val="6"/>
                <w:color w:val="auto"/>
              </w:rPr>
            </w:pPr>
          </w:p>
        </w:tc>
        <w:tc>
          <w:tcPr>
            <w:tcW w:w="148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top w:val="single" w:sz="8" w:color="0000FF"/>
              <w:bottom w:val="single" w:sz="8" w:color="0000FF"/>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1500" w:type="dxa"/>
            <w:vAlign w:val="bottom"/>
            <w:gridSpan w:val="2"/>
          </w:tcPr>
          <w:p>
            <w:pPr>
              <w:spacing w:after="0"/>
              <w:rPr>
                <w:sz w:val="19"/>
                <w:szCs w:val="19"/>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00" w:type="dxa"/>
            <w:vAlign w:val="bottom"/>
            <w:gridSpan w:val="5"/>
          </w:tcPr>
          <w:p>
            <w:pPr>
              <w:spacing w:after="0"/>
              <w:rPr>
                <w:sz w:val="19"/>
                <w:szCs w:val="19"/>
                <w:color w:val="auto"/>
              </w:rPr>
            </w:pPr>
          </w:p>
        </w:tc>
        <w:tc>
          <w:tcPr>
            <w:tcW w:w="1500" w:type="dxa"/>
            <w:vAlign w:val="bottom"/>
            <w:gridSpan w:val="2"/>
          </w:tcPr>
          <w:p>
            <w:pPr>
              <w:spacing w:after="0"/>
              <w:rPr>
                <w:sz w:val="19"/>
                <w:szCs w:val="19"/>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400" w:type="dxa"/>
            <w:vAlign w:val="bottom"/>
            <w:gridSpan w:val="3"/>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24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400" w:type="dxa"/>
            <w:vAlign w:val="bottom"/>
            <w:gridSpan w:val="3"/>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708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gridSpan w:val="2"/>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6"/>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1"/>
                <w:szCs w:val="21"/>
                <w:color w:val="auto"/>
              </w:rPr>
            </w:pPr>
          </w:p>
        </w:tc>
        <w:tc>
          <w:tcPr>
            <w:tcW w:w="6780" w:type="dxa"/>
            <w:vAlign w:val="bottom"/>
            <w:gridSpan w:val="10"/>
          </w:tcPr>
          <w:p>
            <w:pPr>
              <w:spacing w:after="0"/>
              <w:rPr>
                <w:sz w:val="21"/>
                <w:szCs w:val="21"/>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4"/>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06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condensed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Insurance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including the expansion of Clover Assistant technology for external payors and providers serving the Medicare eligible population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beneficiary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loss ratios;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continued compliance with Nasdaq's listing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high inflation and fluctuating interest rates.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our Chief Financial Officer, Peter Kuipers.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$4,653; 2024: $27,153)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$0; 2024: $15)</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343,124</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$216,583; 2024: $203,147)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$14,011; 2024: $13,913)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non-current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580,742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213,516</w:t>
            </w: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March 31, 2025 and December 31,</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 414,161,536 and 414,493,051 issued and outstanding at March 31, 2025 and December 31, 2024,</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March 31, 2025 and December 31,</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92,375,003 and 89,032,305 issued and outstanding at March 31, 2025 and December 31, 2024, respectively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2,576,471</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(2,202,803)</w:t>
            </w:r>
          </w:p>
        </w:tc>
        <w:tc>
          <w:tcPr>
            <w:tcW w:w="0" w:type="dxa"/>
            <w:vAlign w:val="bottom"/>
          </w:tcPr>
          <w:p>
            <w:pPr>
              <w:spacing w:after="0"/>
              <w:rPr>
                <w:sz w:val="1"/>
                <w:szCs w:val="1"/>
                <w:color w:val="auto"/>
              </w:rPr>
            </w:pPr>
          </w:p>
        </w:tc>
      </w:tr>
      <w:tr>
        <w:trPr>
          <w:trHeight w:val="176"/>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25,655,588 and 18,752,947 shares held at March 31, 2025 and December 31, 2024,</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341,143</w:t>
            </w:r>
          </w:p>
        </w:tc>
        <w:tc>
          <w:tcPr>
            <w:tcW w:w="0" w:type="dxa"/>
            <w:vAlign w:val="bottom"/>
          </w:tcPr>
          <w:p>
            <w:pPr>
              <w:spacing w:after="0"/>
              <w:rPr>
                <w:sz w:val="1"/>
                <w:szCs w:val="1"/>
                <w:color w:val="auto"/>
              </w:rPr>
            </w:pP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583,717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580,742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INCOME (LOSS)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8"/>
        </w:trPr>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1"/>
        </w:trPr>
        <w:tc>
          <w:tcPr>
            <w:tcW w:w="8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20" w:type="dxa"/>
            <w:vAlign w:val="bottom"/>
            <w:tcBorders>
              <w:bottom w:val="single" w:sz="8" w:color="auto"/>
            </w:tcBorders>
          </w:tcPr>
          <w:p>
            <w:pPr>
              <w:spacing w:after="0"/>
              <w:rPr>
                <w:sz w:val="20"/>
                <w:szCs w:val="20"/>
                <w:color w:val="auto"/>
              </w:rPr>
            </w:pPr>
          </w:p>
        </w:tc>
      </w:tr>
      <w:tr>
        <w:trPr>
          <w:trHeight w:val="225"/>
        </w:trPr>
        <w:tc>
          <w:tcPr>
            <w:tcW w:w="87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$95 and $101 for the three months ended March 31, 2025 and 2024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1"/>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341,722</w:t>
            </w:r>
          </w:p>
        </w:tc>
      </w:tr>
      <w:tr>
        <w:trPr>
          <w:trHeight w:val="23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3"/>
        </w:trPr>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346,922</w:t>
            </w:r>
          </w:p>
        </w:tc>
      </w:tr>
      <w:tr>
        <w:trPr>
          <w:trHeight w:val="270"/>
        </w:trPr>
        <w:tc>
          <w:tcPr>
            <w:tcW w:w="8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265,162</w:t>
            </w:r>
          </w:p>
        </w:tc>
      </w:tr>
      <w:tr>
        <w:trPr>
          <w:trHeight w:val="229"/>
        </w:trPr>
        <w:tc>
          <w:tcPr>
            <w:tcW w:w="8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59,223</w:t>
            </w:r>
          </w:p>
        </w:tc>
      </w:tr>
      <w:tr>
        <w:trPr>
          <w:trHeight w:val="23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r>
      <w:tr>
        <w:trPr>
          <w:trHeight w:val="229"/>
        </w:trPr>
        <w:tc>
          <w:tcPr>
            <w:tcW w:w="8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8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369,625</w:t>
            </w:r>
          </w:p>
        </w:tc>
      </w:tr>
      <w:tr>
        <w:trPr>
          <w:trHeight w:val="223"/>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70"/>
        </w:trPr>
        <w:tc>
          <w:tcPr>
            <w:tcW w:w="8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w:t>
            </w: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8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(19,170)</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87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number of class A and class B common shares and common share equivalents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497,056,331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486,374,644</w:t>
            </w:r>
          </w:p>
        </w:tc>
      </w:tr>
      <w:tr>
        <w:trPr>
          <w:trHeight w:val="230"/>
        </w:trPr>
        <w:tc>
          <w:tcPr>
            <w:tcW w:w="8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8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87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8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w:t>
            </w:r>
          </w:p>
        </w:tc>
      </w:tr>
      <w:tr>
        <w:trPr>
          <w:trHeight w:val="21"/>
        </w:trPr>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6318885</wp:posOffset>
            </wp:positionH>
            <wp:positionV relativeFrom="paragraph">
              <wp:posOffset>-4577080</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61"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8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7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B Common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5"/>
                <w:szCs w:val="15"/>
                <w:color w:val="auto"/>
              </w:rPr>
            </w:pPr>
          </w:p>
        </w:tc>
        <w:tc>
          <w:tcPr>
            <w:tcW w:w="10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820" w:type="dxa"/>
            <w:vAlign w:val="bottom"/>
            <w:gridSpan w:val="6"/>
            <w:vMerge w:val="continue"/>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74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6"/>
                <w:szCs w:val="16"/>
                <w:color w:val="auto"/>
              </w:rPr>
            </w:pPr>
          </w:p>
        </w:tc>
        <w:tc>
          <w:tcPr>
            <w:tcW w:w="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vMerge w:val="continue"/>
          </w:tcPr>
          <w:p>
            <w:pPr>
              <w:spacing w:after="0"/>
              <w:rPr>
                <w:sz w:val="16"/>
                <w:szCs w:val="16"/>
                <w:color w:val="auto"/>
              </w:rPr>
            </w:pPr>
          </w:p>
        </w:tc>
        <w:tc>
          <w:tcPr>
            <w:tcW w:w="1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401,183,882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87,867,732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7,912,750</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(12,729)</w:t>
            </w:r>
          </w:p>
        </w:tc>
        <w:tc>
          <w:tcPr>
            <w:tcW w:w="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2,461,238</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(2,159,794)</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286,394</w:t>
            </w:r>
          </w:p>
        </w:tc>
        <w:tc>
          <w:tcPr>
            <w:tcW w:w="0" w:type="dxa"/>
            <w:vAlign w:val="bottom"/>
          </w:tcPr>
          <w:p>
            <w:pPr>
              <w:spacing w:after="0"/>
              <w:rPr>
                <w:sz w:val="1"/>
                <w:szCs w:val="1"/>
                <w:color w:val="auto"/>
              </w:rPr>
            </w:pPr>
          </w:p>
        </w:tc>
      </w:tr>
      <w:tr>
        <w:trPr>
          <w:trHeight w:val="23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c>
          <w:tcPr>
            <w:tcW w:w="0" w:type="dxa"/>
            <w:vAlign w:val="bottom"/>
          </w:tcPr>
          <w:p>
            <w:pPr>
              <w:spacing w:after="0"/>
              <w:rPr>
                <w:sz w:val="1"/>
                <w:szCs w:val="1"/>
                <w:color w:val="auto"/>
              </w:rPr>
            </w:pPr>
          </w:p>
        </w:tc>
      </w:tr>
      <w:tr>
        <w:trPr>
          <w:trHeight w:val="176"/>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75"/>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Treasury</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(3,700,995)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3,700,995</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0" w:type="dxa"/>
            <w:vAlign w:val="bottom"/>
          </w:tcPr>
          <w:p>
            <w:pPr>
              <w:spacing w:after="0"/>
              <w:rPr>
                <w:sz w:val="1"/>
                <w:szCs w:val="1"/>
                <w:color w:val="auto"/>
              </w:rPr>
            </w:pPr>
          </w:p>
        </w:tc>
      </w:tr>
      <w:tr>
        <w:trPr>
          <w:trHeight w:val="155"/>
        </w:trPr>
        <w:tc>
          <w:tcPr>
            <w:tcW w:w="1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406,155,332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89,649,365</w:t>
            </w:r>
          </w:p>
        </w:tc>
        <w:tc>
          <w:tcPr>
            <w:tcW w:w="8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11,613,745</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(16,088)</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2,490,036</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(2,178,964)</w:t>
            </w:r>
          </w:p>
        </w:tc>
        <w:tc>
          <w:tcPr>
            <w:tcW w:w="8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8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292,474</w:t>
            </w:r>
          </w:p>
        </w:tc>
        <w:tc>
          <w:tcPr>
            <w:tcW w:w="0" w:type="dxa"/>
            <w:vAlign w:val="bottom"/>
          </w:tcPr>
          <w:p>
            <w:pPr>
              <w:spacing w:after="0"/>
              <w:rPr>
                <w:sz w:val="1"/>
                <w:szCs w:val="1"/>
                <w:color w:val="auto"/>
              </w:rPr>
            </w:pPr>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414,493,051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89,032,305</w:t>
            </w:r>
          </w:p>
        </w:tc>
        <w:tc>
          <w:tcPr>
            <w:tcW w:w="8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18,752,947</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(30,991)</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2,576,471</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(2,202,803)</w:t>
            </w:r>
          </w:p>
        </w:tc>
        <w:tc>
          <w:tcPr>
            <w:tcW w:w="8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8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341,143</w:t>
            </w:r>
          </w:p>
        </w:tc>
        <w:tc>
          <w:tcPr>
            <w:tcW w:w="0" w:type="dxa"/>
            <w:vAlign w:val="bottom"/>
          </w:tcPr>
          <w:p>
            <w:pPr>
              <w:spacing w:after="0"/>
              <w:rPr>
                <w:sz w:val="1"/>
                <w:szCs w:val="1"/>
                <w:color w:val="auto"/>
              </w:rPr>
            </w:pPr>
          </w:p>
        </w:tc>
      </w:tr>
      <w:tr>
        <w:trPr>
          <w:trHeight w:val="238"/>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for</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 of</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of early</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6,431,417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3,342,698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holdings gain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on investment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available for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Treasury</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1,833,218</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0" w:type="dxa"/>
            <w:vAlign w:val="bottom"/>
          </w:tcPr>
          <w:p>
            <w:pPr>
              <w:spacing w:after="0"/>
              <w:rPr>
                <w:sz w:val="1"/>
                <w:szCs w:val="1"/>
                <w:color w:val="auto"/>
              </w:rPr>
            </w:pPr>
          </w:p>
        </w:tc>
      </w:tr>
      <w:tr>
        <w:trPr>
          <w:trHeight w:val="175"/>
        </w:trPr>
        <w:tc>
          <w:tcPr>
            <w:tcW w:w="12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Repurchases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of common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414,161,536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92,375,003</w:t>
            </w:r>
          </w:p>
        </w:tc>
        <w:tc>
          <w:tcPr>
            <w:tcW w:w="8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25,655,588</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(62,947)</w:t>
            </w: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2,603,123</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(2,204,077)</w:t>
            </w:r>
          </w:p>
        </w:tc>
        <w:tc>
          <w:tcPr>
            <w:tcW w:w="8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336,075</w:t>
            </w:r>
          </w:p>
        </w:tc>
        <w:tc>
          <w:tcPr>
            <w:tcW w:w="0" w:type="dxa"/>
            <w:vAlign w:val="bottom"/>
          </w:tcPr>
          <w:p>
            <w:pPr>
              <w:spacing w:after="0"/>
              <w:rPr>
                <w:sz w:val="1"/>
                <w:szCs w:val="1"/>
                <w:color w:val="auto"/>
              </w:rPr>
            </w:pPr>
          </w:p>
        </w:tc>
      </w:tr>
      <w:tr>
        <w:trPr>
          <w:trHeight w:val="21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060"/>
          </w:cols>
          <w:pgMar w:left="420" w:top="661" w:right="419" w:bottom="1440" w:gutter="0" w:footer="0" w:header="0"/>
        </w:sectPr>
      </w:pP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61" w:right="4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(19,170)</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investment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8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(48,531)</w:t>
            </w: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102,383</w:t>
            </w: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29"/>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23"/>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(24,105)</w:t>
            </w:r>
          </w:p>
        </w:tc>
      </w:tr>
      <w:tr>
        <w:trPr>
          <w:trHeight w:val="229"/>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33,735</w:t>
            </w:r>
          </w:p>
        </w:tc>
      </w:tr>
      <w:tr>
        <w:trPr>
          <w:trHeight w:val="230"/>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acquired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31,761</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176,494</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661"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2024 (the "2024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2024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carrying value in an equity method investee company is reduced to zero, no further losses are recorded in the Company's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Insurance. The Insurance segment provides PPO and HMO plans to Medicare Advantage members in several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 - cloud computing arrangements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Income (Loss). For the three months ended March 31, 2025 and 2024, charges related to deferred acquisition costs of $2.9 million and $1.1 million, respectively, were recognized within General and administrative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presented in prior periods have been reclassified to conform to the current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three months ended March 31, 2025 that had a material impact on the Company's condensed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aim to provide more transparency regarding tax disclosures mainly related to the rate reconciliation and income taxes paid information. ASU 2023-09 is effective for fiscal years beginning after December 15, 2024. The Company is currently evaluating the impact of ASU 2023-09 on its condensed consolidated financial statements and related disclosures.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March 31, 2025 and December 31, 2024, respectively:</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129,068</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91,808</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235,483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235,173</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-2956560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-2630805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-2305050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March 31, 2025, by contractual maturity: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223"/>
        </w:trPr>
        <w:tc>
          <w:tcPr>
            <w:tcW w:w="5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5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216,506</w:t>
            </w: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221,162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9"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respectively, net investment income, which is included in Other income in the Condensed Consolidated Statements of Operations and Comprehensive Income (Loss), was derived from the following sources: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90" w:lineRule="exact"/>
        <w:rPr>
          <w:sz w:val="20"/>
          <w:szCs w:val="20"/>
          <w:color w:val="auto"/>
        </w:rPr>
      </w:pPr>
    </w:p>
    <w:p>
      <w:pPr>
        <w:jc w:val="right"/>
        <w:ind w:right="596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2"/>
        </w:trPr>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5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79"/>
        </w:trPr>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8"/>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-693420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-367665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600"/>
          </w:cols>
          <w:pgMar w:left="320" w:top="931" w:right="339" w:bottom="1440" w:gutter="0" w:footer="0" w:header="0"/>
          <w:type w:val="continuous"/>
        </w:sectPr>
      </w:pP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March 31, 2025 and December 31, 2024,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19"/>
                <w:szCs w:val="19"/>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39,058</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79,378</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51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80" w:type="dxa"/>
            <w:vAlign w:val="bottom"/>
          </w:tcPr>
          <w:p>
            <w:pPr>
              <w:spacing w:after="0"/>
              <w:rPr>
                <w:sz w:val="24"/>
                <w:szCs w:val="24"/>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5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March 31, 2025 and December 31,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March 31, 2025,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Income (Loss), were as follows for the three months ended March 31, 2025 and 2024,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gains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realized gains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2"/>
        </w:trPr>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5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33,735</w:t>
            </w:r>
          </w:p>
        </w:tc>
      </w:tr>
      <w:tr>
        <w:trPr>
          <w:trHeight w:val="500"/>
        </w:trPr>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20" w:space="720"/>
            <w:col w:w="2600"/>
          </w:cols>
          <w:pgMar w:left="320" w:top="931" w:right="339" w:bottom="1440" w:gutter="0" w:footer="0" w:header="0"/>
          <w:type w:val="continuous"/>
        </w:sectPr>
      </w:pPr>
    </w:p>
    <w:p>
      <w:pPr>
        <w:spacing w:after="0" w:line="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Company had $14.9 million and $14.7 million, respectively, in deposits with various states and regulatory bodies that are included as part of the Company's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March 31, 2025 and December 31, 2024,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129,068</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129,068</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91,808</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91,808</w:t>
            </w:r>
          </w:p>
        </w:tc>
      </w:tr>
      <w:tr>
        <w:trPr>
          <w:trHeight w:val="25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8"/>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during the three months ended March 31,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38"/>
        </w:trPr>
        <w:tc>
          <w:tcPr>
            <w:tcW w:w="9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Receivable</w:t>
            </w:r>
          </w:p>
        </w:tc>
      </w:tr>
      <w:tr>
        <w:trPr>
          <w:trHeight w:val="27"/>
        </w:trPr>
        <w:tc>
          <w:tcPr>
            <w:tcW w:w="9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9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4"/>
        </w:trPr>
        <w:tc>
          <w:tcPr>
            <w:tcW w:w="9980" w:type="dxa"/>
            <w:vAlign w:val="bottom"/>
          </w:tcPr>
          <w:p>
            <w:pPr>
              <w:jc w:val="center"/>
              <w:ind w:right="7970"/>
              <w:spacing w:after="0"/>
              <w:rPr>
                <w:sz w:val="20"/>
                <w:szCs w:val="20"/>
                <w:color w:val="auto"/>
              </w:rPr>
            </w:pPr>
            <w:r>
              <w:rPr>
                <w:rFonts w:ascii="Times New Roman" w:cs="Times New Roman" w:eastAsia="Times New Roman" w:hAnsi="Times New Roman"/>
                <w:sz w:val="18"/>
                <w:szCs w:val="18"/>
                <w:color w:val="auto"/>
                <w:w w:val="99"/>
              </w:rPr>
              <w:t>Total unrealized losses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9980" w:type="dxa"/>
            <w:vAlign w:val="bottom"/>
            <w:tcBorders>
              <w:bottom w:val="single" w:sz="8" w:color="CCEEFF"/>
            </w:tcBorders>
            <w:shd w:val="clear" w:color="auto" w:fill="CCEEFF"/>
          </w:tcPr>
          <w:p>
            <w:pPr>
              <w:jc w:val="center"/>
              <w:ind w:right="7970"/>
              <w:spacing w:after="0"/>
              <w:rPr>
                <w:sz w:val="20"/>
                <w:szCs w:val="20"/>
                <w:color w:val="auto"/>
              </w:rPr>
            </w:pPr>
            <w:r>
              <w:rPr>
                <w:rFonts w:ascii="Times New Roman" w:cs="Times New Roman" w:eastAsia="Times New Roman" w:hAnsi="Times New Roman"/>
                <w:sz w:val="18"/>
                <w:szCs w:val="18"/>
                <w:color w:val="auto"/>
                <w:w w:val="99"/>
              </w:rPr>
              <w:t>Balance, March 31,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0"/>
        </w:trPr>
        <w:tc>
          <w:tcPr>
            <w:tcW w:w="9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3 financial assets or liabilities for the three months ended March 31, 2025 or March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the Company had exercisable private warrants which were embedded in several agreements as derivatives. These private warrants were accounted for as assets in accordance with ASC 815-40 and are presented in Other assets, non-current in the Condensed Consolidated Balance Sheets. The warrant assets are measured at fair value at inception and on a recurring basis until redeemed, with changes in fair value presented in Change in fair value of warrants in the Condensed Consolidated Statements of Operations and Comprehensive Income (Loss). These private warrants were classified within Level 3 due to the subjectivity and use of estimates in the calculation of their fair value. These warrants at measurement date, December 31, 2024, were assessed to have a fair value of $0.8 million, with no other activity for the three months ended March 31, 2025. The Company reassesses the fair values of the warrants based on updated estimates and for the three months ended March 31, 2025, there were zero unrealized losses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$53.5 million and $51.5 million within Healthcare receivables at March 31,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Expenses and fees incurred related to Clover's contracts with CarePoint Health, recorded in Net medical claims incurred, in the Condensed Consolidated Statements of Operations and Comprehensive Income (Loss), were $1.8 million and $0.5 million for the three months ended March 31, 2025 and 2024, respectively. Additionally, $0.9 million and $1.0 million were payable to CarePoint Health at March 31, 2025 and December 31, 2024, respectively.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However, Mr. Garipalli and certain affiliates of Mr. Garipalli are owed certain money from CarePoint Health for prior obligations.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$0.2 million and $0.1 million for the three months ended March 31, 2025 and 2024, respectively.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$1.8 million at March 31, 2025, and is recognized in Other assets, non-current, in the Condensed Consolidated Balance Sheets. In accordance with ASC 321, any changes in fair value associated with these shares are recognized in the Condensed Consolidated Statements of Operations and Comprehensive Income (Loss). Mr. Garipalli is a member of the board of directors of Thyme Care and holds an equity interest of less than five percent (5%) of that entity. Expenses and fees incurred related to this agreement were $2.7 million and none for the three months ended March 31, 2025 and 2024, respectively. Additionally, $5.5 million and $3.3 million were payable to Thyme Care at March 31, 2025, and December 31, 2024,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three months ended March 31, 2025 and 2024,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137,100</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277,871</w:t>
            </w:r>
          </w:p>
        </w:tc>
      </w:tr>
      <w:tr>
        <w:trPr>
          <w:trHeight w:val="229"/>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260,224</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84,549</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73,292</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157,841</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239,483</w:t>
            </w: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-934085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Unpaid claims for Insurance operations were $151.0 million at March 31, 2025. During the three months ended March 31, 2025, $122.6 million was paid for incurred claims attributable to insured events of prior years. A favorable development of $11.5 million was recognized during the three months ended March 31, 2025, resulting from the Company's actual experience with claims developing differently as compared to the Company's estimates at December 31, 2023. A favorable development of $17.6 million was recognized during the three months ended March 31, 2024, resulting from the Company's actual experience with claims developing differently as compared to the Company's estimates at December 31, 2023. Original estimates are increased or decreased, as additional information becomes known regarding individual claims. The ratio of current year medical claims paid as a percentage of current year Net medical claims incurred was 64.0% for the three months ended March 31, 2025, and 30.4% for the three months ended March 31, 2024. This ratio serves as an indicator of claims processing speed, indicating that claims were processed at a faster rate during the three months ended March 31, 2025, than during the three months ended March 31, 2024. As a result of faster claims processing, unpaid claims liability decreased which was primarily due to claim submission and payment process improvements.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Entity and Equity Method of Accounting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Since that initial financing, Character Biosciences has completed a series of additional capital raises through the issuance of its shares, each of which diluted the Company’s ownership. As of March 31, 2025, the Company’s ownership interest in Character Biosciences had decreased to approximately 9.1%.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it does have a significant influence over Character Biosciences and, therefore recognizes its common stock investment in Character Biosciences using the equity method. As the Company applies the equity method,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Consolidated Statements of Operations and Comprehensive Income (Loss).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323, the Company recognized the proportionate share of Character Bioscience's net loss up to the investment carrying amount. As of March 31, 2024, the investment carrying amount was reduced to zero through cumulative shared losses. Until such point that the Company's cumulative shared gains are in excess of the Company's cumulative shared losses, the Company cannot recognize any further activity. As a result, the Company recognized no shared loss for the three months ended March 31, 2025 and a $0.5 million shared loss for the three months ended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for both the three months ended March 31, 2025 and 2024 and are included in Salaries and benefits in the Condensed Consolidated Statements of Operations and Comprehensive Income (Loss). The Company's cash match is invested pursuant to the participant's contribution direction. Employer contributions are immediately 100.0% vested.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March 31, 2025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38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3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34,051,674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5180" w:type="dxa"/>
            <w:vAlign w:val="bottom"/>
            <w:gridSpan w:val="3"/>
          </w:tcPr>
          <w:p>
            <w:pPr>
              <w:ind w:left="4300"/>
              <w:spacing w:after="0"/>
              <w:rPr>
                <w:sz w:val="20"/>
                <w:szCs w:val="20"/>
                <w:color w:val="auto"/>
              </w:rPr>
            </w:pPr>
            <w:r>
              <w:rPr>
                <w:rFonts w:ascii="Times New Roman" w:cs="Times New Roman" w:eastAsia="Times New Roman" w:hAnsi="Times New Roman"/>
                <w:sz w:val="18"/>
                <w:szCs w:val="18"/>
                <w:color w:val="auto"/>
              </w:rPr>
              <w:t>97,638,080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39,933,917</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19,766,014</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5180" w:type="dxa"/>
            <w:vAlign w:val="bottom"/>
            <w:gridSpan w:val="3"/>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20,056,191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5180" w:type="dxa"/>
            <w:vAlign w:val="bottom"/>
            <w:gridSpan w:val="3"/>
          </w:tcPr>
          <w:p>
            <w:pPr>
              <w:ind w:left="4320"/>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5,680,492</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4"/>
        </w:trPr>
        <w:tc>
          <w:tcPr>
            <w:tcW w:w="3380" w:type="dxa"/>
            <w:vAlign w:val="bottom"/>
          </w:tcPr>
          <w:p>
            <w:pPr>
              <w:spacing w:after="0"/>
              <w:rPr>
                <w:sz w:val="24"/>
                <w:szCs w:val="24"/>
                <w:color w:val="auto"/>
              </w:rPr>
            </w:pPr>
          </w:p>
        </w:tc>
        <w:tc>
          <w:tcPr>
            <w:tcW w:w="3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for stock options, RSUs, and PRSUs granted under the Plans, and discounts offered in connection with the Company's 2020 Employee Stock Purchase Plan ("ESPP") of $26.4 million and $28.8 million during the three months ended March 31, 2025 and 2024, respectively, and such expenses are presented in Salaries and benefits in the Condensed Consolidated Statements of Operations and Comprehensive Income (Loss).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Income (Loss)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r>
      <w:tr>
        <w:trPr>
          <w:trHeight w:val="23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9"/>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8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there was approximately $383.0 million of unrecognized stock-based compensation expense related to unvested stock options, unvested RSUs, unvested PRSUs and the ESPP.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three months ended March 31, 2025 and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three months ended March 31,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48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48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48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48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8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-574040</wp:posOffset>
            </wp:positionV>
            <wp:extent cx="51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-736600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three months ended March 31,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1"/>
                <w:szCs w:val="21"/>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23,465,666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23,304,747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outstanding stock options, substantially all of which are expected to vest, had an aggregate intrinsic value of $29.9 million, and a weighted-average remaining contractual term of four years. At March 31, 2025, there were 24,017,969 options exercisable under the Plan, with an aggregate intrinsic value of $29.9 million, a weighted-average exercise price of $2.93 per share, and a weighted-average remaining contractual term of 4.23 years. The total value of stock options exercised during the three months ended March 31, 2025 and 2024 was $0.5 million and none, respectively. Cash received from stock option exercises during the three months ended March 31, 2025 and 2024 totaled $0.2 million and none,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55,731,587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46,399,272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PRSU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assumptions that the Company used in the Monte Carlo model to determine the grant date fair value of Market PRSUs granted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63"/>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70"/>
        </w:trPr>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ind w:left="180" w:hanging="154"/>
        <w:spacing w:after="0" w:line="21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Expected volatility is based on a blend of peer group company historical data adjusted for the Company's leverage.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Risk-free interest rate based on U.S. Treasury yields with a term equal to the remaining Performance Period as of the grant date.</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191"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200" w:lineRule="exact"/>
        <w:rPr>
          <w:sz w:val="20"/>
          <w:szCs w:val="20"/>
          <w:color w:val="auto"/>
        </w:rPr>
      </w:pPr>
    </w:p>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the market condition component of these PRSUs has not been met, so the awards have not been earned. This expense represents most of the PRSU expense recognized for the three months ended March 31, 2025 related to stock-based compensation plans which is presented in Salaries and benefits in the Condensed Consolidated Statements of Operations and Comprehensive Income (Loss). The Company has also determined the requisite service period for the PRSUs with multiple performance conditions to be the longest of the explicit, implicit, or derived service period for each tranche.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6"/>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29,151,407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29,214,073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there was $8.8 million of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March 31, 2025, 12,627,465 shares of Class A common stock were available for issuance under the ESPP.</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November 23, 2024 to May 21,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4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months ended March 31, 2025 and 2024, was 0.0% and 0.0%, respectively. The Company continues to be in a net operating loss for the three months ended March 31, 2025 and net deferred tax asset position. As a result, and in accordance with accounting standards, the Company recorded a valuation allowance to reduce the value of the net deferred tax assets to zero. The Company believes that at March 31, 2025, it had no material uncertain tax positions. Interest and penalties related to unrecognized tax expense (benefits) are recognized in income tax expense, when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March 31, 2025 and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31"/>
        </w:trPr>
        <w:tc>
          <w:tcPr>
            <w:tcW w:w="8640" w:type="dxa"/>
            <w:vAlign w:val="bottom"/>
          </w:tcPr>
          <w:p>
            <w:pPr>
              <w:spacing w:after="0"/>
              <w:rPr>
                <w:sz w:val="11"/>
                <w:szCs w:val="11"/>
                <w:color w:val="auto"/>
              </w:rPr>
            </w:pPr>
          </w:p>
        </w:tc>
        <w:tc>
          <w:tcPr>
            <w:tcW w:w="260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for per share and</w:t>
            </w:r>
          </w:p>
        </w:tc>
      </w:tr>
      <w:tr>
        <w:trPr>
          <w:trHeight w:val="195"/>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share amounts)</w:t>
            </w:r>
          </w:p>
        </w:tc>
      </w:tr>
      <w:tr>
        <w:trPr>
          <w:trHeight w:val="23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common stockholders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common 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common share equivalents outstanding, basic and diluted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497,056,331</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486,374,644</w:t>
            </w:r>
          </w:p>
        </w:tc>
      </w:tr>
      <w:tr>
        <w:trPr>
          <w:trHeight w:val="257"/>
        </w:trPr>
        <w:tc>
          <w:tcPr>
            <w:tcW w:w="8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from 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 from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loss per share of common stock: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24,108,874</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24,851,924</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46,399,272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49,186,140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29,214,073</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31,829,294</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 excluded from computation of net loss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99,722,219</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105,867,358</w:t>
            </w: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March 31, 2025, and December 31, 2024,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Securities Class Actions, Derivative Litigation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asserted violations of sections 10(b) and 20(a) of the Exchange Act and Rule 10b-5 promulgated under the Exchange Act. The Kaul action asserted additional claims under sections 11 and 15 of the Securities Act. The complaints generally related to allegations published in the Hindenburg Article. In April 2021, the Middle District of Tennessee class actions were consolidated under Bond v. Clover Health Investments, Corp. et al., Case No. 3:21-cv-00096 (M.D. Tenn.) as the lead case. On April 21, 2023, the parties to the securities class action entered into a memorandum of understanding providing for the settlement of the action. The Court approved the settlement and dismissed the action with prejudice on October 3, 2023. Under the settlement, the class received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shareholder derivative actions parallel to the securities class action were also filed, naming Clover as a nominal defendant. The first action was filed in the United States District Court for the District of Delaware and was captioned Furman v. Garipalli, et al., Case No. 1:21-cv-00191 (D. Del.). The second and third actions were filed in the United States District Court for the Middle District of Tennessee and were captioned Sun v. Garipalli, et al., Case No. 3:21-cv-00311 (M.D. Tenn.), and Luthra v. Garipalli, et al., Case No. 3:21-cv-00320 (M.D. Tenn.). The fourth action was filed in the United States District of Delaware and was captioned Wiegand v. Garipalli, et al., Case No. 1:21-cv-01053 (D. Del.). The fifth action was filed in the Supreme Court of the State of New York and was captioned Sankaranarayanan v. Palihapitiya, et al., Index No. 655420/2021 (N.Y. Sup. Ct., N.Y. Cnty.). The sixth action was filed in the Delaware Court of Chancery and was captioned Davies v. Garipalli, et al., No. 2021-1016-SG (Del. Ch.). The seventh action was filed in the Supreme Court of the State of New York and was captioned Uvaydov v. Palihapitiya, et al., Index No. 656978/2021 (N.Y Sup. Ct., N.Y. Cnty.). 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would provide the defendants in the derivative lawsuits with customary releases and will require the Company to implement a suite of corporate governance enhancements. On July 11, 2024, the United States District Court for the Middle District of Tennessee entered a final judgment approving the settlement. The settlement did not involve any monetary payment, other than payment of an award of fees and expenses to plaintiffs’ counsel in the amount of $2,500,000.</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13. Operating Segments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 Net income is used to monitor budget versus actual results. The CODM also uses net income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80" w:type="dxa"/>
            <w:vAlign w:val="bottom"/>
          </w:tcPr>
          <w:p>
            <w:pPr>
              <w:spacing w:after="0"/>
              <w:rPr>
                <w:sz w:val="19"/>
                <w:szCs w:val="19"/>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341,722</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266,076</w:t>
            </w: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58,335</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w:t>
            </w:r>
          </w:p>
        </w:tc>
      </w:tr>
      <w:tr>
        <w:trPr>
          <w:trHeight w:val="223"/>
        </w:trPr>
        <w:tc>
          <w:tcPr>
            <w:tcW w:w="8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Segment 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(26,590)</w:t>
            </w:r>
          </w:p>
        </w:tc>
      </w:tr>
      <w:tr>
        <w:trPr>
          <w:trHeight w:val="237"/>
        </w:trPr>
        <w:tc>
          <w:tcPr>
            <w:tcW w:w="8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412,426</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498,360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 Restrictions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March 31, 2025 and December 31, 2024, neither of the regulated insurance subsidiaries had been authorized nor paid any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These activities were concluded by December 31, 2024. During the three months ended March 31, 2025 and 2024, the Company recognized zero and $0.4 million, respectively, of expenses related to these activities in the Condensed Consolidated Statements of Operations and Comprehensive Income (Loss). As of March 31, 2025, the remaining vendor-related liability is being reduced through the contractually scheduled payments. This liability is recognized within Accounts payable and accrued expenses in the Condensed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16. Discontinued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2023, the Company notified CMS that it would no longer participate as a REACH ACO in connection with the 2024 performance year. The Company’s exit from the ACO REACH Program was made after the Company determined that it was in its best interest to fully exit the program, following its November 2022 announcement of a strategic reduction in the number of ACO REACH participating physicians in 2023. Subsequent to the 2023 performance year, the remaining activities related to the December 2024 settlement with CMS for prior performance years. During the three months ended March 31, 2025 and 2024, the Company recognized net income of zero and $4.0 million, respectively.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months ended March 31, 2025, contained in this Quarterly Report on Form 10-Q (the "Form 10-Q") and the audited consolidated financial statements and notes thereto for the year ended December 31, 2024, contained in the Company's Annual Report on Form 10-K for the year ended December 31, 2024, filed with the Securities and Exchange Commission (the "SEC") on March 3, 2025 (the "2024 Form 10-K"). This discussion contains forward-looking statements and involves numerous risks and uncertainties, including, but not limited to, those described in the "Risk Factors" section of the 2024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March 31, 2025, we operated our MA plans in five states and 200 counties, with 103,418 members.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8"/>
        </w:trPr>
        <w:tc>
          <w:tcPr>
            <w:tcW w:w="5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9"/>
                <w:szCs w:val="19"/>
                <w:color w:val="auto"/>
              </w:rPr>
            </w:pPr>
          </w:p>
        </w:tc>
      </w:tr>
      <w:tr>
        <w:trPr>
          <w:trHeight w:val="263"/>
        </w:trPr>
        <w:tc>
          <w:tcPr>
            <w:tcW w:w="5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r>
      <w:tr>
        <w:trPr>
          <w:trHeight w:val="190"/>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 except PMPM amounts)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members at period end (#)</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w:t>
            </w: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79,527</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gross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457,001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341,823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1,437</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341,722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medical claim expense incurred, gross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368,026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267,475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1,125</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net medical claims incurred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266,076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expense ratio, gross</w:t>
            </w:r>
          </w:p>
        </w:tc>
        <w:tc>
          <w:tcPr>
            <w:tcW w:w="300" w:type="dxa"/>
            <w:vAlign w:val="bottom"/>
          </w:tcPr>
          <w:p>
            <w:pPr>
              <w:spacing w:after="0"/>
              <w:rPr>
                <w:sz w:val="19"/>
                <w:szCs w:val="19"/>
                <w:color w:val="auto"/>
              </w:rPr>
            </w:pPr>
          </w:p>
        </w:tc>
        <w:tc>
          <w:tcPr>
            <w:tcW w:w="13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86.2 %</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80" w:type="dxa"/>
            <w:vAlign w:val="bottom"/>
          </w:tcPr>
          <w:p>
            <w:pPr>
              <w:spacing w:after="0"/>
              <w:rPr>
                <w:sz w:val="19"/>
                <w:szCs w:val="19"/>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expense ratio, net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86.1 %</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83,107</w:t>
            </w:r>
          </w:p>
        </w:tc>
        <w:tc>
          <w:tcPr>
            <w:tcW w:w="4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74,940</w:t>
            </w:r>
          </w:p>
        </w:tc>
        <w:tc>
          <w:tcPr>
            <w:tcW w:w="180" w:type="dxa"/>
            <w:vAlign w:val="bottom"/>
          </w:tcPr>
          <w:p>
            <w:pPr>
              <w:spacing w:after="0"/>
              <w:rPr>
                <w:sz w:val="19"/>
                <w:szCs w:val="19"/>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6,820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480" w:type="dxa"/>
            <w:vAlign w:val="bottom"/>
          </w:tcPr>
          <w:p>
            <w:pPr>
              <w:spacing w:after="0"/>
              <w:rPr>
                <w:sz w:val="20"/>
                <w:szCs w:val="20"/>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6,035</w:t>
            </w:r>
          </w:p>
        </w:tc>
        <w:tc>
          <w:tcPr>
            <w:tcW w:w="18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6" w:lineRule="exact"/>
        <w:rPr>
          <w:sz w:val="20"/>
          <w:szCs w:val="20"/>
          <w:color w:val="auto"/>
        </w:rPr>
      </w:pPr>
    </w:p>
    <w:p>
      <w:pPr>
        <w:ind w:left="20" w:right="20" w:firstLine="6"/>
        <w:spacing w:after="0" w:line="242" w:lineRule="auto"/>
        <w:tabs>
          <w:tab w:leader="none" w:pos="15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gross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GAAP.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Insurance gross medical claims incurred</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10-Q, including Insurance BER, Adjusted SG&amp;A and Adjusted EBITDA.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generally accepted accounting principles in the United States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condensed consolidated financial statements prepared in accordance with GAAP.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to the comparable GAAP measures, please see "Benefits expense ratio, gross and net", "Adjusted SG&amp;A"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expense ratio, gross and net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Net medical claims incurred and Premiums earned on a gross and net basis which are GAAP measures, to Insurance BER, a non-GAAP measure.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6"/>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gross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368,026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267,475</w:t>
            </w:r>
          </w:p>
        </w:tc>
      </w:tr>
      <w:tr>
        <w:trPr>
          <w:trHeight w:val="230"/>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25,712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18,205</w:t>
            </w:r>
          </w:p>
        </w:tc>
      </w:tr>
      <w:tr>
        <w:trPr>
          <w:trHeight w:val="223"/>
        </w:trPr>
        <w:tc>
          <w:tcPr>
            <w:tcW w:w="8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gross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393,738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285,680</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gross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457,001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341,823</w:t>
            </w:r>
          </w:p>
        </w:tc>
      </w:tr>
      <w:tr>
        <w:trPr>
          <w:trHeight w:val="229"/>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gross (non-GAAP)</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83.6 %</w:t>
            </w:r>
          </w:p>
        </w:tc>
      </w:tr>
      <w:tr>
        <w:trPr>
          <w:trHeight w:val="513"/>
        </w:trPr>
        <w:tc>
          <w:tcPr>
            <w:tcW w:w="8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6"/>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367,887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266,076</w:t>
            </w:r>
          </w:p>
        </w:tc>
      </w:tr>
      <w:tr>
        <w:trPr>
          <w:trHeight w:val="229"/>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Quality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25,712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18,205</w:t>
            </w:r>
          </w:p>
        </w:tc>
      </w:tr>
      <w:tr>
        <w:trPr>
          <w:trHeight w:val="223"/>
        </w:trPr>
        <w:tc>
          <w:tcPr>
            <w:tcW w:w="8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expense, net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393,599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284,281</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Premiums earned, net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456,906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341,722</w:t>
            </w:r>
          </w:p>
        </w:tc>
      </w:tr>
      <w:tr>
        <w:trPr>
          <w:trHeight w:val="229"/>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expense ratio, net (non-GAAP)</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0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5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59,022</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59,223</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50,675</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44,569</w:t>
            </w:r>
          </w:p>
        </w:tc>
      </w:tr>
      <w:tr>
        <w:trPr>
          <w:trHeight w:val="22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SG&amp;A (GAAP)</w:t>
            </w:r>
          </w:p>
        </w:tc>
        <w:tc>
          <w:tcPr>
            <w:tcW w:w="3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109,697</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103,792</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(26,437)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(28,798)</w:t>
            </w:r>
          </w:p>
        </w:tc>
      </w:tr>
      <w:tr>
        <w:trPr>
          <w:trHeight w:val="230"/>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3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5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SG&amp;A (non-GAAP)</w:t>
            </w:r>
          </w:p>
        </w:tc>
        <w:tc>
          <w:tcPr>
            <w:tcW w:w="3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83,107</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74,940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462,331</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346,922</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900"/>
        </w:trPr>
        <w:tc>
          <w:tcPr>
            <w:tcW w:w="5080" w:type="dxa"/>
            <w:vAlign w:val="bottom"/>
          </w:tcPr>
          <w:p>
            <w:pPr>
              <w:spacing w:after="0"/>
              <w:rPr>
                <w:sz w:val="24"/>
                <w:szCs w:val="24"/>
                <w:color w:val="auto"/>
              </w:rPr>
            </w:pPr>
          </w:p>
        </w:tc>
        <w:tc>
          <w:tcPr>
            <w:tcW w:w="314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loss from continuing operations before depreciation and amortization, loss on investment, interest expense, change in fair value of warrants, stock-based compensation, premium deficiency reserve benefit, restructuring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Net loss from continuing operations, a GAAP financial measure, to Adjusted EBITDA, a non-GAAP financial measure: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w:t>
            </w:r>
          </w:p>
        </w:tc>
      </w:tr>
      <w:tr>
        <w:trPr>
          <w:trHeight w:val="229"/>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r>
      <w:tr>
        <w:trPr>
          <w:trHeight w:val="230"/>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 (non-GAAP)</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from continuing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from continuing operations is a non-GAAP financial measure defined by us as net loss from continuing operations before stock-based compensation, premium deficiency reserve benefit, restructuring costs, non-recurring legal expenses and settlement, and impairment of goodwill and other intangible assets. Adjusted Net income from continuing operations is a key measure used by our management team and the board of directors to understand and evaluate our operating performance and trends. We believe that Adjusted Net income from continuing operations is helpful to investors in assessing the Company’s financial performance in the same manner as our management and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3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3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 from continuing operations (non-GAAP)</w:t>
            </w:r>
          </w:p>
        </w:tc>
        <w:tc>
          <w:tcPr>
            <w:tcW w:w="3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50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1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March 31, 2025 and 2024. The period-to-period comparison of results is not necessarily indicative of results for future periods.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0"/>
                <w:szCs w:val="20"/>
                <w:color w:val="auto"/>
              </w:rPr>
            </w:pPr>
          </w:p>
        </w:tc>
        <w:tc>
          <w:tcPr>
            <w:tcW w:w="25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Between 2025 and 2024</w:t>
            </w: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$95 and $101 for the three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March 31, 2025 and 2024,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456,906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341,722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115,184</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r>
      <w:tr>
        <w:trPr>
          <w:trHeight w:val="237"/>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r>
      <w:tr>
        <w:trPr>
          <w:trHeight w:val="270"/>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93,980</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(94.4)</w:t>
            </w: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5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-959485</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-3051175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Premiums earned, net increased $115.2 million, or 34%, to $456.9 million for the three months ended March 31, 2025, compared to the three months ended March 31, 2024. The increase was primarily driven by growth in our members, which increased approximately 30%.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remained materially consistent, increasing by $0.2 million, or 4%, to $5.4 million for the three months ended March 31, 2025, compared to the three months ended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medical claims incurred increased $88.3 million, or 33%, to $353.4 million for the three months ended March 31, 2025, compared to the three months ended March 31, 2024. The increase was primarily driven by growth in our members, which increased approximately 30%.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Salaries and benefits remained materially consistent, decreasing by $0.2 million to $59.0 million for the three months ended March 31, 2025, compared to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$6.1 million, or 14%, to $50.7 million for the three months ended March 31, 2025, compared to the three months ended March 31, 2024. The increase was primarily driven by higher professional fees and higher broker fees, with the latter being driven by membership growth during the most recent annual enrollment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March 31, 2025 and December 31, 2024, total cash, cash equivalents, and investments were $390.8 million and $437.6 million, respectively. These totals consist of $235.4 million and $243.1 million at March 31, 2025 and December 31, 2024,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and December 31, 2024, total cash, cash equivalents, and investments for the parent company, Clover Health Investments, Corp., and unregulated subsidiaries were $125.9 million and $151.5 million, respectively, with the increase at December 31, 2024 primarily reflecting cash provided by operating activities.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were $116.2 million and $146.8 million at March 31, 2025 and December 31, 2024, respectively. Our unregulated subsidiaries held $9.7 million and $4.8 million of cash, cash equivalents, and investments at March 31,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2025 and December 31, 2024 total cash, cash equivalents, and investments for our regulated subsidiaries were $265.0 million and $286.1 million, respectively. Additionally, our regulated insurance subsidiaries held $235.4 million and $243.1 million of available-for-sale and held-to-maturity investment securities at March 31, 2025 and December 31, 2024,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19 "Dividend Restrictions", 20 "Statutory Equity", and 21 "Regulatory Matters" in the 2024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9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three months ended March 31, 2025 and 2024.</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4"/>
                <w:szCs w:val="24"/>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r>
      <w:tr>
        <w:trPr>
          <w:trHeight w:val="23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33,954</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 from Continuing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from continuing operations was $16.3 million, which reflects a Net loss from continuing operations of $1.3 million. Non-cash activities primarily included a $26.4 million charge to Stock-based compensation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from continuing operations was $34.0 million, which reflects a Net loss from continuing operations of $23.2 million. Non-cash activities primarily included a $28.8 million charge to Stock-based compensation expense and a $0.5 million Loss on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of $8.9 million was primarily due to $42.3 million provided from the sale and maturity of investment securities. This was offset by $33.2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of $9.2 million was primarily due to $33.7 million provided from the sale and maturity of investment securities. This was offset by $24.1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of $31.7 million was primarily the result of the acquisition of $13.7 million in Treasury stock and repurchases of $18.3 million of Class A Common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of $3.4 million was primarily the result of the acquisition of $3.4 million in Treasury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March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March 31, 2025 include operating lease obligations of $2.3 million. These commitments are associated with contracts that were enforceable and legally binding at March 31, 2025,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March 31, 2025. For additional information regarding our remaining estimated contractual obligations and commitments, see Note 12 "Commitments and Contingencies" in the accompanying notes to the condensed consolidated financial statements included 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March 31, 2025, as compared to the critical accounting policies and estimates disclosed in the section titled "Management's Discussion and Analysis of Financial Condition and Results of Operations" included in the 2024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condensed consolidated financial statements included in this Form 10-Q for a discussion of accounting pronouncements recently adopted and recently issued accounting pronouncements not yet adopted and their potential impact to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non-GAAP measures including Insurance BER, Adjusted EBITDA, Adjusted SG&amp;A, Adjusted SG&amp;A as a percentage of revenue, and Adjusted Net Income.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generally accepted accounting principles in the United States (“GAAP”) and should be read only in conjunction with our condensed consolidated financial statements prepared in accordance with GAAP. Readers are encouraged to review the reconciliations of these non-GAAP financial measures to the comparable GAAP measures, which are included above, together with other important financial information, including our other filings with the SEC, on the Investor Relations page of our website at investors.cloverhealth.com.</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please see "</w:t>
      </w:r>
      <w:r>
        <w:rPr>
          <w:rFonts w:ascii="Times New Roman" w:cs="Times New Roman" w:eastAsia="Times New Roman" w:hAnsi="Times New Roman"/>
          <w:sz w:val="18"/>
          <w:szCs w:val="18"/>
          <w:i w:val="1"/>
          <w:iCs w:val="1"/>
          <w:color w:val="auto"/>
        </w:rPr>
        <w:t>Benefits expense ratio, gross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net", "Adjusted EBITDA", "Adjusted SG&amp;A", and "Adjusted Net Income from continuing operations" </w:t>
      </w: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March 31, 2025, none of our fixed maturity securities portfolio was unrated or rated below investment grade.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March 31, 2025, pursuant to Rule 13a-15(b) under the Securities Exchange Act of 1934, as amended (the "Exchange Act"). Based upon that evaluation, our Certifying Officers concluded that, at March 31, 2025,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Except as subsequently disclosed in our periodic reports, there have been no material changes in our risk factors from those disclosed in Part I, Item 1A of the 2024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2024 Form 10-K, as well as the factors identified under "Cautionary Note Regarding Forward-Looking Statements" at the beginning of Part I, Item 1 of this Form 10-Q and as may be updated in subsequent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including through Rule 10b5-1 trading plans, block trades or privately negotiated purchases or otherwise. The exact number of shares to be repurchased by the Company, if any, is not guaranteed, and there is no minimum number of shares that the Company is required to purchase. Depending on market conditions and other factors, these repurchases may be commenced, suspended or discontinued at any time or periodically without prior notice. As of March 31, 2025, there are no remaining shares available for repurchase as the total authorized dollar value of shares under the repurchase plan has been achieved.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monthly share repurchases that occurred during the three months ended March 31, 2025 were as follows: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right="760"/>
        <w:spacing w:after="0" w:line="298" w:lineRule="auto"/>
        <w:rPr>
          <w:sz w:val="20"/>
          <w:szCs w:val="20"/>
          <w:color w:val="auto"/>
        </w:rPr>
      </w:pPr>
      <w:r>
        <w:rPr>
          <w:rFonts w:ascii="Times New Roman" w:cs="Times New Roman" w:eastAsia="Times New Roman" w:hAnsi="Times New Roman"/>
          <w:sz w:val="17"/>
          <w:szCs w:val="17"/>
          <w:color w:val="auto"/>
        </w:rPr>
        <w:t>January 1 - January 31, 2025 February 1 - February 28, 2025 March 1 - March 31, 2025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89"/>
        </w:trPr>
        <w:tc>
          <w:tcPr>
            <w:tcW w:w="2480" w:type="dxa"/>
            <w:vAlign w:val="bottom"/>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2480" w:type="dxa"/>
            <w:vAlign w:val="bottom"/>
            <w:gridSpan w:val="3"/>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 or</w:t>
            </w:r>
          </w:p>
        </w:tc>
        <w:tc>
          <w:tcPr>
            <w:tcW w:w="80" w:type="dxa"/>
            <w:vAlign w:val="bottom"/>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 or</w:t>
            </w:r>
          </w:p>
        </w:tc>
        <w:tc>
          <w:tcPr>
            <w:tcW w:w="0" w:type="dxa"/>
            <w:vAlign w:val="bottom"/>
          </w:tcPr>
          <w:p>
            <w:pPr>
              <w:spacing w:after="0"/>
              <w:rPr>
                <w:sz w:val="1"/>
                <w:szCs w:val="1"/>
                <w:color w:val="auto"/>
              </w:rPr>
            </w:pPr>
          </w:p>
        </w:tc>
      </w:tr>
      <w:tr>
        <w:trPr>
          <w:trHeight w:val="241"/>
        </w:trPr>
        <w:tc>
          <w:tcPr>
            <w:tcW w:w="248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20"/>
        </w:trPr>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18,246,205</w:t>
            </w:r>
          </w:p>
        </w:tc>
        <w:tc>
          <w:tcPr>
            <w:tcW w:w="0" w:type="dxa"/>
            <w:vAlign w:val="bottom"/>
          </w:tcPr>
          <w:p>
            <w:pPr>
              <w:spacing w:after="0"/>
              <w:rPr>
                <w:sz w:val="1"/>
                <w:szCs w:val="1"/>
                <w:color w:val="auto"/>
              </w:rPr>
            </w:pPr>
          </w:p>
        </w:tc>
      </w:tr>
      <w:tr>
        <w:trPr>
          <w:trHeight w:val="229"/>
        </w:trPr>
        <w:tc>
          <w:tcPr>
            <w:tcW w:w="24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center"/>
              <w:ind w:left="159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18,246,205</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5"/>
              </w:rPr>
              <w:t>3.60</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-334010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-633730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5" w:lineRule="exact"/>
        <w:rPr>
          <w:sz w:val="20"/>
          <w:szCs w:val="20"/>
          <w:color w:val="auto"/>
        </w:rPr>
      </w:pPr>
    </w:p>
    <w:p>
      <w:pPr>
        <w:sectPr>
          <w:pgSz w:w="11900" w:h="16838" w:orient="portrait"/>
          <w:cols w:equalWidth="0" w:num="2">
            <w:col w:w="3040" w:space="360"/>
            <w:col w:w="7840"/>
          </w:cols>
          <w:pgMar w:left="320" w:top="98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as described below, two of the Company’s officers (as defined in Rule 16a-1(f) of the Exchange Act) adopted or terminated a Rule 10b5-1 trading arrangement or non-Rule 10b5-1 trading arrangement (as such terms are defined in Item 408(a) of Regulation S-K of the Securities Act). None of the Company's directors (as defined in Rule 16a-1(f) of the Exchange Act) entered into such a trading arrangement during the quarter.</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 2025, Conrad Wai, the Chief Executive Officer of Counterpart Health, Inc., our subsidiary, adopted a Rule 10b5-1 trading plan intended to satisfy the affirmative defense conditions of Rule 10b5-1(c) under the Securities Exchange Act of 1934, as amended. The trading plan was entered into during an open trading window in accordance with the Company’s Insider Trading Policy and includes a cooling-off period of 90 days. The plan provides for the potential sale of up to 1,725,426 shares of the Company’s Class A Common Stock, subject to specified market price conditions and other terms, beginning no earlier than June 4, 2025, and ending no later than June 3, 2026. Mr. Wai has informed the Company that the purpose of the trading plan is to facilitate personal financial planning, including tax and diversification strategies. Any transactions under the plan will be disclosed publicly through Form 4 filings with the Securities and Exchange Commission, as applicable.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2025, Jamie Reynoso, our Chief Executive Officer of Medicare Advantage, adopted a Rule 10b5-1 trading plan intended to satisfy the affirmative defense conditions of Rule 10b5-1(c) under the Securities Exchange Act of 1934, as amended. The trading plan was entered into during an open trading window in accordance with the Company’s Insider Trading Policy and includes a cooling-off period of 90 days. The plan provides for the potential sale of up to 336,824 shares of the Company’s Class A Common Stock, subject to specified market price conditions and other terms, beginning no earlier than June 12, 2025, and ending no later than March 20, 2026. Ms. Reynoso has informed the Company that the purpose of the trading plan is to facilitate personal financial planning, including tax and diversification strategies. Any transactions under the plan will be disclosed publicly through Form 4 filings with the Securities and Exchange Commission, as applicable.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undertakes no obligation to update or revise the information provided with respect to any Rule 10b5-1 trading plans that may be adopted by its officers or directors, except as required by law.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9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ind w:left="77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81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Kuipers, certify that:</w:t>
      </w:r>
    </w:p>
    <w:p>
      <w:pPr>
        <w:spacing w:after="0" w:line="225"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three months ended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Dated: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2025-05-09T07:20:34Z</dcterms:created>
  <dcterms:modified xsi:type="dcterms:W3CDTF">2025-05-09T07:20:34Z</dcterms:modified>
</cp:coreProperties>
</file>