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5002.xml.htm"/>
      <w:bookmarkStart w:id="1" w:name="kswkform4_1784235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Jamie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Medicare Advantage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13,119</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r>
              <w:rPr>
                <w:rFonts w:ascii="Times;serif" w:hAnsi="Times;serif"/>
                <w:color w:val="008000"/>
                <w:position w:val="7"/>
                <w:sz w:val="16"/>
                <w:sz w:val="20"/>
                <w:shd w:fill="FFFFFF" w:val="clear"/>
              </w:rPr>
              <w:t>(2)</w:t>
            </w:r>
            <w:r>
              <w:rPr/>
              <w:t xml:space="preserve"> </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2,819,479</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(the "RSUs") on July 15, 2026. The RSUs were originally granted to the Reporting Person on October 15, 2024. The remaining RSUs vest quarterly in equal installments of 6.25%, with the final vesting date occurring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$4.72,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Jamie L.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6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784</Words>
  <Characters>4196</Characters>
  <CharactersWithSpaces>4918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