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4"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55"/>
        </w:trPr>
        <w:tc>
          <w:tcPr>
            <w:tcW w:w="5840" w:type="dxa"/>
            <w:vAlign w:val="bottom"/>
          </w:tcPr>
          <w:p>
            <w:pPr>
              <w:jc w:val="center"/>
              <w:ind w:right="3705"/>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74"/>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7"/>
              </w:rPr>
              <w:t>Not Applicable</w:t>
            </w:r>
            <w:r>
              <w:rPr>
                <w:rFonts w:ascii="Times New Roman" w:cs="Times New Roman" w:eastAsia="Times New Roman" w:hAnsi="Times New Roman"/>
                <w:sz w:val="23"/>
                <w:szCs w:val="23"/>
                <w:b w:val="1"/>
                <w:bCs w:val="1"/>
                <w:color w:val="auto"/>
                <w:w w:val="97"/>
                <w:vertAlign w:val="superscript"/>
              </w:rPr>
              <w:t>(1)</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503"/>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spacing w:after="0"/>
              <w:rPr>
                <w:sz w:val="24"/>
                <w:szCs w:val="24"/>
                <w:color w:val="auto"/>
              </w:rPr>
            </w:pPr>
          </w:p>
        </w:tc>
      </w:tr>
      <w:tr>
        <w:trPr>
          <w:trHeight w:val="255"/>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2"/>
                <w:szCs w:val="22"/>
                <w:color w:val="auto"/>
              </w:rPr>
            </w:pPr>
          </w:p>
        </w:tc>
      </w:tr>
      <w:tr>
        <w:trPr>
          <w:trHeight w:val="237"/>
        </w:trPr>
        <w:tc>
          <w:tcPr>
            <w:tcW w:w="5840" w:type="dxa"/>
            <w:vAlign w:val="bottom"/>
          </w:tcPr>
          <w:p>
            <w:pPr>
              <w:jc w:val="center"/>
              <w:ind w:left="1765"/>
              <w:spacing w:after="0"/>
              <w:rPr>
                <w:sz w:val="20"/>
                <w:szCs w:val="20"/>
                <w:color w:val="auto"/>
              </w:rPr>
            </w:pPr>
            <w:r>
              <w:rPr>
                <w:rFonts w:ascii="Arial" w:cs="Arial" w:eastAsia="Arial" w:hAnsi="Arial"/>
                <w:sz w:val="11"/>
                <w:szCs w:val="11"/>
                <w:color w:val="auto"/>
                <w:w w:val="98"/>
              </w:rPr>
              <w:t>________________________________________</w:t>
            </w:r>
          </w:p>
        </w:tc>
        <w:tc>
          <w:tcPr>
            <w:tcW w:w="1460" w:type="dxa"/>
            <w:vAlign w:val="bottom"/>
          </w:tcPr>
          <w:p>
            <w:pPr>
              <w:spacing w:after="0"/>
              <w:rPr>
                <w:sz w:val="20"/>
                <w:szCs w:val="20"/>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5"/>
                <w:szCs w:val="15"/>
                <w:color w:val="auto"/>
              </w:rPr>
            </w:pPr>
          </w:p>
        </w:tc>
      </w:tr>
      <w:tr>
        <w:trPr>
          <w:trHeight w:val="204"/>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vMerge w:val="restart"/>
          </w:tcPr>
          <w:p>
            <w:pPr>
              <w:ind w:left="320"/>
              <w:spacing w:after="0"/>
              <w:rPr>
                <w:sz w:val="20"/>
                <w:szCs w:val="20"/>
                <w:color w:val="auto"/>
              </w:rPr>
            </w:pPr>
            <w:r>
              <w:rPr>
                <w:rFonts w:ascii="Wingdings" w:cs="Wingdings" w:eastAsia="Wingdings" w:hAnsi="Wingdings"/>
                <w:sz w:val="16"/>
                <w:szCs w:val="16"/>
                <w:b w:val="1"/>
                <w:bCs w:val="1"/>
                <w:color w:val="auto"/>
              </w:rPr>
              <w:t>x</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6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left="660"/>
        <w:spacing w:after="0"/>
        <w:tabs>
          <w:tab w:leader="none" w:pos="8200" w:val="left"/>
          <w:tab w:leader="none" w:pos="8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3" w:lineRule="exact"/>
        <w:rPr>
          <w:sz w:val="24"/>
          <w:szCs w:val="24"/>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At May 1, 2026, the registrant had 430,969,398 shares of Class A Common Stock, $0.0001 par value per share, and 95,714,926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26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60" w:firstLine="8"/>
        <w:spacing w:after="0" w:line="239" w:lineRule="auto"/>
        <w:tabs>
          <w:tab w:leader="none" w:pos="169"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pgSz w:w="11900" w:h="16838" w:orient="portrait"/>
          <w:cols w:equalWidth="0" w:num="1">
            <w:col w:w="11240"/>
          </w:cols>
          <w:pgMar w:left="320" w:top="1172" w:right="339" w:bottom="551" w:gutter="0" w:footer="0" w:header="0"/>
        </w:sect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4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gridSpan w:val="3"/>
            <w:vMerge w:val="restart"/>
          </w:tcPr>
          <w:p>
            <w:pPr>
              <w:spacing w:after="0"/>
              <w:rPr>
                <w:sz w:val="2"/>
                <w:szCs w:val="2"/>
                <w:color w:val="auto"/>
              </w:rPr>
            </w:pPr>
          </w:p>
        </w:tc>
        <w:tc>
          <w:tcPr>
            <w:tcW w:w="2420" w:type="dxa"/>
            <w:vAlign w:val="bottom"/>
            <w:gridSpan w:val="11"/>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6680" w:type="dxa"/>
            <w:vAlign w:val="bottom"/>
            <w:gridSpan w:val="8"/>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20" w:type="dxa"/>
            <w:vAlign w:val="bottom"/>
            <w:gridSpan w:val="11"/>
            <w:vMerge w:val="continue"/>
          </w:tcPr>
          <w:p>
            <w:pPr>
              <w:spacing w:after="0"/>
              <w:rPr>
                <w:sz w:val="14"/>
                <w:szCs w:val="14"/>
                <w:color w:val="auto"/>
              </w:rPr>
            </w:pPr>
          </w:p>
        </w:tc>
        <w:tc>
          <w:tcPr>
            <w:tcW w:w="6680" w:type="dxa"/>
            <w:vAlign w:val="bottom"/>
            <w:gridSpan w:val="8"/>
            <w:vMerge w:val="continue"/>
          </w:tcPr>
          <w:p>
            <w:pPr>
              <w:spacing w:after="0"/>
              <w:rPr>
                <w:sz w:val="14"/>
                <w:szCs w:val="14"/>
                <w:color w:val="auto"/>
              </w:rPr>
            </w:pPr>
          </w:p>
        </w:tc>
        <w:tc>
          <w:tcPr>
            <w:tcW w:w="620" w:type="dxa"/>
            <w:vAlign w:val="bottom"/>
            <w:gridSpan w:val="4"/>
          </w:tcPr>
          <w:p>
            <w:pPr>
              <w:jc w:val="center"/>
              <w:ind w:left="371"/>
              <w:spacing w:after="0" w:line="156" w:lineRule="exact"/>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2026 and December 31, 2025</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for the three months ended March 31, 2026</w:t>
            </w:r>
          </w:p>
        </w:tc>
        <w:tc>
          <w:tcPr>
            <w:tcW w:w="20" w:type="dxa"/>
            <w:vAlign w:val="bottom"/>
          </w:tcPr>
          <w:p>
            <w:pPr>
              <w:spacing w:after="0"/>
              <w:rPr>
                <w:sz w:val="18"/>
                <w:szCs w:val="18"/>
                <w:color w:val="auto"/>
              </w:rPr>
            </w:pP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and 2025</w:t>
            </w:r>
          </w:p>
        </w:tc>
        <w:tc>
          <w:tcPr>
            <w:tcW w:w="8420" w:type="dxa"/>
            <w:vAlign w:val="bottom"/>
            <w:gridSpan w:val="16"/>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Borders>
              <w:bottom w:val="single" w:sz="8" w:color="0000FF"/>
            </w:tcBorders>
            <w:gridSpan w:val="3"/>
            <w:vMerge w:val="continue"/>
          </w:tcPr>
          <w:p>
            <w:pPr>
              <w:spacing w:after="0"/>
              <w:rPr>
                <w:sz w:val="5"/>
                <w:szCs w:val="5"/>
                <w:color w:val="auto"/>
              </w:rPr>
            </w:pPr>
          </w:p>
        </w:tc>
        <w:tc>
          <w:tcPr>
            <w:tcW w:w="8420" w:type="dxa"/>
            <w:vAlign w:val="bottom"/>
            <w:gridSpan w:val="16"/>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w:t>
            </w: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top w:val="single" w:sz="8" w:color="0000FF"/>
            </w:tcBorders>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58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680" w:type="dxa"/>
            <w:vAlign w:val="bottom"/>
            <w:tcBorders>
              <w:top w:val="single" w:sz="8" w:color="0000FF"/>
            </w:tcBorders>
          </w:tcPr>
          <w:p>
            <w:pPr>
              <w:spacing w:after="0"/>
              <w:rPr>
                <w:sz w:val="6"/>
                <w:szCs w:val="6"/>
                <w:color w:val="auto"/>
              </w:rPr>
            </w:pPr>
          </w:p>
        </w:tc>
        <w:tc>
          <w:tcPr>
            <w:tcW w:w="380" w:type="dxa"/>
            <w:vAlign w:val="bottom"/>
            <w:tcBorders>
              <w:top w:val="single" w:sz="8" w:color="0000FF"/>
            </w:tcBorders>
          </w:tcPr>
          <w:p>
            <w:pPr>
              <w:spacing w:after="0"/>
              <w:rPr>
                <w:sz w:val="6"/>
                <w:szCs w:val="6"/>
                <w:color w:val="auto"/>
              </w:rPr>
            </w:pPr>
          </w:p>
        </w:tc>
        <w:tc>
          <w:tcPr>
            <w:tcW w:w="920" w:type="dxa"/>
            <w:vAlign w:val="bottom"/>
            <w:tcBorders>
              <w:top w:val="single" w:sz="8" w:color="0000FF"/>
            </w:tcBorders>
          </w:tcPr>
          <w:p>
            <w:pPr>
              <w:spacing w:after="0"/>
              <w:rPr>
                <w:sz w:val="6"/>
                <w:szCs w:val="6"/>
                <w:color w:val="auto"/>
              </w:rPr>
            </w:pPr>
          </w:p>
        </w:tc>
        <w:tc>
          <w:tcPr>
            <w:tcW w:w="172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Borders>
              <w:top w:val="single" w:sz="8" w:color="0000FF"/>
              <w:bottom w:val="single" w:sz="8" w:color="0000FF"/>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2026 and 2025</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60" w:type="dxa"/>
            <w:vAlign w:val="bottom"/>
            <w:gridSpan w:val="5"/>
          </w:tcPr>
          <w:p>
            <w:pPr>
              <w:spacing w:after="0"/>
              <w:rPr>
                <w:sz w:val="19"/>
                <w:szCs w:val="19"/>
                <w:color w:val="auto"/>
              </w:rPr>
            </w:pPr>
          </w:p>
        </w:tc>
        <w:tc>
          <w:tcPr>
            <w:tcW w:w="174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3"/>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24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3"/>
          </w:tcPr>
          <w:p>
            <w:pPr>
              <w:spacing w:after="0"/>
              <w:rPr>
                <w:sz w:val="21"/>
                <w:szCs w:val="21"/>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5"/>
          </w:tcPr>
          <w:p>
            <w:pPr>
              <w:spacing w:after="0"/>
              <w:rPr>
                <w:sz w:val="21"/>
                <w:szCs w:val="21"/>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2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708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gridSpan w:val="2"/>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40" w:type="dxa"/>
            <w:vAlign w:val="bottom"/>
            <w:gridSpan w:val="6"/>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28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280" w:type="dxa"/>
            <w:vAlign w:val="bottom"/>
          </w:tcPr>
          <w:p>
            <w:pPr>
              <w:spacing w:after="0"/>
              <w:rPr>
                <w:sz w:val="21"/>
                <w:szCs w:val="21"/>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1"/>
                <w:szCs w:val="21"/>
                <w:color w:val="auto"/>
              </w:rPr>
            </w:pPr>
          </w:p>
        </w:tc>
        <w:tc>
          <w:tcPr>
            <w:tcW w:w="6780" w:type="dxa"/>
            <w:vAlign w:val="bottom"/>
            <w:gridSpan w:val="10"/>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4"/>
          </w:tcPr>
          <w:p>
            <w:pPr>
              <w:spacing w:after="0"/>
              <w:rPr>
                <w:sz w:val="21"/>
                <w:szCs w:val="21"/>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80" w:type="dxa"/>
            <w:vAlign w:val="bottom"/>
            <w:gridSpan w:val="14"/>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4"/>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06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II, Item 1A, “Risk Factors”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Forward-looking statements contained in this Quarterly Report on Form 10-Q involve a number of judgments, risks and uncertainties, including, without limitation, risks related to:</w:t>
      </w:r>
    </w:p>
    <w:p>
      <w:pPr>
        <w:spacing w:after="0" w:line="14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("CA"), including the expansion of Clover Assistant technology for external payors and providers under the brand name Counterpart Assistant;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member base and provider network;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expenses and medical loss ratios;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Star Ratings or otherwise continue to improve the financial performance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Class A common stock and our continued compliance with Nasdaq's listing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fluctuating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uncertainty and instability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Quarterly Report on Form 10-Q or to conform these statements to actual results or revised expectations.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estimates, projections, and other information concerning our industry, our business and the markets for our products. We obtained the industry, market, and similar data set forth in this Quarterly Report on Form 10-Q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this Quarterly Report on Form 10-Q, our actual results or performance may be materially different from those expressed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right"/>
        <w:ind w:right="4219"/>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2026: $24,216; 2025: $23,231)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2026: $1,794; 2025: $1,779)</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63,875</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Healthcare receivables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current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307,855</w:t>
            </w:r>
          </w:p>
        </w:tc>
        <w:tc>
          <w:tcPr>
            <w:tcW w:w="0" w:type="dxa"/>
            <w:vAlign w:val="bottom"/>
          </w:tcPr>
          <w:p>
            <w:pPr>
              <w:spacing w:after="0"/>
              <w:rPr>
                <w:sz w:val="1"/>
                <w:szCs w:val="1"/>
                <w:color w:val="auto"/>
              </w:rPr>
            </w:pPr>
          </w:p>
        </w:tc>
      </w:tr>
      <w:tr>
        <w:trPr>
          <w:trHeight w:val="250"/>
        </w:trPr>
        <w:tc>
          <w:tcPr>
            <w:tcW w:w="8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2026: $202,886; 2025: $186,464)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187,092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 (Fair value: 2026: $12,300; 2025: $12,495)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697,728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260,417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336,583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208,823</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232,307</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March 31, 2026 and December 31,</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2025; 429,555,578 and 426,669,369 issued and outstanding at March 31, 2026 and December 31, 2025,</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March 31, 2026 and December 31,</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95,715,856 and 92,373,157 issued and outstanding at March 31, 2026 and December 31, 2025, respectively</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2,695,144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2,682,663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(2,288,352)</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34,977,670 and 33,412,273 shares held at March 31, 2026 and December 31, 2025,</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541,011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STATEMENTS OF OPERATIONS AND COMPREHENSIVE INCOME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p>
      <w:pPr>
        <w:spacing w:after="0" w:line="19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$92 and $95 for the three months ended March 31, 2026 and 2025,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1"/>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744,189</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456,906</w:t>
            </w:r>
          </w:p>
        </w:tc>
      </w:tr>
      <w:tr>
        <w:trPr>
          <w:trHeight w:val="230"/>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462,331</w:t>
            </w:r>
          </w:p>
        </w:tc>
      </w:tr>
      <w:tr>
        <w:trPr>
          <w:trHeight w:val="270"/>
        </w:trPr>
        <w:tc>
          <w:tcPr>
            <w:tcW w:w="8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353,442</w:t>
            </w:r>
          </w:p>
        </w:tc>
      </w:tr>
      <w:tr>
        <w:trPr>
          <w:trHeight w:val="230"/>
        </w:trPr>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59,022</w:t>
            </w:r>
          </w:p>
        </w:tc>
      </w:tr>
      <w:tr>
        <w:trPr>
          <w:trHeight w:val="229"/>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w:t>
            </w:r>
          </w:p>
        </w:tc>
      </w:tr>
      <w:tr>
        <w:trPr>
          <w:trHeight w:val="229"/>
        </w:trPr>
        <w:tc>
          <w:tcPr>
            <w:tcW w:w="8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463,605</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70"/>
        </w:trPr>
        <w:tc>
          <w:tcPr>
            <w:tcW w:w="85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weighted average number of class A and class B common shares and common share equivalents outstanding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522,184,385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497,056,331</w:t>
            </w:r>
          </w:p>
        </w:tc>
      </w:tr>
      <w:tr>
        <w:trPr>
          <w:trHeight w:val="175"/>
        </w:trPr>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Diluted weighted average number of class A and class B common shares and common share equivalents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532,501,448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497,056,331</w:t>
            </w:r>
          </w:p>
        </w:tc>
      </w:tr>
      <w:tr>
        <w:trPr>
          <w:trHeight w:val="256"/>
        </w:trPr>
        <w:tc>
          <w:tcPr>
            <w:tcW w:w="8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5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gain on available-for-sale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-4002405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661" w:right="5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8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7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B Common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5"/>
                <w:szCs w:val="15"/>
                <w:color w:val="auto"/>
              </w:rPr>
            </w:pPr>
          </w:p>
        </w:tc>
        <w:tc>
          <w:tcPr>
            <w:tcW w:w="10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1820" w:type="dxa"/>
            <w:vAlign w:val="bottom"/>
            <w:gridSpan w:val="6"/>
            <w:vMerge w:val="continue"/>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74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6"/>
                <w:szCs w:val="16"/>
                <w:color w:val="auto"/>
              </w:rPr>
            </w:pPr>
          </w:p>
        </w:tc>
        <w:tc>
          <w:tcPr>
            <w:tcW w:w="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vMerge w:val="continue"/>
          </w:tcPr>
          <w:p>
            <w:pPr>
              <w:spacing w:after="0"/>
              <w:rPr>
                <w:sz w:val="16"/>
                <w:szCs w:val="16"/>
                <w:color w:val="auto"/>
              </w:rPr>
            </w:pPr>
          </w:p>
        </w:tc>
        <w:tc>
          <w:tcPr>
            <w:tcW w:w="12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0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426,669,369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92,373,157</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33,412,273</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(86,187)</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2,682,663</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(2,288,352)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308,704</w:t>
            </w:r>
          </w:p>
        </w:tc>
        <w:tc>
          <w:tcPr>
            <w:tcW w:w="0" w:type="dxa"/>
            <w:vAlign w:val="bottom"/>
          </w:tcPr>
          <w:p>
            <w:pPr>
              <w:spacing w:after="0"/>
              <w:rPr>
                <w:sz w:val="1"/>
                <w:szCs w:val="1"/>
                <w:color w:val="auto"/>
              </w:rPr>
            </w:pPr>
          </w:p>
        </w:tc>
      </w:tr>
      <w:tr>
        <w:trPr>
          <w:trHeight w:val="231"/>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100"/>
              <w:spacing w:after="0" w:line="163"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1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issuance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net of early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0" w:type="dxa"/>
            <w:vAlign w:val="bottom"/>
          </w:tcPr>
          <w:p>
            <w:pPr>
              <w:spacing w:after="0"/>
              <w:rPr>
                <w:sz w:val="1"/>
                <w:szCs w:val="1"/>
                <w:color w:val="auto"/>
              </w:rPr>
            </w:pPr>
          </w:p>
        </w:tc>
      </w:tr>
      <w:tr>
        <w:trPr>
          <w:trHeight w:val="176"/>
        </w:trPr>
        <w:tc>
          <w:tcPr>
            <w:tcW w:w="11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3,342,699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175"/>
        </w:trPr>
        <w:tc>
          <w:tcPr>
            <w:tcW w:w="11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withheld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taxes 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(1,565,397)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1,565,397</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8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0" w:type="dxa"/>
            <w:vAlign w:val="bottom"/>
          </w:tcPr>
          <w:p>
            <w:pPr>
              <w:spacing w:after="0"/>
              <w:rPr>
                <w:sz w:val="1"/>
                <w:szCs w:val="1"/>
                <w:color w:val="auto"/>
              </w:rPr>
            </w:pPr>
          </w:p>
        </w:tc>
      </w:tr>
      <w:tr>
        <w:trPr>
          <w:trHeight w:val="23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0" w:type="dxa"/>
            <w:vAlign w:val="bottom"/>
          </w:tcPr>
          <w:p>
            <w:pPr>
              <w:spacing w:after="0"/>
              <w:rPr>
                <w:sz w:val="1"/>
                <w:szCs w:val="1"/>
                <w:color w:val="auto"/>
              </w:rPr>
            </w:pPr>
          </w:p>
        </w:tc>
      </w:tr>
      <w:tr>
        <w:trPr>
          <w:trHeight w:val="155"/>
        </w:trPr>
        <w:tc>
          <w:tcPr>
            <w:tcW w:w="11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429,555,578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95,715,856</w:t>
            </w:r>
          </w:p>
        </w:tc>
        <w:tc>
          <w:tcPr>
            <w:tcW w:w="8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34,977,670</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(94,080)</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2,695,144</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(2,261,018)</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8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339,426</w:t>
            </w:r>
          </w:p>
        </w:tc>
        <w:tc>
          <w:tcPr>
            <w:tcW w:w="0" w:type="dxa"/>
            <w:vAlign w:val="bottom"/>
          </w:tcPr>
          <w:p>
            <w:pPr>
              <w:spacing w:after="0"/>
              <w:rPr>
                <w:sz w:val="1"/>
                <w:szCs w:val="1"/>
                <w:color w:val="auto"/>
              </w:rPr>
            </w:pPr>
          </w:p>
        </w:tc>
      </w:tr>
      <w:tr>
        <w:trPr>
          <w:trHeight w:val="2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8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8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7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B Common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5"/>
                <w:szCs w:val="15"/>
                <w:color w:val="auto"/>
              </w:rPr>
            </w:pPr>
          </w:p>
        </w:tc>
        <w:tc>
          <w:tcPr>
            <w:tcW w:w="10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1820" w:type="dxa"/>
            <w:vAlign w:val="bottom"/>
            <w:gridSpan w:val="6"/>
            <w:vMerge w:val="continue"/>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74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6"/>
                <w:szCs w:val="16"/>
                <w:color w:val="auto"/>
              </w:rPr>
            </w:pPr>
          </w:p>
        </w:tc>
        <w:tc>
          <w:tcPr>
            <w:tcW w:w="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vMerge w:val="continue"/>
          </w:tcPr>
          <w:p>
            <w:pPr>
              <w:spacing w:after="0"/>
              <w:rPr>
                <w:sz w:val="16"/>
                <w:szCs w:val="16"/>
                <w:color w:val="auto"/>
              </w:rPr>
            </w:pPr>
          </w:p>
        </w:tc>
        <w:tc>
          <w:tcPr>
            <w:tcW w:w="12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0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414,493,051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89,032,305</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18,752,947</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(30,991)</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2,576,471</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(2,202,803)</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341,143</w:t>
            </w:r>
          </w:p>
        </w:tc>
        <w:tc>
          <w:tcPr>
            <w:tcW w:w="0" w:type="dxa"/>
            <w:vAlign w:val="bottom"/>
          </w:tcPr>
          <w:p>
            <w:pPr>
              <w:spacing w:after="0"/>
              <w:rPr>
                <w:sz w:val="1"/>
                <w:szCs w:val="1"/>
                <w:color w:val="auto"/>
              </w:rPr>
            </w:pPr>
          </w:p>
        </w:tc>
      </w:tr>
      <w:tr>
        <w:trPr>
          <w:trHeight w:val="231"/>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100"/>
              <w:spacing w:after="0" w:line="163"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1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issuance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net of early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139,709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r>
        <w:trPr>
          <w:trHeight w:val="176"/>
        </w:trPr>
        <w:tc>
          <w:tcPr>
            <w:tcW w:w="11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6,431,417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3,342,698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175"/>
        </w:trPr>
        <w:tc>
          <w:tcPr>
            <w:tcW w:w="11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withheld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taxes 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(1,833,218)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1,833,218</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8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0" w:type="dxa"/>
            <w:vAlign w:val="bottom"/>
          </w:tcPr>
          <w:p>
            <w:pPr>
              <w:spacing w:after="0"/>
              <w:rPr>
                <w:sz w:val="1"/>
                <w:szCs w:val="1"/>
                <w:color w:val="auto"/>
              </w:rPr>
            </w:pPr>
          </w:p>
        </w:tc>
      </w:tr>
      <w:tr>
        <w:trPr>
          <w:trHeight w:val="22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of common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2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414,161,536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92,375,003</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25,655,588</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(62,947)</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2,603,123</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(2,204,077)</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336,075</w:t>
            </w:r>
          </w:p>
        </w:tc>
        <w:tc>
          <w:tcPr>
            <w:tcW w:w="0" w:type="dxa"/>
            <w:vAlign w:val="bottom"/>
          </w:tcPr>
          <w:p>
            <w:pPr>
              <w:spacing w:after="0"/>
              <w:rPr>
                <w:sz w:val="1"/>
                <w:szCs w:val="1"/>
                <w:color w:val="auto"/>
              </w:rPr>
            </w:pPr>
          </w:p>
        </w:tc>
      </w:tr>
      <w:tr>
        <w:trPr>
          <w:trHeight w:val="231"/>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0980"/>
          </w:cols>
          <w:pgMar w:left="460" w:top="661" w:right="459" w:bottom="0" w:gutter="0" w:footer="0" w:header="0"/>
        </w:sectPr>
      </w:pP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61" w:right="459"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r>
      <w:tr>
        <w:trPr>
          <w:trHeight w:val="229"/>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0"/>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9"/>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realized gains on investment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(43,474)</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Healthcare receivables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claims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 available-for-sale, and held-to-maturity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(33,169)</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 and available-for-sale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w:t>
            </w: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related to 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r>
      <w:tr>
        <w:trPr>
          <w:trHeight w:val="223"/>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(39,104)</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155,439</w:t>
            </w: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 included in the Company's Annual Report on Form 10-K for the year ended December 31, 2025 (the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2025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(including CMS's May 2025 announcement of its intention to significantly increase the volume of Risk Adjustment Data Validation ("RADV") audits),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Insurance. The Insurance segment provides PPO and HMO plans to Medicare Advantage members in several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commissions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in the Condensed Consolidated Statements of Operations and Comprehensive Income. For the three months ended March 31, 2026 and 2025, charges related to deferred acquisition costs of $4.8 million and $2.9 million, respectively, were recognized within General and administrative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three months ended March 31, 2026 that had a material impact on the Company's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would require a public entity to disclose information about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Internal-Use Software. </w:t>
      </w:r>
      <w:r>
        <w:rPr>
          <w:rFonts w:ascii="Times New Roman" w:cs="Times New Roman" w:eastAsia="Times New Roman" w:hAnsi="Times New Roman"/>
          <w:sz w:val="18"/>
          <w:szCs w:val="18"/>
          <w:color w:val="auto"/>
        </w:rPr>
        <w:t>The amendments in this update modernize the accounting for costs related to internal-use software to better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current software development practices, such as agile methodologies. The update removes the previous stage-based model for capitalization. Instead, capitalization will begin when management authorizes and commits funding to a project, and it is probable the project will be completed for its intended function. The ASU is effective for annual periods beginning after December 15, 2026, with early adoption permitted. The Company is currently evaluating the impact of ASU 2025-06 on its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Clarification for Share-Based Noncash Consideration from a Customer in a Revenue Contract.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 the scope exception in Topic 815 to exclude certain non-exchange-traded contracts with underlying based on the operations or activities of one of the parties to the contract. Additionally, the update clarifies that share-based noncash consideration received from a customer is subject to the guidance in Topic 606 until the right to consideration is unconditional. The ASU is effective for annual periods beginning after December 15, 2026, with early adoption permitted. The Company is currently evaluating the impact of ASU 2025-07 on its consolidated financial statements and related disclosures.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2026, the FASB issued ASU 2026-01, </w:t>
      </w:r>
      <w:r>
        <w:rPr>
          <w:rFonts w:ascii="Times New Roman" w:cs="Times New Roman" w:eastAsia="Times New Roman" w:hAnsi="Times New Roman"/>
          <w:sz w:val="18"/>
          <w:szCs w:val="18"/>
          <w:i w:val="1"/>
          <w:iCs w:val="1"/>
          <w:color w:val="auto"/>
        </w:rPr>
        <w:t>Equity (Topic 505): Initial Measurement of Paid-in-Kind Dividends on Equity-Classified Preferred Stock</w:t>
      </w:r>
      <w:r>
        <w:rPr>
          <w:rFonts w:ascii="Times New Roman" w:cs="Times New Roman" w:eastAsia="Times New Roman" w:hAnsi="Times New Roman"/>
          <w:sz w:val="18"/>
          <w:szCs w:val="18"/>
          <w:color w:val="auto"/>
        </w:rPr>
        <w:t>. The amendments in this update require entities to initially measure paid-in-kind ("PIK") dividends on equity-classified preferred stock using the PIK dividend rate stated in the preferred stock agreement, rather than at fair value. The ASU is effective for annual periods beginning after December 15, 2026, including interim periods within those fiscal years, with early adoption permitted. The Company is currently evaluating the impact of ASU 2026-01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March 31, 2026 and December 31, 2025, respectively:</w:t>
      </w:r>
    </w:p>
    <w:p>
      <w:pPr>
        <w:sectPr>
          <w:pgSz w:w="11900" w:h="16838" w:orient="portrait"/>
          <w:cols w:equalWidth="0" w:num="1">
            <w:col w:w="11240"/>
          </w:cols>
          <w:pgMar w:left="320" w:top="76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140,211</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85,934</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0"/>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129,447</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224,497</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-2957195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-2630805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-2305685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-1979295</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76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March 31, 2026, by contractual maturity: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40" w:type="dxa"/>
            <w:vAlign w:val="bottom"/>
            <w:tcBorders>
              <w:bottom w:val="single" w:sz="8" w:color="CCEEFF"/>
            </w:tcBorders>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0" w:type="dxa"/>
            <w:vAlign w:val="bottom"/>
          </w:tcPr>
          <w:p>
            <w:pPr>
              <w:spacing w:after="0"/>
              <w:rPr>
                <w:sz w:val="1"/>
                <w:szCs w:val="1"/>
                <w:color w:val="auto"/>
              </w:rPr>
            </w:pP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202,240</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respectively, net investment income, which is included in Other income in the Condensed Consolidated Statements of Operations and Comprehensive Income, was derived from the following sources: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w:t>
      </w:r>
    </w:p>
    <w:p>
      <w:pPr>
        <w:spacing w:after="0" w:line="90"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2"/>
        </w:trPr>
        <w:tc>
          <w:tcPr>
            <w:tcW w:w="360" w:type="dxa"/>
            <w:vAlign w:val="bottom"/>
          </w:tcPr>
          <w:p>
            <w:pPr>
              <w:spacing w:after="0"/>
              <w:rPr>
                <w:sz w:val="16"/>
                <w:szCs w:val="16"/>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r>
      <w:tr>
        <w:trPr>
          <w:trHeight w:val="253"/>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79"/>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7"/>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8"/>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-693420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-367665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931" w:right="339" w:bottom="1440" w:gutter="0" w:footer="0" w:header="0"/>
          <w:type w:val="continuous"/>
        </w:sectPr>
      </w:pP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March 31, 2026 and December 31, 2025,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center"/>
              <w:ind w:left="154"/>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164,350</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51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3"/>
          </w:tcPr>
          <w:p>
            <w:pPr>
              <w:jc w:val="center"/>
              <w:ind w:left="154"/>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March 31, 2026 and December 31, 2025.</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March 31, 2026,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in Other income in the Condensed Consolidated Statements of Operations and Comprehensive Income, were as follows for the three months ended March 31, 2026 and 2025,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realized gains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realized gains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2"/>
        </w:trPr>
        <w:tc>
          <w:tcPr>
            <w:tcW w:w="2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53"/>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r>
      <w:tr>
        <w:trPr>
          <w:trHeight w:val="283"/>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r>
    </w:tbl>
    <w:p>
      <w:pPr>
        <w:spacing w:after="0" w:line="265" w:lineRule="exact"/>
        <w:rPr>
          <w:sz w:val="20"/>
          <w:szCs w:val="20"/>
          <w:color w:val="auto"/>
        </w:rPr>
      </w:pPr>
    </w:p>
    <w:p>
      <w:pPr>
        <w:ind w:left="1020"/>
        <w:spacing w:after="0"/>
        <w:tabs>
          <w:tab w:leader="none" w:pos="23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42</w:t>
      </w:r>
    </w:p>
    <w:p>
      <w:pPr>
        <w:spacing w:after="0" w:line="50" w:lineRule="exact"/>
        <w:rPr>
          <w:sz w:val="20"/>
          <w:szCs w:val="20"/>
          <w:color w:val="auto"/>
        </w:rPr>
      </w:pPr>
    </w:p>
    <w:p>
      <w:pPr>
        <w:ind w:left="2340" w:hanging="1403"/>
        <w:spacing w:after="0"/>
        <w:tabs>
          <w:tab w:leader="none" w:pos="2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45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000" w:val="left"/>
          <w:tab w:leader="none" w:pos="1340" w:val="left"/>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w:t>
        <w:tab/>
        <w:t>$</w:t>
      </w:r>
      <w:r>
        <w:rPr>
          <w:sz w:val="20"/>
          <w:szCs w:val="20"/>
          <w:color w:val="auto"/>
        </w:rPr>
        <w:tab/>
      </w: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459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342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920" w:space="720"/>
            <w:col w:w="2600"/>
          </w:cols>
          <w:pgMar w:left="320" w:top="931" w:right="339" w:bottom="1440" w:gutter="0" w:footer="0" w:header="0"/>
          <w:type w:val="continuous"/>
        </w:sectPr>
      </w:pPr>
    </w:p>
    <w:p>
      <w:pPr>
        <w:spacing w:after="0" w:line="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 Company had $14.8 million and $14.6 million, respectively, in deposits with various states and regulatory bodies that are included as part of the Company's investment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March 31, 2026 and December 31, 2025, respectively:</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737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receivable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7376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140,211</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140,211</w:t>
            </w:r>
          </w:p>
        </w:tc>
      </w:tr>
      <w:tr>
        <w:trPr>
          <w:trHeight w:val="279"/>
        </w:trPr>
        <w:tc>
          <w:tcPr>
            <w:tcW w:w="22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85,934</w:t>
            </w:r>
          </w:p>
        </w:tc>
      </w:tr>
      <w:tr>
        <w:trPr>
          <w:trHeight w:val="261"/>
        </w:trPr>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56"/>
        </w:trPr>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226,430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238,656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-1002030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-676275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-350520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Total Fair</w:t>
      </w:r>
    </w:p>
    <w:p>
      <w:pPr>
        <w:spacing w:after="0" w:line="20" w:lineRule="exact"/>
        <w:rPr>
          <w:sz w:val="20"/>
          <w:szCs w:val="20"/>
          <w:color w:val="auto"/>
        </w:rPr>
      </w:pPr>
    </w:p>
    <w:p>
      <w:pPr>
        <w:ind w:left="340"/>
        <w:spacing w:after="0"/>
        <w:tabs>
          <w:tab w:leader="none" w:pos="1660" w:val="left"/>
          <w:tab w:leader="none" w:pos="3000" w:val="left"/>
          <w:tab w:leader="none" w:pos="440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33432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p>
      <w:pPr>
        <w:sectPr>
          <w:pgSz w:w="11900" w:h="16838" w:orient="portrait"/>
          <w:cols w:equalWidth="0" w:num="2">
            <w:col w:w="5260" w:space="720"/>
            <w:col w:w="526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0" w:type="dxa"/>
            <w:vAlign w:val="bottom"/>
          </w:tcPr>
          <w:p>
            <w:pPr>
              <w:spacing w:after="0"/>
              <w:rPr>
                <w:sz w:val="1"/>
                <w:szCs w:val="1"/>
                <w:color w:val="auto"/>
              </w:rPr>
            </w:pPr>
          </w:p>
        </w:tc>
      </w:tr>
      <w:tr>
        <w:trPr>
          <w:trHeight w:val="25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tc>
        <w:tc>
          <w:tcPr>
            <w:tcW w:w="16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changes in balances of Clover's Level 3 financial assets and liabilities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8"/>
        </w:trPr>
        <w:tc>
          <w:tcPr>
            <w:tcW w:w="9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Investments</w:t>
            </w:r>
          </w:p>
        </w:tc>
      </w:tr>
      <w:tr>
        <w:trPr>
          <w:trHeight w:val="27"/>
        </w:trPr>
        <w:tc>
          <w:tcPr>
            <w:tcW w:w="9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9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28"/>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9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9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9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9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March 31, 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28"/>
        </w:trPr>
        <w:tc>
          <w:tcPr>
            <w:tcW w:w="9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gains for assets still held, included in Net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equity securities in privately held companies. Their fair value is classified as Level 3 because the valuation relies primarily on unobservable inputs that require significant management judgment. While the valuation process utilizes inputs based on observable market transactions such as comparable company multiples or similar private placements, these must be significantly adjusted using unobservable assumptions to reflect the specific risks and characteristics of the non-marketable private investment. This reliance on subjective, unobservable inputs is the basis for the Level 3 classification and results in a higher degree of valuation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$73.5 million and $94.9 million within Healthcare receivables at March 31,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$1.8 million and $0.2 million for the three months ended March 31, 2026 and 2025, respectively. Additionally, $0.3 million and none were payable to Credo at March 31, 2026, and December 31, 2025, respectively.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$3.9 million at March 31, 2026, and is recognized within Other assets, non-current, in the Condensed Consolidated Balance Sheets.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any changes in fair value associated with these shares are recognized within Other income in the Condensed Consolidated Statements of Operations and Comprehensive Income. Mr. Garipalli is a member of the board of directors of Thyme Care and holds an equity interest of less than five percent (5%) of that entity. Expenses and fees incurred related to this agreement were $4.0 million and $2.7 million for the three months ended March 31, 2026 and 2025, respectively. Additionally, $9.7 million and $6.6 million were payable to Thyme Care at March 31, 2026, and December 31, 2025,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Master Services Agreement in July 2025 with Guidehealth, LLC ("Guidehealth") for value-based care enablement and outsourced administrative services. These services primarily leverage technology and support teams to accelerate and enhance medication adherence rates and patient outcomes. Thomas Tran, a member of the Company's Board of Directors and Chair of the Company's Audit Committee, also serves as a director of Guidehealth and holds an ownership interest of less than 5% in Guidehealth. Pursuant to this agreement, the Company did not recognize any expense for the three months ended March 31, 2026 and $0.5 million was payable to Guidehealth at March 31, 2026.</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Company holds a non-controlling equity investment in Character Biosciences ("CB"), which is accounted for under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at fair value. In accordance with ASC 321, the Company recognizes the fair value of its equity investment in CB within Other assets, non-current on its Condensed Consolidated Balance Sheets and recognizes any change in fair value within Other Income in its Condensed Consolidated Statements of Operations and Comprehensive Income. At March 31, 2026 and December 31, 2025 the fair value of this investment was $8.3 million. CB is considered a related party due to the Company's Executive Chairman and a significant stockholder of the Company, Vivek Garipalli, serves as a member of CB’s Board of Directors. There were no transactions between the Company and CB during the periods presented.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Unpaid Claims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three months ended March 31, 2026 and 2025, respectively,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and net balance,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357,864</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346,376</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229,111</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122,623</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351,734</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and net balance,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260,417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151,038</w:t>
            </w:r>
          </w:p>
        </w:tc>
      </w:tr>
      <w:tr>
        <w:trPr>
          <w:trHeight w:val="20"/>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Unpaid claims for Insurance operations were $260.4 million at March 31, 2026. During the three months ended March 31, 2026, $116.1 million was paid for incurred claims attributable to insured events of prior years. An unfavorable development of $6.4 million was recognized during the three months ended March 31, 2026, resulting from the Company's actual experience with claims developing differently as compared to the Company's estimates at December 31, 2025. A favorable development of $11.5 million was recognized during the three months ended March 31, 2025, resulting from the Company's actual experience with claims developing differently as compared to the Company's estimates at December 31, 2024. Original estimates are increased or decreased, as additional information becomes known regarding individual claims. The ratio of current year medical claims paid as a percentage of current year net medical claims incurred was 62.0% for the three months ended March 31, 2026, and 64.0% for the three months ended March 31, 2025. This ratio serves as an indicator of claims processing speed, indicating that claims were processed at a slower rate during the three months ended March 31, 2026, than during the three months ended March 31, 2025.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Variable Interest Entity and Equity Method of Accounting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2022, CB, a former affiliate of the Company, completed a private capital transaction in which it raised $17.9 million from the issuance of 16,210,602 shares of its preferred stock. Upon completion of the transaction, the Company owned approximately 25.5% of CB. As a result, the Company reassessed its interest in CB and determined that while CB was a Variable Interest Entity ("VIE"), the Company was not considered the primary beneficiary of the VIE because it did not have the power, through voting or similar rights and the license agreements, to direct the activities of CB that most significantly impacted CB's' economic performance. Since that initial financing, CB has completed a series of additional capital raises through the issuance of its shares, each of which has diluted the Company’s ownership.</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it was concluded that the Company's ability to exert significant influence over CB no longer existed. This change in conclusion was influenced by the multiple rounds of funding dropping the Company's ownership below the 20% threshold and the lack of evidence to support continued significant influence. As a result, the Company transitioned its recognition of its equity investment in CB from the equity method of accounting under ASC 323</w:t>
      </w:r>
      <w:r>
        <w:rPr>
          <w:rFonts w:ascii="Times New Roman" w:cs="Times New Roman" w:eastAsia="Times New Roman" w:hAnsi="Times New Roman"/>
          <w:sz w:val="18"/>
          <w:szCs w:val="18"/>
          <w:i w:val="1"/>
          <w:iCs w:val="1"/>
          <w:color w:val="auto"/>
        </w:rPr>
        <w:t>, Investments - Equity Method and Joint Ventures</w:t>
      </w:r>
      <w:r>
        <w:rPr>
          <w:rFonts w:ascii="Times New Roman" w:cs="Times New Roman" w:eastAsia="Times New Roman" w:hAnsi="Times New Roman"/>
          <w:sz w:val="18"/>
          <w:szCs w:val="18"/>
          <w:color w:val="auto"/>
        </w:rPr>
        <w:t xml:space="preserve">, to fair value measurement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See Note 4 "Fair Value Measurements" for further information regarding the valuation techniques and inputs used to determine the fair value of Level 3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of compensation that is contributed by the employee up to 4.0% of eligible annual compensation after one year of service. The Company's service contributions to the 401(k) Plan amounted to approximately $0.5 million for both the three months ended March 31, 2026 and 2025, and are included in Salaries and benefits in the Condensed Consolidated Statements of Operations and Comprehensive Income. The Company's cash match is invested pursuant to the participant's contribution direction. Employer contributions are immediately 100.0% vested.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reserved for issuance over the term of the Plans, shares outstanding under the Plans, and shares remaining under the Plans at March 31, 2026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7320" w:type="dxa"/>
            <w:vAlign w:val="bottom"/>
            <w:gridSpan w:val="2"/>
            <w:vMerge w:val="continue"/>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 Plan</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54,402,262</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21,932,580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112,256,721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35,523,108</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19,002,473</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MIP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2,829,703</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4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for stock options, RSUs, and PRSUs granted under the Plans, and discounts offered in connection with the Company's 2020 Employee Stock Purchase Plan ("ESPP") of $12.5 million and $26.4 million during the three months ended March 31, 2026 and 2025, respectively, and such expenses are presented in Salaries and benefits in the Condensed Consolidated Statements of Operations and Comprehensive Income.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 presented in Salaries and benefits in the Condensed Consolidated Statements of Operations and Comprehensive Income were as follows:</w:t>
      </w:r>
    </w:p>
    <w:p>
      <w:pPr>
        <w:spacing w:after="0" w:line="13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was approximately $343.9 million of unrecognized stock-based compensation expense related to unvested stock options, unvested RSUs, unvested PRSUs and the ESPP.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did not grant stock options during the three months ended March 31, 2026 and 2025, respectively.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three months ended March 31, 2026,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1"/>
                <w:szCs w:val="21"/>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three months ended March 31, 2026,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1"/>
        </w:trPr>
        <w:tc>
          <w:tcPr>
            <w:tcW w:w="864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5"/>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22,990,399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21,932,580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2026, outstanding stock options, substantially all of which are expected to vest, had an aggregate intrinsic value of $0.9 million, and a weighted-average remaining contractual term of 3.21 years. At March 31, 2026, there were 22,706,439 options exercisable under the Plan, with an aggregate intrinsic value of $0.9 million, a weighted-average exercise price of $3.00 per share, and a weighted-average remaining contractual term of 3.21 years. The total value of stock options exercised during the three months ended March 31, 2026 and 2025 was less than $0.1 million and $0.5 million, respectively. Cash received from stock option exercises during the three months ended March 31, 2026 and 2025 totaled less than $0.1 million and $0.2 million,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3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is presented below:</w:t>
            </w:r>
          </w:p>
        </w:tc>
        <w:tc>
          <w:tcPr>
            <w:tcW w:w="3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39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42,953,954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3,221,389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39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37,516,286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6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PRSU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January 7, 2026, the end of the performance period, the market conditions associated with the Company's Market PRSUs were not achieved. Accordingly, the awards were forfeited and cancelled. Consistent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previously recognized compensation cost associated with these awards was not reversed and no additional compensation expense was recognized upon cancellation as the derived service period had been completed.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PRSU activity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84"/>
        </w:trPr>
        <w:tc>
          <w:tcPr>
            <w:tcW w:w="8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2026</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27,523,030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during 2026</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(27,460,364)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there was no unrecognized share-based compensation expense related to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18,430,557 shares, and the maximum number of shares that may be purchased on any single purchase date by any one participant is 5,000 shares. At March 31, 2026, 16,427,870 shares of Class A common stock were available for issuance under the ESPP.</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most recent offering period, is as follows: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Offering period from November 23, 2025 to May 21,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4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years</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of the Company for the three months ended March 31, 2026 and 2025, was 0.0% and 0.0%, respectively. Although the Company generated net income for the three months ended March 31, 2026, it continues to maintain significant net operating loss carryforwards and a net deferred tax asset position. As a result, and in accordance with accounting standards, the Company maintains a valuation allowance to reduce the value of the net deferred tax assets to zero. The Company believes that at March 31, 2026, it had no material uncertain tax positions. Interest and penalties related to unrecognized tax expense (benefits) are recognized in income tax expense, when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at March 31, 2026 and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attributable to Class A common stockholders and Class B common stockholders (collectively,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for the years indicated were calculated as follows:</w:t>
      </w:r>
    </w:p>
    <w:p>
      <w:pPr>
        <w:spacing w:after="0" w:line="182"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28"/>
        </w:trPr>
        <w:tc>
          <w:tcPr>
            <w:tcW w:w="8640" w:type="dxa"/>
            <w:vAlign w:val="bottom"/>
          </w:tcPr>
          <w:p>
            <w:pPr>
              <w:spacing w:after="0"/>
              <w:rPr>
                <w:sz w:val="11"/>
                <w:szCs w:val="11"/>
                <w:color w:val="auto"/>
              </w:rPr>
            </w:pPr>
          </w:p>
        </w:tc>
        <w:tc>
          <w:tcPr>
            <w:tcW w:w="2600" w:type="dxa"/>
            <w:vAlign w:val="bottom"/>
            <w:gridSpan w:val="5"/>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 share and</w:t>
            </w:r>
          </w:p>
        </w:tc>
      </w:tr>
      <w:tr>
        <w:trPr>
          <w:trHeight w:val="196"/>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share amounts)</w:t>
            </w: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common shares and common share equivalents outstanding</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522,184,385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497,056,331</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PRSU</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2,036,417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8"/>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weighted average shares used in computing net income (loss) per share of common stock</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532,501,448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497,056,331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securities are excluded from the computation of diluted earnings (loss) per share if their effect would be anti-dilutive. For the three months ended March 31, 2026, certain potentially dilutive securities were excluded from the computation of diluted earnings per share because their inclusion would have been anti-dilutive. For the three months ended March 31, 2025, the Company incurred a net loss attributable to common stockholders; therefore, all potentially dilutive securities, which include Options, RSUs, and PRSUs, were excluded from the computation of diluted loss per share as their effect would have been anti-dilutive.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earnings (loss) per share of common stock:</w:t>
      </w:r>
    </w:p>
    <w:p>
      <w:pPr>
        <w:spacing w:after="0" w:line="13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4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13,317,762</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24,108,874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25,053,581</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46,399,272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29,214,073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 excluded from computation of net earnings (loss) per share</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38,371,343</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99,722,219</w:t>
            </w:r>
          </w:p>
        </w:tc>
      </w:tr>
      <w:tr>
        <w:trPr>
          <w:trHeight w:val="20"/>
        </w:trPr>
        <w:tc>
          <w:tcPr>
            <w:tcW w:w="8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March 31, 2026, and December 31, 2025,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and Investigations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13. Operating Segments</w:t>
      </w:r>
    </w:p>
    <w:p>
      <w:pPr>
        <w:spacing w:after="0" w:line="16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Clover Health has one reportable segment: Insurance. The Insurance segment provides PPO and HMO plans to Medicare Advantage members in several states. The segment information is prepared on the same basis that the Company's chief executive officer, who is the Chief Operating Decision Maker ("CODM"). These segment groupings are consistent with information used by the CODM, to assess performance and allocate resources.The CODM uses segment gross profit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 Segment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744,189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456,906</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367,887</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gross profit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89,019</w:t>
            </w:r>
          </w:p>
        </w:tc>
      </w:tr>
      <w:tr>
        <w:trPr>
          <w:trHeight w:val="257"/>
        </w:trPr>
        <w:tc>
          <w:tcPr>
            <w:tcW w:w="8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(59,022)</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(50,675)</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 Restrictions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Accordingly, the Company’s regulated insurance subsidiaries’ ability to declare and pay dividends is limited by state regulations, including requirements to obtain prior approval from the New Jersey Department of Banking and Insurance.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The discussion should be read in conjunction with the unaudited condensed consolidated financial statements and notes thereto for the three months ended March 31, 2026, contained in this Quarterly Report on Form 10-Q (the "Form 10-Q") and the audited consolidated financial statements and notes thereto for the year ended December 31, 2025, contained in the Company's Annual Report on Form 10-K for the year ended December 31, 2025, filed with the Securities and Exchange Commission (the "SEC") on February 27, 2026 (the "2025 Form 10-K"). This discussion contains forward-looking statements and involves numerous risks and uncertainties, including, but not limited to, those described in the "Risk Factors" section of the 2025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March 31, 2026, we operated our MA plans in five states and 203 counties, with 155,773 members.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based on one reportable segment: Insurance. Through our Insurance segment, we provide PPO and HMO plans to Medicare Advantage members in several states.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("CODM")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key financial measures for the periods indicated:</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6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9"/>
                <w:szCs w:val="19"/>
                <w:color w:val="auto"/>
              </w:rPr>
            </w:pPr>
          </w:p>
        </w:tc>
      </w:tr>
      <w:tr>
        <w:trPr>
          <w:trHeight w:val="263"/>
        </w:trPr>
        <w:tc>
          <w:tcPr>
            <w:tcW w:w="6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PMPM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 xml:space="preserve">PMPM </w:t>
            </w:r>
            <w:r>
              <w:rPr>
                <w:rFonts w:ascii="Times New Roman" w:cs="Times New Roman" w:eastAsia="Times New Roman" w:hAnsi="Times New Roman"/>
                <w:sz w:val="23"/>
                <w:szCs w:val="23"/>
                <w:b w:val="1"/>
                <w:bCs w:val="1"/>
                <w:color w:val="auto"/>
                <w:w w:val="96"/>
                <w:vertAlign w:val="superscript"/>
              </w:rPr>
              <w:t>(1)</w:t>
            </w:r>
          </w:p>
        </w:tc>
      </w:tr>
      <w:tr>
        <w:trPr>
          <w:trHeight w:val="190"/>
        </w:trPr>
        <w:tc>
          <w:tcPr>
            <w:tcW w:w="6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60" w:type="dxa"/>
            <w:vAlign w:val="bottom"/>
            <w:gridSpan w:val="8"/>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PMPM amounts)</w:t>
            </w:r>
          </w:p>
        </w:tc>
      </w:tr>
      <w:tr>
        <w:trPr>
          <w:trHeight w:val="23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749,189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462,331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589,648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353,442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159,541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108,889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SG&amp;A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83,107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25,782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Segment: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Medicare Advantage membership (#)</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154,607</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101,959</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earned,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456,906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Net medical claims incurred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367,887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34"/>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Benefits Expense Ratio</w:t>
            </w:r>
          </w:p>
        </w:tc>
        <w:tc>
          <w:tcPr>
            <w:tcW w:w="24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86.5 %</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6" w:lineRule="exact"/>
        <w:rPr>
          <w:sz w:val="20"/>
          <w:szCs w:val="20"/>
          <w:color w:val="auto"/>
        </w:rPr>
      </w:pPr>
    </w:p>
    <w:p>
      <w:pPr>
        <w:ind w:left="20" w:right="20" w:firstLine="6"/>
        <w:spacing w:after="0" w:line="242" w:lineRule="auto"/>
        <w:tabs>
          <w:tab w:leader="none" w:pos="15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revenues represents the sum of Premiums earned, net and Other income for a given period. Premiums earned, net reflects the earned portion of premiums under our Medicare Advantage contracts with CMS, net of premiums ceded to reinsurers and inclusive of risk adjustment revenue. Other income primarily consists of investment income and other ancillary revenues. We believe Total revenues is a useful measure of the overall scale and growth of our business, as it captures the aggregate economic inflows generated from our Insurance operations and related activities. Management uses Total revenues to evaluate period-over-period growth, assess the impact of membership levels and risk adjustment performance, analyze revenue trends relative to medical cost and operating expense trends, and support strategic planning and capital allocation decisions.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measures in this Form 10-Q, including Consolidated Gross profit, Adjusted SG&amp;A, Adjusted EBITDA, and Adjusted Net income from operations, and Insurance Benefits expense ratio ("BER").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consolidated financial statements prepared in accordance with GAAP.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and the reconciliations of these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to the comparable GAAP measures, please see "Consolidated Gross profit", "Adjusted SG&amp;A", "Adjusted EBITDA",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and "Benefits expense ratio"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Gross profit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represents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We believe that Consolidated Gross profit provides management, investors, and others a useful view of consolidated business performance and is much more informative of operational results. Accordingly, we believe that Consolidated Gross profit provides investors and others useful information to understand and evaluate our operating results in the same manner as our management and our board of directors.</w:t>
      </w:r>
    </w:p>
    <w:p>
      <w:pPr>
        <w:spacing w:after="0" w:line="158"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(GAAP):</w:t>
            </w:r>
          </w:p>
        </w:tc>
        <w:tc>
          <w:tcPr>
            <w:tcW w:w="4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 (Non-GAAP)</w:t>
            </w:r>
          </w:p>
        </w:tc>
        <w:tc>
          <w:tcPr>
            <w:tcW w:w="39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159,541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980" w:type="dxa"/>
            <w:vAlign w:val="bottom"/>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2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Adjusted SG&amp;A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SG&amp;A, a GAAP financial measure, to Adjusted SG&amp;A, a non-GAAP measure:</w:t>
      </w:r>
    </w:p>
    <w:p>
      <w:pPr>
        <w:spacing w:after="0" w:line="200"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3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57,063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59,022</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74,629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50,675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(GAAP)</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131,692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109,697</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(12,271)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(26,437)</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SG&amp;A (non-GAAP)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119,284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83,107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(GAAP)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749,189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462,331</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(non-GAAP) as a percentage of Total revenues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income (loss) before depreciation and amortization, loss on investment, interest expense, change in fair value of warrants, stock-based compensation, premium deficiency reserve expense, restructuring (recoveries)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Net income (loss), a GAAP financial measure, to Adjusted EBITDA, a non-GAAP financial measure:</w:t>
      </w:r>
    </w:p>
    <w:p>
      <w:pPr>
        <w:spacing w:after="0" w:line="200"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(GAAP):</w:t>
            </w:r>
          </w:p>
        </w:tc>
        <w:tc>
          <w:tcPr>
            <w:tcW w:w="4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3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4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(non-GAAP)</w:t>
            </w:r>
          </w:p>
        </w:tc>
        <w:tc>
          <w:tcPr>
            <w:tcW w:w="4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4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5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is a non-GAAP financial measure defined by us as net income (loss) before stock-based compensation, premium deficiency reserve benefit, restructuring costs, non-recurring legal expenses and settlement, and impairment of goodwill and other intangible assets. Adjusted Net income is a key measure used by our management team and the board of directors to understand and evaluate our operating performance and trends. We believe that Adjusted Net income is helpful to investors in assessing the Company’s financial performance in the same manner as our management and our board of directors.</w:t>
      </w:r>
    </w:p>
    <w:p>
      <w:pPr>
        <w:spacing w:after="0" w:line="15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(GAAP):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Benefits Expense Ratio</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Insurance Benefits Expense Ratio ("BER") is a non-GAAP financial measure. We calculate our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for the current year. We believe our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The Company has discontinued disclosure of Normalized Insurance Benefits Expense Ratio ("Normalized BER") beginning in the first quarter of 2026, as management no longer uses this metric to evaluate operating performance or allocate resources. The Company will continue to present Insurance Benefits Expense Ratio.</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reconciliations of Insurance Net medical claims incurred, net and Premiums earned, net which are GAAP measures, to Insurance BER, which represents a non-GAAP measure.</w:t>
      </w:r>
    </w:p>
    <w:p>
      <w:pPr>
        <w:spacing w:after="0" w:line="13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3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medical claims incurred, net (GAAP)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610,001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367,887</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Quality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34,047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25,712</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Benefits Expense (non-GAAP)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644,048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393,599</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(GAAP)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744,189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456,906</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Benefits Expense Ratio (non-GAAP)</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March 31, 2026 and 2025.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Between 2026 and 2025</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$92 and $95 for the three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March 31, 2026 and 2025,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456,906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287,283</w:t>
            </w:r>
          </w:p>
        </w:tc>
        <w:tc>
          <w:tcPr>
            <w:tcW w:w="80" w:type="dxa"/>
            <w:vAlign w:val="bottom"/>
          </w:tcPr>
          <w:p>
            <w:pPr>
              <w:spacing w:after="0"/>
              <w:rPr>
                <w:sz w:val="21"/>
                <w:szCs w:val="21"/>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749,189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286,858</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Pr>
          <w:p>
            <w:pPr>
              <w:spacing w:after="0"/>
              <w:rPr>
                <w:sz w:val="23"/>
                <w:szCs w:val="23"/>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258,250</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28,608</w:t>
            </w:r>
          </w:p>
        </w:tc>
        <w:tc>
          <w:tcPr>
            <w:tcW w:w="80" w:type="dxa"/>
            <w:vAlign w:val="bottom"/>
          </w:tcPr>
          <w:p>
            <w:pPr>
              <w:spacing w:after="0"/>
              <w:rPr>
                <w:sz w:val="19"/>
                <w:szCs w:val="19"/>
                <w:color w:val="auto"/>
              </w:rPr>
            </w:pPr>
          </w:p>
        </w:tc>
        <w:tc>
          <w:tcPr>
            <w:tcW w:w="1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28,608</w:t>
            </w:r>
          </w:p>
        </w:tc>
        <w:tc>
          <w:tcPr>
            <w:tcW w:w="80" w:type="dxa"/>
            <w:vAlign w:val="bottom"/>
          </w:tcPr>
          <w:p>
            <w:pPr>
              <w:spacing w:after="0"/>
              <w:rPr>
                <w:sz w:val="19"/>
                <w:szCs w:val="19"/>
                <w:color w:val="auto"/>
              </w:rPr>
            </w:pPr>
          </w:p>
        </w:tc>
        <w:tc>
          <w:tcPr>
            <w:tcW w:w="14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-668020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-2459355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Premiums earned, net increased $287.3 million, or 63%, to $744.2 million for the three months ended March 31, 2026, compared to the three months ended March 31, 2025. The increase was primarily driven by growth in our average members over the period, which increased approximately 51%. In addition, we are currently being paid on 4.0 stars in the current year as compared to 3.5 stars in the prior period for our PPO plans which comprises the large majority of our members.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decreased by $0.4 million, or 8%, to $5.0 million for the three months ended March 31, 2026, compared to the three months ended March 31, 2025. The decrease was primarily driven by a lower interest rate environment during the period, which resulted in lower investment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medical claims incurred increased $236.2 million, or 67%, to $589.6 million for the three months ended March 31, 2026, compared to the three months ended March 31, 2025. The increase was primarily driven by growth in our average members during the period, which increased approximately 51%.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decreased by $2.0 million, or 3%, to $57.1 million for the three months ended March 31, 2026, compared to the three months ended March 31, 2025. This decrease was primarily driven by a decrease in our stock-based compensation expense partially offset by an increase in base salaries as a result of an increase in headcount to support our membership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$24.0 million, or 47%, to $74.6 million for the three months ended March 31, 2026, compared to the three months ended March 31, 2025. The increase was primarily driven by higher professional fees and broker fees driven by membership growth during the most recent annual enrollment period.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premiums earned under our MA plans. We expect that our cash, cash equivalents,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March 31, 2026 and December 31, 2025, total cash, cash equivalents, and investments were $418.2 million and $319.9 million, respectively. These totals consist of $240.7 million and $224.6 million at March 31, 2026 and December 31, 2025, respectively, that specifically relate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total cash, cash equivalents, and investments for the parent company, Clover Health Investments, Corp., and unregulated subsidiaries were $105.5 million and $122.0 million, respectively.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2026 and December 31, 2025, total cash, cash equivalents, and investments for our regulated subsidiaries were $312.7 million and $197.9 million, respectively. Additionally, our regulated insurance subsidiaries held $178.5 million and $178.1 million of available-for-sale and held-to-maturity investment securities at March 31, 2026 and December 31, 2025, respectively. Our use of operating cash derived from our unregulated subsidiaries is generally not restricted by departments of insurance (or comparable state regulatory agencies). Our regulated insurance subsidiaries are subject to regulations and standards in their respective jurisdictions on their ability to declare and pay dividends to the parent. As of March 31, 2026, there have been no dividends paid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20 "Dividend Restrictions", 21 "Statutory Equity", and 22 "Regulatory Matters" in the 2025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three months ended March 31, 2026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46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3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9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107,895</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(31,741)</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(39,104)</w:t>
            </w:r>
          </w:p>
        </w:tc>
      </w:tr>
      <w:tr>
        <w:trPr>
          <w:trHeight w:val="898"/>
        </w:trPr>
        <w:tc>
          <w:tcPr>
            <w:tcW w:w="4600" w:type="dxa"/>
            <w:vAlign w:val="bottom"/>
          </w:tcPr>
          <w:p>
            <w:pPr>
              <w:spacing w:after="0"/>
              <w:rPr>
                <w:sz w:val="24"/>
                <w:szCs w:val="24"/>
                <w:color w:val="auto"/>
              </w:rPr>
            </w:pPr>
          </w:p>
        </w:tc>
        <w:tc>
          <w:tcPr>
            <w:tcW w:w="356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operating activities was $107.9 million, which reflects Net income of $27.3 million. The changes in operating assets and liabilities were largely attributable to a $107.2 million increase in Unpaid claims. Non-cash activities primarily included a $12.3 million charge to Stock-based compensation.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$16.3 million, which reflects a Net loss of $1.3 million. Non-cash activities primarily included a $26.4 million charge to Stock-based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of $5.1 million was primarily due to $40.9 million used to purchase investments. This was partially offset by $36.7 million provided from the sales and maturities of investment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of $8.9 million was primarily due to $42.3 million provided from the sales and maturities of investment securities. This was partially offset by $33.2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to our condensed consolidated financial statements included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of $7.9 million was primarily the result of cash paid for shares withheld related to stock-based compensation totaling $7.9 million.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of $31.7 million was primarily the result of cash paid for repurchases our Class A common stock totaling $18.3 million in addition to cash paid for shares withheld related to stock-based compensation totaling $13.7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March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March 31, 2026 include operating lease obligations of $3.8 million. These commitments are associated with contracts that were enforceable and legally binding at March 31, 2026,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March 31, 2026. For additional information regarding our remaining estimated contractual obligations and commitments, see Note 12 "Commitments and Contingencies" in the accompanying notes to the consolidated financial statements included 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and estimates involve a significant degree of judgment and complexity. There have been no significant changes in our critical accounting policies and estimates during the three months ended March 31, 2026, as compared to the critical accounting policies and estimates disclosed in the section titled "Management's Discussion and Analysis of Financial Condition and Results of Operations" included in the 2025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the consolidated financial statements included in this Form 10-Q for a discussion of accounting pronouncements recently adopted and recently issued accounting pronouncements not yet adopted and their potential impact to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March 31, 2026, none of our fixed maturity securities portfolio was unrated or rated below investment grade.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March 31, 2026, pursuant to Rule 13a-15(b) under the Securities Exchange Act of 1934, as amended (the "Exchange Act"). Based upon that evaluation, our Certifying Officers concluded that, at March 31, 2026, our disclosure controls and procedures were effective.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12 "Commitments and Contingencies" in the accompanying notes to condensed consolidated financial statements included in Part I, Item 1 of this Form 10-Q,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Except as subsequently disclosed in our periodic reports, there have been no material changes in our risk factors from those disclosed in Part I, Item 1A of the 2025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2025 Form 10-K, as well as the factors identified under "Cautionary Note Regarding Forward-Looking Statements" at the beginning of Part I, Item 1 of this Form 10-Q and as may be updated in subsequent filings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as described below, two of the Company’s officers (as defined in Rule 16a-1(f) of the Exchange Act) adopted or terminated a Rule 10b5-1 trading arrangement or non-Rule 10b5-1 trading arrangement (as such terms are defined in Item 408(a) of Regulation S-K of the Securities Act). None of the Company's directors (as defined in Rule 16a-1(f) of the Exchange Act) entered into such a trading arrangement during the quarter.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12, 2026, Karen Soares, the Chief Legal Officer of the Company, adopted a Rule 10b5-1 trading plan intended to satisfy the affirmative defense conditions of Rule 10b5-1(c) under the Securities Exchange Act of 1934, as amended. The trading plan was entered into during an open trading window in accordance with the Company’s Insider Trading Policy and includes a cooling-off period of 90 days. The plan provides for the potential sale of up to 236,240 shares of the Company’s Class A Common Stock, subject to specified market price conditions and other terms, beginning no earlier than June 11, 2026, and ending no later than February 28, 2027. Ms. Soares has informed the Company that the purpose of the trading plan is to facilitate personal financial planning, including tax and diversification strategies. Any transactions under the plan will be disclosed publicly through Form 4 filings with the Securities and Exchange Commission, as applicable.</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12, 2026, Jamie Reynoso, our Chief Executive Officer of Medicare Advantage, adopted a Rule 10b5-1 trading plan intended to satisfy the affirmative defense conditions of Rule 10b5-1(c) under the Securities Exchange Act of 1934, as amended. The trading plan was entered into during an open trading window in accordance with the Company’s Insider Trading Policy and includes a cooling-off period of 90 days. The plan provides for the potential sale of up to 300,868 shares of the Company’s Class A Common Stock, subject to specified market price conditions and other terms, beginning no earlier than June 11, 2026, and ending no later than February 28, 2027. Ms. Reynoso has informed the Company that the purpose of the trading plan is to facilitate personal financial planning, including tax and diversification strategies. Any transactions under the plan will be disclosed publicly through Form 4 filings with the Securities and Exchange Commission, as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Form of Restricted Stock Unit Award Agreement</w:t>
            </w:r>
          </w:p>
        </w:tc>
        <w:tc>
          <w:tcPr>
            <w:tcW w:w="5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4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9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10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360" w:val="left"/>
          <w:tab w:leader="none" w:pos="78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Clay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Clay Thornton</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Interim Chief Financial Officer (Principal Financial Officer)</w:t>
      </w:r>
    </w:p>
    <w:p>
      <w:pPr>
        <w:spacing w:after="0" w:line="369" w:lineRule="exact"/>
        <w:rPr>
          <w:sz w:val="20"/>
          <w:szCs w:val="20"/>
          <w:color w:val="auto"/>
        </w:rPr>
      </w:pPr>
    </w:p>
    <w:p>
      <w:pPr>
        <w:ind w:left="20"/>
        <w:spacing w:after="0"/>
        <w:tabs>
          <w:tab w:leader="none" w:pos="5360" w:val="left"/>
          <w:tab w:leader="none" w:pos="7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 Oldakowski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Joe Oldakowski</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Vice President,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1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NAME]: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this Restricted Stock Unit Grant Notice (the “</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the Clover Health Investments, Corp.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attached Restricted Stock Unit Agreement ([which includes the Country-Specific Addendum,]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as set forth below. Unless otherwise defined herein, the terms used in this Notice of Grant shall have the meanings defined in the Plan.</w:t>
      </w:r>
    </w:p>
    <w:p>
      <w:pPr>
        <w:sectPr>
          <w:pgSz w:w="11900" w:h="16838" w:orient="portrait"/>
          <w:cols w:equalWidth="0" w:num="1">
            <w:col w:w="11240"/>
          </w:cols>
          <w:pgMar w:left="320" w:top="1413" w:right="339" w:bottom="1440" w:gutter="0" w:footer="0" w:header="0"/>
        </w:sectPr>
      </w:pP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42" w:lineRule="exact"/>
        <w:rPr>
          <w:sz w:val="20"/>
          <w:szCs w:val="20"/>
          <w:color w:val="auto"/>
        </w:rPr>
      </w:pPr>
    </w:p>
    <w:p>
      <w:pPr>
        <w:sectPr>
          <w:pgSz w:w="11900" w:h="16838" w:orient="portrait"/>
          <w:cols w:equalWidth="0" w:num="2">
            <w:col w:w="2440" w:space="720"/>
            <w:col w:w="8080"/>
          </w:cols>
          <w:pgMar w:left="320" w:top="1413"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42" w:lineRule="exact"/>
        <w:rPr>
          <w:sz w:val="20"/>
          <w:szCs w:val="20"/>
          <w:color w:val="auto"/>
        </w:rPr>
      </w:pPr>
    </w:p>
    <w:p>
      <w:pPr>
        <w:sectPr>
          <w:pgSz w:w="11900" w:h="16838" w:orient="portrait"/>
          <w:cols w:equalWidth="0" w:num="2">
            <w:col w:w="2440" w:space="720"/>
            <w:col w:w="8080"/>
          </w:cols>
          <w:pgMar w:left="320" w:top="1413"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42" w:lineRule="exact"/>
        <w:rPr>
          <w:sz w:val="20"/>
          <w:szCs w:val="20"/>
          <w:color w:val="auto"/>
        </w:rPr>
      </w:pPr>
    </w:p>
    <w:p>
      <w:pPr>
        <w:sectPr>
          <w:pgSz w:w="11900" w:h="16838" w:orient="portrait"/>
          <w:cols w:equalWidth="0" w:num="2">
            <w:col w:w="2820" w:space="340"/>
            <w:col w:w="8080"/>
          </w:cols>
          <w:pgMar w:left="320" w:top="1413" w:right="339" w:bottom="1440" w:gutter="0" w:footer="0" w:header="0"/>
          <w:type w:val="continuous"/>
        </w:sectPr>
      </w:pPr>
    </w:p>
    <w:p>
      <w:pPr>
        <w:ind w:left="620"/>
        <w:spacing w:after="0" w:line="237" w:lineRule="auto"/>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331" w:lineRule="exact"/>
        <w:rPr>
          <w:sz w:val="20"/>
          <w:szCs w:val="20"/>
          <w:color w:val="auto"/>
        </w:rPr>
      </w:pPr>
    </w:p>
    <w:p>
      <w:pPr>
        <w:sectPr>
          <w:pgSz w:w="11900" w:h="16838" w:orient="portrait"/>
          <w:cols w:equalWidth="0" w:num="2">
            <w:col w:w="2640" w:space="520"/>
            <w:col w:w="8080"/>
          </w:cols>
          <w:pgMar w:left="320" w:top="1413"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Vesting Schedule:</w:t>
      </w:r>
    </w:p>
    <w:p>
      <w:pPr>
        <w:sectPr>
          <w:pgSz w:w="11900" w:h="16838" w:orient="portrait"/>
          <w:cols w:equalWidth="0" w:num="1">
            <w:col w:w="11240"/>
          </w:cols>
          <w:pgMar w:left="320" w:top="1413" w:right="339" w:bottom="1440" w:gutter="0" w:footer="0" w:header="0"/>
          <w:type w:val="continuous"/>
        </w:sect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Section 3 of the Award Agreement, the Restricted Stock Units will vest in accordance with the following schedule: [INSERT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this Award (whether electronically or otherwise), Participant acknowledges and agrees to the following:</w:t>
      </w:r>
    </w:p>
    <w:p>
      <w:pPr>
        <w:spacing w:after="0" w:line="117" w:lineRule="exact"/>
        <w:rPr>
          <w:sz w:val="20"/>
          <w:szCs w:val="20"/>
          <w:color w:val="auto"/>
        </w:rPr>
      </w:pPr>
    </w:p>
    <w:p>
      <w:pPr>
        <w:jc w:val="both"/>
        <w:ind w:firstLine="8"/>
        <w:spacing w:after="0" w:line="266" w:lineRule="auto"/>
        <w:tabs>
          <w:tab w:leader="none" w:pos="1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Award and the Plan.</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Award is subject to Participant’s continuous status as a Service Provider, which is for an unspecified duration and may be terminated at any time, with or without Cause, and nothing in the Award Agreement or the Plan changes the nature of that relationship.</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spacing w:after="0" w:line="6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consents to electronic delivery and participation as set forth in the Plan and the Award Agreement.</w:t>
      </w:r>
    </w:p>
    <w:p>
      <w:pPr>
        <w:sectPr>
          <w:pgSz w:w="11900" w:h="16838" w:orient="portrait"/>
          <w:cols w:equalWidth="0" w:num="1">
            <w:col w:w="11240"/>
          </w:cols>
          <w:pgMar w:left="320" w:top="1413" w:right="339" w:bottom="1440" w:gutter="0" w:footer="0" w:header="0"/>
          <w:type w:val="continuous"/>
        </w:sectPr>
      </w:pPr>
    </w:p>
    <w:bookmarkStart w:id="36" w:name="page37"/>
    <w:bookmarkEnd w:id="36"/>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32486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32486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CLOVER HEALTH INVESTMENTS, CORP.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AGREEMENT</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333375</wp:posOffset>
            </wp:positionV>
            <wp:extent cx="31889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325755</wp:posOffset>
            </wp:positionV>
            <wp:extent cx="31889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601" w:lineRule="exact"/>
        <w:rPr>
          <w:sz w:val="20"/>
          <w:szCs w:val="20"/>
          <w:color w:val="auto"/>
        </w:rPr>
      </w:pPr>
    </w:p>
    <w:p>
      <w:pPr>
        <w:sectPr>
          <w:pgSz w:w="11900" w:h="16838" w:orient="portrait"/>
          <w:cols w:equalWidth="0" w:num="2">
            <w:col w:w="5520" w:space="720"/>
            <w:col w:w="5000"/>
          </w:cols>
          <w:pgMar w:left="320" w:top="1440" w:right="339" w:bottom="1440" w:gutter="0" w:footer="0" w:header="0"/>
        </w:sectPr>
      </w:pPr>
    </w:p>
    <w:p>
      <w:pPr>
        <w:spacing w:after="0" w:line="37" w:lineRule="exact"/>
        <w:rPr>
          <w:sz w:val="20"/>
          <w:szCs w:val="20"/>
          <w:color w:val="auto"/>
        </w:rPr>
      </w:pPr>
    </w:p>
    <w:p>
      <w:pPr>
        <w:jc w:val="both"/>
        <w:ind w:firstLine="8"/>
        <w:spacing w:after="0" w:line="259"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named in the Notice of Restricted Stock Unit Grant (the “</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an Award of Restricted Stock Units under the Clover Health Investments, Corp.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all of the terms and conditions in the Notice of Grant, this Restricted Stock Unit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 which is incorporated herein by reference. [If there is a conflict between the terms and conditions of the Plan and the terms and conditions of this Award Agreement, the terms and conditions of the Plan will prevail.]</w:t>
      </w:r>
    </w:p>
    <w:p>
      <w:pPr>
        <w:spacing w:after="0" w:line="75" w:lineRule="exact"/>
        <w:rPr>
          <w:rFonts w:ascii="Times New Roman" w:cs="Times New Roman" w:eastAsia="Times New Roman" w:hAnsi="Times New Roman"/>
          <w:sz w:val="18"/>
          <w:szCs w:val="18"/>
          <w:color w:val="auto"/>
        </w:rPr>
      </w:pPr>
    </w:p>
    <w:p>
      <w:pPr>
        <w:jc w:val="both"/>
        <w:ind w:firstLine="8"/>
        <w:spacing w:after="0" w:line="254" w:lineRule="auto"/>
        <w:tabs>
          <w:tab w:leader="none" w:pos="1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such vested Restricted Stock Units will be settled by delivery of whole Shares as soon as practicable after vesting, but in each such case within the period ending no later than the date that is two and one-half (2</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spacing w:after="0" w:line="80" w:lineRule="exact"/>
        <w:rPr>
          <w:rFonts w:ascii="Times New Roman" w:cs="Times New Roman" w:eastAsia="Times New Roman" w:hAnsi="Times New Roman"/>
          <w:sz w:val="18"/>
          <w:szCs w:val="18"/>
          <w:color w:val="auto"/>
        </w:rPr>
      </w:pPr>
    </w:p>
    <w:p>
      <w:pPr>
        <w:jc w:val="both"/>
        <w:ind w:firstLine="8"/>
        <w:spacing w:after="0" w:line="255" w:lineRule="auto"/>
        <w:tabs>
          <w:tab w:leader="none" w:pos="1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Status as a Service Provider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80" w:lineRule="exact"/>
        <w:rPr>
          <w:rFonts w:ascii="Times New Roman" w:cs="Times New Roman" w:eastAsia="Times New Roman" w:hAnsi="Times New Roman"/>
          <w:sz w:val="18"/>
          <w:szCs w:val="18"/>
          <w:color w:val="auto"/>
        </w:rPr>
      </w:pPr>
    </w:p>
    <w:p>
      <w:pPr>
        <w:jc w:val="both"/>
        <w:ind w:firstLine="8"/>
        <w:spacing w:after="0" w:line="254" w:lineRule="auto"/>
        <w:tabs>
          <w:tab w:leader="none" w:pos="1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 (y) the payment of such accelerated Restricted Stock Units will result in the imposition of additional tax under Code Section 409A if paid to Participant on or within the six</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 period following</w:t>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Participant’s termination as a Service Provider, then the payment of such accelerated Restricted Stock Units will not be made until the date six (6) months and one</w:t>
      </w:r>
    </w:p>
    <w:p>
      <w:pPr>
        <w:spacing w:after="0" w:line="189" w:lineRule="exact"/>
        <w:rPr>
          <w:sz w:val="20"/>
          <w:szCs w:val="20"/>
          <w:color w:val="auto"/>
        </w:rPr>
      </w:pPr>
    </w:p>
    <w:p>
      <w:pPr>
        <w:jc w:val="both"/>
        <w:ind w:firstLine="8"/>
        <w:spacing w:after="0" w:line="254" w:lineRule="auto"/>
        <w:tabs>
          <w:tab w:leader="none" w:pos="2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date of Participant’s termination as a Service Provider, unless the Participant dies following his or her termination as a Service Provider, in which case, the Restricted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spacing w:after="0" w:line="84" w:lineRule="exact"/>
        <w:rPr>
          <w:sz w:val="20"/>
          <w:szCs w:val="20"/>
          <w:color w:val="auto"/>
        </w:rPr>
      </w:pPr>
    </w:p>
    <w:p>
      <w:pPr>
        <w:jc w:val="both"/>
        <w:ind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Except as otherwise provided in the Notice of Grant, any Restricted Stock Units that have not vested will be forfeited and will return to the Plan on the date that is thirty (30) days following the termination of Participant’s status as a Service Provider.</w:t>
      </w:r>
    </w:p>
    <w:p>
      <w:pPr>
        <w:spacing w:after="0" w:line="67" w:lineRule="exact"/>
        <w:rPr>
          <w:rFonts w:ascii="Times New Roman" w:cs="Times New Roman" w:eastAsia="Times New Roman" w:hAnsi="Times New Roman"/>
          <w:sz w:val="18"/>
          <w:szCs w:val="18"/>
          <w:color w:val="auto"/>
        </w:rPr>
      </w:pPr>
    </w:p>
    <w:p>
      <w:pPr>
        <w:jc w:val="both"/>
        <w:ind w:firstLine="8"/>
        <w:spacing w:after="0" w:line="261"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67" w:lineRule="exact"/>
        <w:rPr>
          <w:rFonts w:ascii="Times New Roman" w:cs="Times New Roman" w:eastAsia="Times New Roman" w:hAnsi="Times New Roman"/>
          <w:sz w:val="18"/>
          <w:szCs w:val="18"/>
          <w:color w:val="auto"/>
        </w:rPr>
      </w:pPr>
    </w:p>
    <w:p>
      <w:pPr>
        <w:jc w:val="both"/>
        <w:ind w:firstLine="8"/>
        <w:spacing w:after="0" w:line="252" w:lineRule="auto"/>
        <w:tabs>
          <w:tab w:leader="none" w:pos="1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an Affiliate or Employer pursuant to Applicable Laws)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condition to the grant and vesting of the Restricted Stock Units and as set forth in Section 16 of the Plan, Participant hereby agrees to make adequate provision for the satisfaction of (and will indemnify the Company and any Affiliate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(provided that amounts withheld shall not exceed the amount necessary to satisfy the Company’s minimum tax withholding obligations);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Any Shares withheld pursuant to this Section 7 shall be valued based on the Fair Market Value as of the date the withholding obligations are satisfied. Furthermore, Participant agrees to pay the Company, any Affiliate or Employer any Tax-Related Items that cannot be satisfied by the foregoing methods. If Participant is subject to Section 16 of the Exchange Act, unless either an alternative method is authorized by the Committee or the Participant has a made a “Cash Election Payment” (as defined below), otherwise authorized by the Company, Participant’s obligations with respect to all Tax-Related Items shall be satisfied by the method described in clause (iv) above, with the sale arranged by the Company pursuant to a mandatory “sell-to-cover” program (the “</w:t>
      </w:r>
      <w:r>
        <w:rPr>
          <w:rFonts w:ascii="Times New Roman" w:cs="Times New Roman" w:eastAsia="Times New Roman" w:hAnsi="Times New Roman"/>
          <w:sz w:val="18"/>
          <w:szCs w:val="18"/>
          <w:b w:val="1"/>
          <w:bCs w:val="1"/>
          <w:i w:val="1"/>
          <w:iCs w:val="1"/>
          <w:color w:val="auto"/>
        </w:rPr>
        <w:t>Sell to Cover Program</w:t>
      </w:r>
      <w:r>
        <w:rPr>
          <w:rFonts w:ascii="Times New Roman" w:cs="Times New Roman" w:eastAsia="Times New Roman" w:hAnsi="Times New Roman"/>
          <w:sz w:val="18"/>
          <w:szCs w:val="18"/>
          <w:color w:val="auto"/>
        </w:rPr>
        <w:t>”) instituted by the Company with a registered broker-dealer such that the registered broker dealer will sell on the open market the number of Shares having an aggregate value, after deduction of the broker’s commission and applicable fees, if any, necessary to generate the proceeds needed to satisfy the Tax-Related Items. The Sell-to-Cover Program will be administered by the Company with no discretion by the Participant with respect to any sale under the Sell-to-Cover Program. To the extent the proceeds of such sale(s) exceed the Tax-Related Items, the Company agrees to pay any excess cash to the Participant as soon as practicable. The Participant agrees to hold the Company and the broker harmless from all costs, damages or expenses relating to any such sale(s). The Participant acknowledges that the Company and the broker are under no obligation to arrange for such sale(s) at any particular price, and that the sales on the open market will occur at the then prevailing market price(s) as soon as practicable on or after each date on which the RSUs are settled. In connection with such sale of Shares, the Participant shall execute any such documents requested by the broker, if any, in order to effectuate the sale of Shares and payment of the withholding obligation to the Company. If a Participant who is subject to Section 16 of the Exchange Act wishes to be excluded from the Sell to Cover Program for one or more vesting events, Participant may, at the Participant’s written request on a form approved by the Company executed during an open trading window under the terms of the Company’s insider trading policy, as amended from time to time, (a “Cash Payment Election”), make an irrevocable election to pay to the Company prior to each applicable vesting event an amount of cash to satisfy the Tax-Related Items, as described in clause (i) above, through a procedure to be established with the Company; provided that, if a Cash Payment Election is completed, the Cash Payment Election cannot apply to any vesting events that occurs within 90 days of the date on which the Cash Payment Election was completed. Without limiting the generality of the foregoing, if Participant is subject to Section 16 of the Exchange Act, any implementation of a net settlement contemplated by clause (iii) above shall be specifically authorized and approved by the Committee or the Board prior to the applicable vesting event.</w:t>
      </w:r>
    </w:p>
    <w:p>
      <w:pPr>
        <w:spacing w:after="0" w:line="94" w:lineRule="exact"/>
        <w:rPr>
          <w:sz w:val="20"/>
          <w:szCs w:val="20"/>
          <w:color w:val="auto"/>
        </w:rPr>
      </w:pPr>
    </w:p>
    <w:p>
      <w:pPr>
        <w:jc w:val="both"/>
        <w:ind w:firstLine="8"/>
        <w:spacing w:after="0" w:line="258"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75" w:lineRule="exact"/>
        <w:rPr>
          <w:rFonts w:ascii="Times New Roman" w:cs="Times New Roman" w:eastAsia="Times New Roman" w:hAnsi="Times New Roman"/>
          <w:sz w:val="18"/>
          <w:szCs w:val="18"/>
          <w:color w:val="auto"/>
        </w:rPr>
      </w:pPr>
    </w:p>
    <w:p>
      <w:pPr>
        <w:jc w:val="both"/>
        <w:ind w:firstLine="8"/>
        <w:spacing w:after="0" w:line="258" w:lineRule="auto"/>
        <w:tabs>
          <w:tab w:leader="none" w:pos="1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w:t>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84" w:lineRule="exact"/>
        <w:rPr>
          <w:sz w:val="20"/>
          <w:szCs w:val="20"/>
          <w:color w:val="auto"/>
        </w:rPr>
      </w:pPr>
    </w:p>
    <w:p>
      <w:pPr>
        <w:jc w:val="both"/>
        <w:ind w:firstLine="8"/>
        <w:spacing w:after="0" w:line="266"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Secretary at Clover Health Investments, Corp., 725 Cool Springs Blvd, Suite 300, Franklin, Tennessee 37067,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jc w:val="both"/>
        <w:ind w:firstLine="8"/>
        <w:spacing w:after="0" w:line="258" w:lineRule="auto"/>
        <w:tabs>
          <w:tab w:leader="none" w:pos="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53" w:lineRule="exact"/>
        <w:rPr>
          <w:rFonts w:ascii="Times New Roman" w:cs="Times New Roman" w:eastAsia="Times New Roman" w:hAnsi="Times New Roman"/>
          <w:sz w:val="18"/>
          <w:szCs w:val="18"/>
          <w:color w:val="auto"/>
        </w:rPr>
      </w:pPr>
    </w:p>
    <w:p>
      <w:pPr>
        <w:jc w:val="both"/>
        <w:ind w:firstLine="8"/>
        <w:spacing w:after="0" w:line="255"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 and Imposition of Other Requirements</w:t>
      </w:r>
      <w:r>
        <w:rPr>
          <w:rFonts w:ascii="Times New Roman" w:cs="Times New Roman" w:eastAsia="Times New Roman" w:hAnsi="Times New Roman"/>
          <w:sz w:val="18"/>
          <w:szCs w:val="18"/>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the Company’s bylaws, including any restrictions on the disposition of Shares acquired under the Plan [and any addendum for Participant’s country (the “</w:t>
      </w:r>
      <w:r>
        <w:rPr>
          <w:rFonts w:ascii="Times New Roman" w:cs="Times New Roman" w:eastAsia="Times New Roman" w:hAnsi="Times New Roman"/>
          <w:sz w:val="18"/>
          <w:szCs w:val="18"/>
          <w:b w:val="1"/>
          <w:bCs w:val="1"/>
          <w:i w:val="1"/>
          <w:iCs w:val="1"/>
          <w:color w:val="auto"/>
        </w:rPr>
        <w:t>Country-Specific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color w:val="auto"/>
        </w:rPr>
        <w:t>,” which forms part this Award Agreement)]. Participant also understands and agrees that if he or she works, resides, moves to, or otherwise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p>
      <w:pPr>
        <w:spacing w:after="0" w:line="82" w:lineRule="exact"/>
        <w:rPr>
          <w:sz w:val="20"/>
          <w:szCs w:val="20"/>
          <w:color w:val="auto"/>
        </w:rPr>
      </w:pPr>
    </w:p>
    <w:p>
      <w:pPr>
        <w:jc w:val="both"/>
        <w:ind w:firstLine="8"/>
        <w:spacing w:after="0" w:line="266" w:lineRule="auto"/>
        <w:tabs>
          <w:tab w:leader="none" w:pos="2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jc w:val="both"/>
        <w:ind w:firstLine="8"/>
        <w:spacing w:after="0" w:line="258" w:lineRule="auto"/>
        <w:tabs>
          <w:tab w:leader="none" w:pos="2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75" w:lineRule="exact"/>
        <w:rPr>
          <w:rFonts w:ascii="Times New Roman" w:cs="Times New Roman" w:eastAsia="Times New Roman" w:hAnsi="Times New Roman"/>
          <w:sz w:val="18"/>
          <w:szCs w:val="18"/>
          <w:color w:val="auto"/>
        </w:rPr>
      </w:pPr>
    </w:p>
    <w:p>
      <w:pPr>
        <w:jc w:val="both"/>
        <w:ind w:firstLine="8"/>
        <w:spacing w:after="0" w:line="255" w:lineRule="auto"/>
        <w:tabs>
          <w:tab w:leader="none" w:pos="2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By accepting this Award,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p>
      <w:pPr>
        <w:spacing w:after="0" w:line="215" w:lineRule="exact"/>
        <w:rPr>
          <w:rFonts w:ascii="Times New Roman" w:cs="Times New Roman" w:eastAsia="Times New Roman" w:hAnsi="Times New Roman"/>
          <w:sz w:val="18"/>
          <w:szCs w:val="18"/>
          <w:color w:val="auto"/>
        </w:rPr>
      </w:pPr>
    </w:p>
    <w:p>
      <w:pPr>
        <w:ind w:firstLine="8"/>
        <w:spacing w:after="0" w:line="282" w:lineRule="auto"/>
        <w:tabs>
          <w:tab w:leader="none" w:pos="2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17" w:lineRule="exact"/>
        <w:rPr>
          <w:rFonts w:ascii="Times New Roman" w:cs="Times New Roman" w:eastAsia="Times New Roman" w:hAnsi="Times New Roman"/>
          <w:sz w:val="18"/>
          <w:szCs w:val="18"/>
          <w:color w:val="auto"/>
        </w:rPr>
      </w:pPr>
    </w:p>
    <w:p>
      <w:pPr>
        <w:ind w:right="20" w:firstLine="8"/>
        <w:spacing w:after="0" w:line="282"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53"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w:t>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without the consent of Participant, to comply with Code Section 409A or to otherwise avoid imposition of any additional tax or income recognition under Code Section 409A in connection to this Award of Restricted Stock Units.</w:t>
      </w:r>
    </w:p>
    <w:p>
      <w:pPr>
        <w:spacing w:after="0" w:line="50"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w:t>
      </w:r>
    </w:p>
    <w:p>
      <w:pPr>
        <w:spacing w:after="0" w:line="3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Personal Data</w:t>
      </w:r>
      <w:r>
        <w:rPr>
          <w:rFonts w:ascii="Times New Roman" w:cs="Times New Roman" w:eastAsia="Times New Roman" w:hAnsi="Times New Roman"/>
          <w:sz w:val="18"/>
          <w:szCs w:val="18"/>
          <w:b w:val="1"/>
          <w:bCs w:val="1"/>
          <w:i w:val="1"/>
          <w:iCs w:val="1"/>
          <w:color w:val="auto"/>
        </w:rPr>
        <w:t>”).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186" w:lineRule="exact"/>
        <w:rPr>
          <w:sz w:val="20"/>
          <w:szCs w:val="20"/>
          <w:color w:val="auto"/>
        </w:rPr>
      </w:pPr>
    </w:p>
    <w:p>
      <w:pPr>
        <w:jc w:val="both"/>
        <w:ind w:firstLine="8"/>
        <w:spacing w:after="0" w:line="255" w:lineRule="auto"/>
        <w:tabs>
          <w:tab w:leader="none" w:pos="2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Exchange Fluctuations and Restrictions</w:t>
      </w:r>
      <w:r>
        <w:rPr>
          <w:rFonts w:ascii="Times New Roman" w:cs="Times New Roman" w:eastAsia="Times New Roman" w:hAnsi="Times New Roman"/>
          <w:sz w:val="18"/>
          <w:szCs w:val="18"/>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80"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67"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of Restricted Stock Units or this Award Agreement, the parties hereby submit to and consent to the jurisdiction of the State of Delaware, and agree that such litigation will be conducted in the courts of New Castle County, Delaware, or the federal courts for the United States for the District of Delaware, and no other courts.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[Country-Specific Addendum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Securities Law Notice: </w:t>
      </w:r>
      <w:r>
        <w:rPr>
          <w:rFonts w:ascii="Times New Roman" w:cs="Times New Roman" w:eastAsia="Times New Roman" w:hAnsi="Times New Roman"/>
          <w:sz w:val="18"/>
          <w:szCs w:val="18"/>
          <w:color w:val="auto"/>
        </w:rPr>
        <w:t>Unless otherwise noted, neither the Company nor the Shares are registered with any local stock exchange or under the control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local securities regulator outside the 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Clay Thornton, certify that:</w:t>
      </w:r>
    </w:p>
    <w:p>
      <w:pPr>
        <w:spacing w:after="0" w:line="225"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1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Clay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Clay Thornton</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ectPr>
          <w:pgSz w:w="11900" w:h="16838" w:orient="portrait"/>
          <w:cols w:equalWidth="0" w:num="1">
            <w:col w:w="11240"/>
          </w:cols>
          <w:pgMar w:left="320" w:top="76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160" w:val="left"/>
        </w:tabs>
        <w:rPr>
          <w:sz w:val="20"/>
          <w:szCs w:val="20"/>
          <w:color w:val="auto"/>
        </w:rPr>
      </w:pPr>
      <w:r>
        <w:rPr>
          <w:rFonts w:ascii="Times New Roman" w:cs="Times New Roman" w:eastAsia="Times New Roman" w:hAnsi="Times New Roman"/>
          <w:sz w:val="18"/>
          <w:szCs w:val="18"/>
          <w:color w:val="auto"/>
        </w:rPr>
        <w:t>Dated: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Clay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Clay Thornton</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55"/>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5"/>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1."/>
      <w:numFmt w:val="decimal"/>
      <w:start w:val="14"/>
    </w:lvl>
  </w:abstractNum>
  <w:abstractNum w:abstractNumId="14">
    <w:nsid w:val="519B500D"/>
    <w:multiLevelType w:val="hybridMultilevel"/>
    <w:lvl w:ilvl="0">
      <w:lvlJc w:val="left"/>
      <w:lvlText w:val="%1."/>
      <w:numFmt w:val="decimal"/>
      <w:start w:val="21"/>
    </w:lvl>
  </w:abstractNum>
  <w:abstractNum w:abstractNumId="15">
    <w:nsid w:val="431BD7B7"/>
    <w:multiLevelType w:val="hybridMultilevel"/>
    <w:lvl w:ilvl="0">
      <w:lvlJc w:val="left"/>
      <w:lvlText w:val="%1."/>
      <w:numFmt w:val="decimal"/>
      <w:start w:val="22"/>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2026-05-08T07:08:41Z</dcterms:created>
  <dcterms:modified xsi:type="dcterms:W3CDTF">2026-05-08T07:08:41Z</dcterms:modified>
</cp:coreProperties>
</file>