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001-39252</w:t>
      </w:r>
    </w:p>
    <w:p>
      <w:pPr>
        <w:spacing w:after="0" w:line="2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Clover Health Investments,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8"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98-1515192</w:t>
            </w:r>
          </w:p>
        </w:tc>
      </w:tr>
    </w:tbl>
    <w:p>
      <w:pPr>
        <w:spacing w:after="0" w:line="9" w:lineRule="exact"/>
        <w:rPr>
          <w:sz w:val="24"/>
          <w:szCs w:val="24"/>
          <w:color w:val="auto"/>
        </w:rPr>
      </w:pPr>
    </w:p>
    <w:p>
      <w:pPr>
        <w:sectPr>
          <w:pgSz w:w="11900" w:h="16838" w:orient="portrait"/>
          <w:cols w:equalWidth="0" w:num="1">
            <w:col w:w="11240"/>
          </w:cols>
          <w:pgMar w:left="320" w:top="1178" w:right="339" w:bottom="0" w:gutter="0" w:footer="0" w:header="0"/>
        </w:sect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348"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3401 Mallory Lane</w:t>
      </w:r>
      <w:r>
        <w:rPr>
          <w:rFonts w:ascii="Arial" w:cs="Arial" w:eastAsia="Arial" w:hAnsi="Arial"/>
          <w:sz w:val="19"/>
          <w:szCs w:val="19"/>
          <w:color w:val="auto"/>
        </w:rPr>
        <w:t>,</w:t>
      </w:r>
      <w:r>
        <w:rPr>
          <w:rFonts w:ascii="Arial" w:cs="Arial" w:eastAsia="Arial" w:hAnsi="Arial"/>
          <w:sz w:val="16"/>
          <w:szCs w:val="16"/>
          <w:b w:val="1"/>
          <w:bCs w:val="1"/>
          <w:color w:val="auto"/>
        </w:rPr>
        <w:t xml:space="preserve"> Suite 210</w:t>
      </w:r>
    </w:p>
    <w:p>
      <w:pPr>
        <w:spacing w:after="0" w:line="52"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Franklin</w:t>
      </w:r>
      <w:r>
        <w:rPr>
          <w:rFonts w:ascii="Arial" w:cs="Arial" w:eastAsia="Arial" w:hAnsi="Arial"/>
          <w:sz w:val="21"/>
          <w:szCs w:val="21"/>
          <w:color w:val="auto"/>
        </w:rPr>
        <w:t>,</w:t>
      </w:r>
      <w:r>
        <w:rPr>
          <w:rFonts w:ascii="Arial" w:cs="Arial" w:eastAsia="Arial" w:hAnsi="Arial"/>
          <w:sz w:val="18"/>
          <w:szCs w:val="18"/>
          <w:b w:val="1"/>
          <w:bCs w:val="1"/>
          <w:color w:val="auto"/>
        </w:rPr>
        <w:t xml:space="preserve"> Tennessee</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37067</w:t>
      </w:r>
    </w:p>
    <w:p>
      <w:pPr>
        <w:spacing w:after="0" w:line="27" w:lineRule="exact"/>
        <w:rPr>
          <w:sz w:val="24"/>
          <w:szCs w:val="24"/>
          <w:color w:val="auto"/>
        </w:rPr>
      </w:pPr>
    </w:p>
    <w:p>
      <w:pPr>
        <w:sectPr>
          <w:pgSz w:w="11900" w:h="16838" w:orient="portrait"/>
          <w:cols w:equalWidth="0" w:num="2">
            <w:col w:w="7220" w:space="720"/>
            <w:col w:w="3300"/>
          </w:cols>
          <w:pgMar w:left="320" w:top="1178" w:right="339" w:bottom="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(201) 432-2133</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725 Cool Springs Boulevard, Suite 320</w:t>
            </w:r>
          </w:p>
        </w:tc>
        <w:tc>
          <w:tcPr>
            <w:tcW w:w="4360" w:type="dxa"/>
            <w:vAlign w:val="bottom"/>
          </w:tcPr>
          <w:p>
            <w:pPr>
              <w:spacing w:after="0"/>
              <w:rPr>
                <w:sz w:val="19"/>
                <w:szCs w:val="19"/>
                <w:color w:val="auto"/>
              </w:rPr>
            </w:pPr>
          </w:p>
        </w:tc>
      </w:tr>
      <w:tr>
        <w:trPr>
          <w:trHeight w:val="270"/>
        </w:trPr>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8"/>
              </w:rPr>
              <w:t>Franklin, Tennessee</w:t>
            </w:r>
          </w:p>
        </w:tc>
        <w:tc>
          <w:tcPr>
            <w:tcW w:w="4360" w:type="dxa"/>
            <w:vAlign w:val="bottom"/>
          </w:tcPr>
          <w:p>
            <w:pPr>
              <w:jc w:val="right"/>
              <w:spacing w:after="0"/>
              <w:rPr>
                <w:sz w:val="20"/>
                <w:szCs w:val="20"/>
                <w:color w:val="auto"/>
              </w:rPr>
            </w:pPr>
            <w:r>
              <w:rPr>
                <w:rFonts w:ascii="Arial" w:cs="Arial" w:eastAsia="Arial" w:hAnsi="Arial"/>
                <w:sz w:val="18"/>
                <w:szCs w:val="18"/>
                <w:b w:val="1"/>
                <w:bCs w:val="1"/>
                <w:color w:val="auto"/>
              </w:rPr>
              <w:t>37067</w:t>
            </w:r>
          </w:p>
        </w:tc>
      </w:tr>
      <w:tr>
        <w:trPr>
          <w:trHeight w:val="164"/>
        </w:trPr>
        <w:tc>
          <w:tcPr>
            <w:tcW w:w="3020" w:type="dxa"/>
            <w:vAlign w:val="bottom"/>
          </w:tcPr>
          <w:p>
            <w:pPr>
              <w:jc w:val="center"/>
              <w:spacing w:after="0"/>
              <w:rPr>
                <w:sz w:val="20"/>
                <w:szCs w:val="20"/>
                <w:color w:val="auto"/>
              </w:rPr>
            </w:pPr>
            <w:r>
              <w:rPr>
                <w:rFonts w:ascii="Arial" w:cs="Arial" w:eastAsia="Arial" w:hAnsi="Arial"/>
                <w:sz w:val="13"/>
                <w:szCs w:val="13"/>
                <w:b w:val="1"/>
                <w:bCs w:val="1"/>
                <w:color w:val="auto"/>
                <w:w w:val="85"/>
              </w:rPr>
              <w:t>(Former address of executive offices)</w:t>
            </w:r>
          </w:p>
        </w:tc>
        <w:tc>
          <w:tcPr>
            <w:tcW w:w="4360" w:type="dxa"/>
            <w:vAlign w:val="bottom"/>
          </w:tcPr>
          <w:p>
            <w:pPr>
              <w:jc w:val="center"/>
              <w:ind w:left="3711"/>
              <w:spacing w:after="0"/>
              <w:rPr>
                <w:sz w:val="20"/>
                <w:szCs w:val="20"/>
                <w:color w:val="auto"/>
              </w:rPr>
            </w:pPr>
            <w:r>
              <w:rPr>
                <w:rFonts w:ascii="Arial" w:cs="Arial" w:eastAsia="Arial" w:hAnsi="Arial"/>
                <w:sz w:val="13"/>
                <w:szCs w:val="13"/>
                <w:b w:val="1"/>
                <w:bCs w:val="1"/>
                <w:color w:val="auto"/>
                <w:w w:val="90"/>
              </w:rPr>
              <w:t>(Zip Code)</w:t>
            </w:r>
          </w:p>
        </w:tc>
      </w:tr>
      <w:tr>
        <w:trPr>
          <w:trHeight w:val="332"/>
        </w:trPr>
        <w:tc>
          <w:tcPr>
            <w:tcW w:w="3020" w:type="dxa"/>
            <w:vAlign w:val="bottom"/>
          </w:tcPr>
          <w:p>
            <w:pPr>
              <w:spacing w:after="0"/>
              <w:rPr>
                <w:sz w:val="24"/>
                <w:szCs w:val="24"/>
                <w:color w:val="auto"/>
              </w:rPr>
            </w:pPr>
          </w:p>
        </w:tc>
        <w:tc>
          <w:tcPr>
            <w:tcW w:w="4360" w:type="dxa"/>
            <w:vAlign w:val="bottom"/>
          </w:tcPr>
          <w:p>
            <w:pPr>
              <w:jc w:val="right"/>
              <w:ind w:right="1831"/>
              <w:spacing w:after="0"/>
              <w:rPr>
                <w:sz w:val="20"/>
                <w:szCs w:val="20"/>
                <w:color w:val="auto"/>
              </w:rPr>
            </w:pPr>
            <w:r>
              <w:rPr>
                <w:rFonts w:ascii="Arial" w:cs="Arial" w:eastAsia="Arial" w:hAnsi="Arial"/>
                <w:sz w:val="11"/>
                <w:szCs w:val="11"/>
                <w:color w:val="auto"/>
                <w:w w:val="99"/>
              </w:rPr>
              <w:t>________________________________________</w:t>
            </w:r>
          </w:p>
        </w:tc>
      </w:tr>
    </w:tbl>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Trading</w:t>
            </w:r>
          </w:p>
        </w:tc>
        <w:tc>
          <w:tcPr>
            <w:tcW w:w="4500" w:type="dxa"/>
            <w:vAlign w:val="bottom"/>
          </w:tcPr>
          <w:p>
            <w:pPr>
              <w:spacing w:after="0"/>
              <w:rPr>
                <w:sz w:val="14"/>
                <w:szCs w:val="14"/>
                <w:color w:val="auto"/>
              </w:rPr>
            </w:pPr>
          </w:p>
        </w:tc>
      </w:tr>
      <w:tr>
        <w:trPr>
          <w:trHeight w:val="206"/>
        </w:trPr>
        <w:tc>
          <w:tcPr>
            <w:tcW w:w="4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CLOV</w:t>
            </w:r>
          </w:p>
        </w:tc>
        <w:tc>
          <w:tcPr>
            <w:tcW w:w="8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r>
    </w:tbl>
    <w:p>
      <w:pPr>
        <w:spacing w:after="0" w:line="198" w:lineRule="exact"/>
        <w:rPr>
          <w:sz w:val="24"/>
          <w:szCs w:val="24"/>
          <w:color w:val="auto"/>
        </w:rPr>
      </w:pPr>
    </w:p>
    <w:p>
      <w:pPr>
        <w:jc w:val="both"/>
        <w:ind w:firstLine="648"/>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tabs>
          <w:tab w:leader="none" w:pos="700" w:val="left"/>
        </w:tabs>
        <w:rPr>
          <w:sz w:val="20"/>
          <w:szCs w:val="20"/>
          <w:color w:val="auto"/>
        </w:rPr>
      </w:pPr>
      <w:r>
        <w:rPr>
          <w:rFonts w:ascii="Arial" w:cs="Arial" w:eastAsia="Arial" w:hAnsi="Arial"/>
          <w:sz w:val="16"/>
          <w:szCs w:val="16"/>
          <w:color w:val="auto"/>
        </w:rPr>
        <w:t>Yes x</w:t>
        <w:tab/>
        <w:t>No o</w:t>
      </w:r>
    </w:p>
    <w:p>
      <w:pPr>
        <w:spacing w:after="0" w:line="101" w:lineRule="exact"/>
        <w:rPr>
          <w:sz w:val="24"/>
          <w:szCs w:val="24"/>
          <w:color w:val="auto"/>
        </w:rPr>
      </w:pPr>
    </w:p>
    <w:p>
      <w:pPr>
        <w:ind w:right="40" w:firstLine="648"/>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0" w:lineRule="exact"/>
        <w:rPr>
          <w:sz w:val="24"/>
          <w:szCs w:val="24"/>
          <w:color w:val="auto"/>
        </w:rPr>
      </w:pPr>
    </w:p>
    <w:p>
      <w:pPr>
        <w:ind w:right="22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340"/>
              <w:spacing w:after="0"/>
              <w:rPr>
                <w:sz w:val="20"/>
                <w:szCs w:val="20"/>
                <w:color w:val="auto"/>
              </w:rPr>
            </w:pPr>
            <w:r>
              <w:rPr>
                <w:rFonts w:ascii="Arial" w:cs="Arial" w:eastAsia="Arial" w:hAnsi="Arial"/>
                <w:sz w:val="16"/>
                <w:szCs w:val="16"/>
                <w:color w:val="auto"/>
              </w:rPr>
              <w:t>o</w:t>
            </w:r>
          </w:p>
        </w:tc>
        <w:tc>
          <w:tcPr>
            <w:tcW w:w="51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vMerge w:val="restart"/>
          </w:tcPr>
          <w:p>
            <w:pPr>
              <w:ind w:left="340"/>
              <w:spacing w:after="0"/>
              <w:rPr>
                <w:sz w:val="20"/>
                <w:szCs w:val="20"/>
                <w:color w:val="auto"/>
              </w:rPr>
            </w:pPr>
            <w:r>
              <w:rPr>
                <w:rFonts w:ascii="Arial" w:cs="Arial" w:eastAsia="Arial" w:hAnsi="Arial"/>
                <w:sz w:val="16"/>
                <w:szCs w:val="16"/>
                <w:color w:val="auto"/>
              </w:rPr>
              <w:t>x</w:t>
            </w:r>
          </w:p>
        </w:tc>
        <w:tc>
          <w:tcPr>
            <w:tcW w:w="51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5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vMerge w:val="restart"/>
          </w:tcPr>
          <w:p>
            <w:pPr>
              <w:ind w:left="340"/>
              <w:spacing w:after="0"/>
              <w:rPr>
                <w:sz w:val="20"/>
                <w:szCs w:val="20"/>
                <w:color w:val="auto"/>
              </w:rPr>
            </w:pPr>
            <w:r>
              <w:rPr>
                <w:rFonts w:ascii="Arial" w:cs="Arial" w:eastAsia="Arial" w:hAnsi="Arial"/>
                <w:sz w:val="16"/>
                <w:szCs w:val="16"/>
                <w:color w:val="auto"/>
              </w:rPr>
              <w:t>x</w:t>
            </w:r>
          </w:p>
        </w:tc>
        <w:tc>
          <w:tcPr>
            <w:tcW w:w="5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5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2" w:lineRule="exact"/>
        <w:rPr>
          <w:sz w:val="24"/>
          <w:szCs w:val="24"/>
          <w:color w:val="auto"/>
        </w:rPr>
      </w:pPr>
    </w:p>
    <w:p>
      <w:pPr>
        <w:ind w:right="440" w:firstLine="648"/>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660"/>
        <w:spacing w:after="0"/>
        <w:tabs>
          <w:tab w:leader="none" w:pos="8200" w:val="left"/>
          <w:tab w:leader="none" w:pos="87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13" w:lineRule="exact"/>
        <w:rPr>
          <w:sz w:val="24"/>
          <w:szCs w:val="24"/>
          <w:color w:val="auto"/>
        </w:rPr>
      </w:pPr>
    </w:p>
    <w:p>
      <w:pPr>
        <w:ind w:right="500" w:firstLine="648"/>
        <w:spacing w:after="0" w:line="275" w:lineRule="auto"/>
        <w:rPr>
          <w:sz w:val="20"/>
          <w:szCs w:val="20"/>
          <w:color w:val="auto"/>
        </w:rPr>
      </w:pPr>
      <w:r>
        <w:rPr>
          <w:rFonts w:ascii="Arial" w:cs="Arial" w:eastAsia="Arial" w:hAnsi="Arial"/>
          <w:sz w:val="16"/>
          <w:szCs w:val="16"/>
          <w:color w:val="auto"/>
        </w:rPr>
        <w:t>As of November 2, 2021, the registrant had 278,308,964 shares of Class A Common Stock, $0.0001 par value per share, and 142,283,462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8"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1178"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80" w:type="dxa"/>
            <w:vAlign w:val="bottom"/>
            <w:gridSpan w:val="8"/>
          </w:tcPr>
          <w:p>
            <w:pPr>
              <w:ind w:left="1560"/>
              <w:spacing w:after="0"/>
              <w:rPr>
                <w:sz w:val="20"/>
                <w:szCs w:val="20"/>
                <w:color w:val="auto"/>
              </w:rPr>
            </w:pPr>
            <w:r>
              <w:rPr>
                <w:rFonts w:ascii="Arial" w:cs="Arial" w:eastAsia="Arial" w:hAnsi="Arial"/>
                <w:sz w:val="18"/>
                <w:szCs w:val="18"/>
                <w:b w:val="1"/>
                <w:bCs w:val="1"/>
                <w:color w:val="auto"/>
              </w:rPr>
              <w:t>Table of Contents</w:t>
            </w:r>
          </w:p>
        </w:tc>
      </w:tr>
      <w:tr>
        <w:trPr>
          <w:trHeight w:val="837"/>
        </w:trPr>
        <w:tc>
          <w:tcPr>
            <w:tcW w:w="1040" w:type="dxa"/>
            <w:vAlign w:val="bottom"/>
            <w:gridSpan w:val="2"/>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w:t>
              </w:r>
            </w:hyperlink>
          </w:p>
        </w:tc>
        <w:tc>
          <w:tcPr>
            <w:tcW w:w="2260" w:type="dxa"/>
            <w:vAlign w:val="bottom"/>
            <w:tcBorders>
              <w:bottom w:val="single" w:sz="8" w:color="0563C1"/>
            </w:tcBorders>
            <w:gridSpan w:val="10"/>
          </w:tcPr>
          <w:p>
            <w:pPr>
              <w:spacing w:after="0"/>
              <w:rPr>
                <w:rFonts w:ascii="Arial" w:cs="Arial" w:eastAsia="Arial" w:hAnsi="Arial"/>
                <w:sz w:val="18"/>
                <w:szCs w:val="18"/>
                <w:color w:val="0563C1"/>
                <w:w w:val="99"/>
              </w:rPr>
            </w:pPr>
            <w:hyperlink w:anchor="page4">
              <w:r>
                <w:rPr>
                  <w:rFonts w:ascii="Arial" w:cs="Arial" w:eastAsia="Arial" w:hAnsi="Arial"/>
                  <w:sz w:val="18"/>
                  <w:szCs w:val="18"/>
                  <w:color w:val="0563C1"/>
                  <w:w w:val="99"/>
                </w:rPr>
                <w:t>FINANCIAL INFORMATION</w:t>
              </w:r>
            </w:hyperlink>
          </w:p>
        </w:tc>
        <w:tc>
          <w:tcPr>
            <w:tcW w:w="6940" w:type="dxa"/>
            <w:vAlign w:val="bottom"/>
            <w:gridSpan w:val="9"/>
          </w:tcPr>
          <w:p>
            <w:pPr>
              <w:spacing w:after="0"/>
              <w:rPr>
                <w:sz w:val="24"/>
                <w:szCs w:val="24"/>
                <w:color w:val="auto"/>
              </w:rPr>
            </w:pPr>
          </w:p>
        </w:tc>
      </w:tr>
      <w:tr>
        <w:trPr>
          <w:trHeight w:val="453"/>
        </w:trPr>
        <w:tc>
          <w:tcPr>
            <w:tcW w:w="104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200" w:type="dxa"/>
            <w:vAlign w:val="bottom"/>
            <w:gridSpan w:val="19"/>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Financial Statements</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0" w:type="dxa"/>
            <w:vAlign w:val="bottom"/>
            <w:gridSpan w:val="19"/>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Condensed Consolidated Balance Sheets at September 30, 2021 (Unaudited), and December 31, 2020</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1660" w:type="dxa"/>
            <w:vAlign w:val="bottom"/>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80" w:type="dxa"/>
            <w:vAlign w:val="bottom"/>
            <w:tcBorders>
              <w:bottom w:val="single" w:sz="8" w:color="0563C1"/>
            </w:tcBorders>
            <w:gridSpan w:val="18"/>
          </w:tcPr>
          <w:p>
            <w:pPr>
              <w:spacing w:after="0"/>
              <w:rPr>
                <w:rFonts w:ascii="Arial" w:cs="Arial" w:eastAsia="Arial" w:hAnsi="Arial"/>
                <w:sz w:val="18"/>
                <w:szCs w:val="18"/>
                <w:color w:val="0563C1"/>
                <w:w w:val="89"/>
              </w:rPr>
            </w:pPr>
            <w:hyperlink w:anchor="page6">
              <w:r>
                <w:rPr>
                  <w:rFonts w:ascii="Arial" w:cs="Arial" w:eastAsia="Arial" w:hAnsi="Arial"/>
                  <w:sz w:val="18"/>
                  <w:szCs w:val="18"/>
                  <w:color w:val="0563C1"/>
                  <w:w w:val="89"/>
                </w:rPr>
                <w:t>Condensed Consolidated Statements of Operations and Comprehensive Loss (Unaudited) for the three and nine months ended</w:t>
              </w:r>
            </w:hyperlink>
          </w:p>
        </w:tc>
        <w:tc>
          <w:tcPr>
            <w:tcW w:w="120" w:type="dxa"/>
            <w:vAlign w:val="bottom"/>
          </w:tcPr>
          <w:p>
            <w:pPr>
              <w:spacing w:after="0"/>
              <w:rPr>
                <w:sz w:val="21"/>
                <w:szCs w:val="2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Borders>
              <w:bottom w:val="single" w:sz="8" w:color="0563C1"/>
            </w:tcBorders>
            <w:gridSpan w:val="9"/>
          </w:tcPr>
          <w:p>
            <w:pPr>
              <w:spacing w:after="0" w:line="196" w:lineRule="exact"/>
              <w:rPr>
                <w:rFonts w:ascii="Arial" w:cs="Arial" w:eastAsia="Arial" w:hAnsi="Arial"/>
                <w:sz w:val="18"/>
                <w:szCs w:val="18"/>
                <w:color w:val="0563C1"/>
                <w:w w:val="87"/>
              </w:rPr>
            </w:pPr>
            <w:hyperlink w:anchor="page6">
              <w:r>
                <w:rPr>
                  <w:rFonts w:ascii="Arial" w:cs="Arial" w:eastAsia="Arial" w:hAnsi="Arial"/>
                  <w:sz w:val="18"/>
                  <w:szCs w:val="18"/>
                  <w:color w:val="0563C1"/>
                  <w:w w:val="87"/>
                </w:rPr>
                <w:t>September 30, 2021 and 2020</w:t>
              </w:r>
            </w:hyperlink>
          </w:p>
        </w:tc>
        <w:tc>
          <w:tcPr>
            <w:tcW w:w="7040" w:type="dxa"/>
            <w:vAlign w:val="bottom"/>
            <w:gridSpan w:val="10"/>
          </w:tcPr>
          <w:p>
            <w:pPr>
              <w:spacing w:after="0"/>
              <w:rPr>
                <w:sz w:val="17"/>
                <w:szCs w:val="17"/>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0" w:type="dxa"/>
            <w:vAlign w:val="bottom"/>
            <w:tcBorders>
              <w:bottom w:val="single" w:sz="8" w:color="0563C1"/>
            </w:tcBorders>
            <w:gridSpan w:val="19"/>
          </w:tcPr>
          <w:p>
            <w:pPr>
              <w:spacing w:after="0"/>
              <w:rPr>
                <w:rFonts w:ascii="Arial" w:cs="Arial" w:eastAsia="Arial" w:hAnsi="Arial"/>
                <w:sz w:val="18"/>
                <w:szCs w:val="18"/>
                <w:color w:val="0563C1"/>
                <w:w w:val="90"/>
              </w:rPr>
            </w:pPr>
            <w:hyperlink w:anchor="page7">
              <w:r>
                <w:rPr>
                  <w:rFonts w:ascii="Arial" w:cs="Arial" w:eastAsia="Arial" w:hAnsi="Arial"/>
                  <w:sz w:val="18"/>
                  <w:szCs w:val="18"/>
                  <w:color w:val="0563C1"/>
                  <w:w w:val="90"/>
                </w:rPr>
                <w:t>Condensed Consolidated Statements of Changes in Convertible Preferred Stock and Stockholders’ Equity (Deficit) (Unaudited)</w:t>
              </w:r>
            </w:hyperlink>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0" w:type="dxa"/>
            <w:vAlign w:val="bottom"/>
            <w:tcBorders>
              <w:bottom w:val="single" w:sz="8" w:color="0563C1"/>
            </w:tcBorders>
            <w:gridSpan w:val="14"/>
          </w:tcPr>
          <w:p>
            <w:pPr>
              <w:spacing w:after="0" w:line="196" w:lineRule="exact"/>
              <w:rPr>
                <w:rFonts w:ascii="Arial" w:cs="Arial" w:eastAsia="Arial" w:hAnsi="Arial"/>
                <w:sz w:val="18"/>
                <w:szCs w:val="18"/>
                <w:color w:val="0563C1"/>
                <w:w w:val="88"/>
              </w:rPr>
            </w:pPr>
            <w:hyperlink w:anchor="page7">
              <w:r>
                <w:rPr>
                  <w:rFonts w:ascii="Arial" w:cs="Arial" w:eastAsia="Arial" w:hAnsi="Arial"/>
                  <w:sz w:val="18"/>
                  <w:szCs w:val="18"/>
                  <w:color w:val="0563C1"/>
                  <w:w w:val="88"/>
                </w:rPr>
                <w:t>for the three and nine months ended September 30, 2021 and 2020</w:t>
              </w:r>
            </w:hyperlink>
          </w:p>
        </w:tc>
        <w:tc>
          <w:tcPr>
            <w:tcW w:w="4400" w:type="dxa"/>
            <w:vAlign w:val="bottom"/>
            <w:gridSpan w:val="5"/>
          </w:tcPr>
          <w:p>
            <w:pPr>
              <w:spacing w:after="0"/>
              <w:rPr>
                <w:sz w:val="17"/>
                <w:szCs w:val="17"/>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760" w:type="dxa"/>
            <w:vAlign w:val="bottom"/>
            <w:tcBorders>
              <w:bottom w:val="single" w:sz="8" w:color="0563C1"/>
            </w:tcBorders>
            <w:gridSpan w:val="17"/>
          </w:tcPr>
          <w:p>
            <w:pPr>
              <w:spacing w:after="0"/>
              <w:rPr>
                <w:rFonts w:ascii="Arial" w:cs="Arial" w:eastAsia="Arial" w:hAnsi="Arial"/>
                <w:sz w:val="18"/>
                <w:szCs w:val="18"/>
                <w:color w:val="0563C1"/>
                <w:w w:val="89"/>
              </w:rPr>
            </w:pPr>
            <w:hyperlink w:anchor="page10">
              <w:r>
                <w:rPr>
                  <w:rFonts w:ascii="Arial" w:cs="Arial" w:eastAsia="Arial" w:hAnsi="Arial"/>
                  <w:sz w:val="18"/>
                  <w:szCs w:val="18"/>
                  <w:color w:val="0563C1"/>
                  <w:w w:val="89"/>
                </w:rPr>
                <w:t>Condensed Consolidated Statements of Cash Flows (Unaudited) for the nine months ended September 30, 2021 and 2020</w:t>
              </w:r>
            </w:hyperlink>
          </w:p>
        </w:tc>
        <w:tc>
          <w:tcPr>
            <w:tcW w:w="440" w:type="dxa"/>
            <w:vAlign w:val="bottom"/>
            <w:gridSpan w:val="2"/>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0" w:type="dxa"/>
            <w:vAlign w:val="bottom"/>
            <w:tcBorders>
              <w:bottom w:val="single" w:sz="8" w:color="0563C1"/>
            </w:tcBorders>
            <w:gridSpan w:val="14"/>
          </w:tcPr>
          <w:p>
            <w:pPr>
              <w:spacing w:after="0"/>
              <w:rPr>
                <w:rFonts w:ascii="Arial" w:cs="Arial" w:eastAsia="Arial" w:hAnsi="Arial"/>
                <w:sz w:val="18"/>
                <w:szCs w:val="18"/>
                <w:color w:val="0563C1"/>
                <w:w w:val="89"/>
              </w:rPr>
            </w:pPr>
            <w:hyperlink w:anchor="page11">
              <w:r>
                <w:rPr>
                  <w:rFonts w:ascii="Arial" w:cs="Arial" w:eastAsia="Arial" w:hAnsi="Arial"/>
                  <w:sz w:val="18"/>
                  <w:szCs w:val="18"/>
                  <w:color w:val="0563C1"/>
                  <w:w w:val="89"/>
                </w:rPr>
                <w:t>Notes to Unaudited Condensed Consolidated Financial Statements</w:t>
              </w:r>
            </w:hyperlink>
          </w:p>
        </w:tc>
        <w:tc>
          <w:tcPr>
            <w:tcW w:w="4400" w:type="dxa"/>
            <w:vAlign w:val="bottom"/>
            <w:gridSpan w:val="5"/>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2.</w:t>
              </w:r>
            </w:hyperlink>
          </w:p>
        </w:tc>
        <w:tc>
          <w:tcPr>
            <w:tcW w:w="9200" w:type="dxa"/>
            <w:vAlign w:val="bottom"/>
            <w:gridSpan w:val="19"/>
          </w:tcPr>
          <w:p>
            <w:pPr>
              <w:spacing w:after="0"/>
              <w:rPr>
                <w:rFonts w:ascii="Arial" w:cs="Arial" w:eastAsia="Arial" w:hAnsi="Arial"/>
                <w:sz w:val="18"/>
                <w:szCs w:val="18"/>
                <w:color w:val="0563C1"/>
              </w:rPr>
            </w:pPr>
            <w:hyperlink w:anchor="page38">
              <w:r>
                <w:rPr>
                  <w:rFonts w:ascii="Arial" w:cs="Arial" w:eastAsia="Arial" w:hAnsi="Arial"/>
                  <w:sz w:val="18"/>
                  <w:szCs w:val="18"/>
                  <w:color w:val="0563C1"/>
                </w:rPr>
                <w:t>Management’s Discussion and Analysis of Financial Condition and Results of Operations</w:t>
              </w:r>
            </w:hyperlink>
          </w:p>
        </w:tc>
      </w:tr>
      <w:tr>
        <w:trPr>
          <w:trHeight w:val="250"/>
        </w:trPr>
        <w:tc>
          <w:tcPr>
            <w:tcW w:w="104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Item 3.</w:t>
              </w:r>
            </w:hyperlink>
          </w:p>
        </w:tc>
        <w:tc>
          <w:tcPr>
            <w:tcW w:w="4380" w:type="dxa"/>
            <w:vAlign w:val="bottom"/>
            <w:tcBorders>
              <w:top w:val="single" w:sz="8" w:color="0563C1"/>
              <w:bottom w:val="single" w:sz="8" w:color="0563C1"/>
            </w:tcBorders>
            <w:gridSpan w:val="13"/>
          </w:tcPr>
          <w:p>
            <w:pPr>
              <w:spacing w:after="0"/>
              <w:rPr>
                <w:rFonts w:ascii="Arial" w:cs="Arial" w:eastAsia="Arial" w:hAnsi="Arial"/>
                <w:sz w:val="18"/>
                <w:szCs w:val="18"/>
                <w:color w:val="0563C1"/>
                <w:w w:val="92"/>
              </w:rPr>
            </w:pPr>
            <w:hyperlink w:anchor="page58">
              <w:r>
                <w:rPr>
                  <w:rFonts w:ascii="Arial" w:cs="Arial" w:eastAsia="Arial" w:hAnsi="Arial"/>
                  <w:sz w:val="18"/>
                  <w:szCs w:val="18"/>
                  <w:color w:val="0563C1"/>
                  <w:w w:val="92"/>
                </w:rPr>
                <w:t>Quantitative and Qualitative Disclosures About Market Risk</w:t>
              </w:r>
            </w:hyperlink>
          </w:p>
        </w:tc>
        <w:tc>
          <w:tcPr>
            <w:tcW w:w="2080" w:type="dxa"/>
            <w:vAlign w:val="bottom"/>
            <w:tcBorders>
              <w:top w:val="single" w:sz="8" w:color="0563C1"/>
            </w:tcBorders>
            <w:gridSpan w:val="2"/>
          </w:tcPr>
          <w:p>
            <w:pPr>
              <w:spacing w:after="0"/>
              <w:rPr>
                <w:sz w:val="21"/>
                <w:szCs w:val="21"/>
                <w:color w:val="auto"/>
              </w:rPr>
            </w:pPr>
          </w:p>
        </w:tc>
        <w:tc>
          <w:tcPr>
            <w:tcW w:w="2740" w:type="dxa"/>
            <w:vAlign w:val="bottom"/>
            <w:gridSpan w:val="4"/>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Item 4.</w:t>
              </w:r>
            </w:hyperlink>
          </w:p>
        </w:tc>
        <w:tc>
          <w:tcPr>
            <w:tcW w:w="1800" w:type="dxa"/>
            <w:vAlign w:val="bottom"/>
            <w:tcBorders>
              <w:bottom w:val="single" w:sz="8" w:color="0563C1"/>
            </w:tcBorders>
            <w:gridSpan w:val="7"/>
          </w:tcPr>
          <w:p>
            <w:pPr>
              <w:spacing w:after="0"/>
              <w:rPr>
                <w:rFonts w:ascii="Arial" w:cs="Arial" w:eastAsia="Arial" w:hAnsi="Arial"/>
                <w:sz w:val="18"/>
                <w:szCs w:val="18"/>
                <w:color w:val="0563C1"/>
                <w:w w:val="89"/>
              </w:rPr>
            </w:pPr>
            <w:hyperlink w:anchor="page58">
              <w:r>
                <w:rPr>
                  <w:rFonts w:ascii="Arial" w:cs="Arial" w:eastAsia="Arial" w:hAnsi="Arial"/>
                  <w:sz w:val="18"/>
                  <w:szCs w:val="18"/>
                  <w:color w:val="0563C1"/>
                  <w:w w:val="89"/>
                </w:rPr>
                <w:t>Controls and Procedures</w:t>
              </w:r>
            </w:hyperlink>
          </w:p>
        </w:tc>
        <w:tc>
          <w:tcPr>
            <w:tcW w:w="7400" w:type="dxa"/>
            <w:vAlign w:val="bottom"/>
            <w:gridSpan w:val="12"/>
          </w:tcPr>
          <w:p>
            <w:pPr>
              <w:spacing w:after="0"/>
              <w:rPr>
                <w:sz w:val="21"/>
                <w:szCs w:val="21"/>
                <w:color w:val="auto"/>
              </w:rPr>
            </w:pPr>
          </w:p>
        </w:tc>
      </w:tr>
      <w:tr>
        <w:trPr>
          <w:trHeight w:val="466"/>
        </w:trPr>
        <w:tc>
          <w:tcPr>
            <w:tcW w:w="1040" w:type="dxa"/>
            <w:vAlign w:val="bottom"/>
            <w:gridSpan w:val="2"/>
          </w:tcPr>
          <w:p>
            <w:pPr>
              <w:spacing w:after="0"/>
              <w:rPr>
                <w:rFonts w:ascii="Arial" w:cs="Arial" w:eastAsia="Arial" w:hAnsi="Arial"/>
                <w:sz w:val="18"/>
                <w:szCs w:val="18"/>
                <w:b w:val="1"/>
                <w:bCs w:val="1"/>
                <w:color w:val="auto"/>
              </w:rPr>
            </w:pPr>
            <w:hyperlink w:anchor="page59">
              <w:r>
                <w:rPr>
                  <w:rFonts w:ascii="Arial" w:cs="Arial" w:eastAsia="Arial" w:hAnsi="Arial"/>
                  <w:sz w:val="18"/>
                  <w:szCs w:val="18"/>
                  <w:b w:val="1"/>
                  <w:bCs w:val="1"/>
                  <w:color w:val="auto"/>
                </w:rPr>
                <w:t>PART II.</w:t>
              </w:r>
            </w:hyperlink>
          </w:p>
        </w:tc>
        <w:tc>
          <w:tcPr>
            <w:tcW w:w="9200" w:type="dxa"/>
            <w:vAlign w:val="bottom"/>
            <w:gridSpan w:val="19"/>
          </w:tcPr>
          <w:p>
            <w:pPr>
              <w:spacing w:after="0"/>
              <w:rPr>
                <w:rFonts w:ascii="Arial" w:cs="Arial" w:eastAsia="Arial" w:hAnsi="Arial"/>
                <w:sz w:val="18"/>
                <w:szCs w:val="18"/>
                <w:color w:val="0563C1"/>
              </w:rPr>
            </w:pPr>
            <w:hyperlink w:anchor="page59">
              <w:r>
                <w:rPr>
                  <w:rFonts w:ascii="Arial" w:cs="Arial" w:eastAsia="Arial" w:hAnsi="Arial"/>
                  <w:sz w:val="18"/>
                  <w:szCs w:val="18"/>
                  <w:color w:val="0563C1"/>
                </w:rPr>
                <w:t>OTHER INFORMATION</w:t>
              </w:r>
            </w:hyperlink>
          </w:p>
        </w:tc>
      </w:tr>
      <w:tr>
        <w:trPr>
          <w:trHeight w:val="466"/>
        </w:trPr>
        <w:tc>
          <w:tcPr>
            <w:tcW w:w="1040" w:type="dxa"/>
            <w:vAlign w:val="bottom"/>
            <w:gridSpan w:val="2"/>
          </w:tcPr>
          <w:p>
            <w:pPr>
              <w:spacing w:after="0"/>
              <w:rPr>
                <w:rFonts w:ascii="Arial" w:cs="Arial" w:eastAsia="Arial" w:hAnsi="Arial"/>
                <w:sz w:val="18"/>
                <w:szCs w:val="18"/>
                <w:color w:val="auto"/>
              </w:rPr>
            </w:pPr>
            <w:hyperlink w:anchor="page59">
              <w:r>
                <w:rPr>
                  <w:rFonts w:ascii="Arial" w:cs="Arial" w:eastAsia="Arial" w:hAnsi="Arial"/>
                  <w:sz w:val="18"/>
                  <w:szCs w:val="18"/>
                  <w:color w:val="auto"/>
                </w:rPr>
                <w:t>Item 1.</w:t>
              </w:r>
            </w:hyperlink>
          </w:p>
        </w:tc>
        <w:tc>
          <w:tcPr>
            <w:tcW w:w="1340" w:type="dxa"/>
            <w:vAlign w:val="bottom"/>
            <w:tcBorders>
              <w:top w:val="single" w:sz="8" w:color="0563C1"/>
              <w:bottom w:val="single" w:sz="8" w:color="0563C1"/>
            </w:tcBorders>
            <w:gridSpan w:val="4"/>
          </w:tcPr>
          <w:p>
            <w:pPr>
              <w:spacing w:after="0"/>
              <w:rPr>
                <w:rFonts w:ascii="Arial" w:cs="Arial" w:eastAsia="Arial" w:hAnsi="Arial"/>
                <w:sz w:val="18"/>
                <w:szCs w:val="18"/>
                <w:color w:val="0563C1"/>
                <w:w w:val="88"/>
              </w:rPr>
            </w:pPr>
            <w:hyperlink w:anchor="page59">
              <w:r>
                <w:rPr>
                  <w:rFonts w:ascii="Arial" w:cs="Arial" w:eastAsia="Arial" w:hAnsi="Arial"/>
                  <w:sz w:val="18"/>
                  <w:szCs w:val="18"/>
                  <w:color w:val="0563C1"/>
                  <w:w w:val="88"/>
                </w:rPr>
                <w:t>Legal Proceedings</w:t>
              </w:r>
            </w:hyperlink>
          </w:p>
        </w:tc>
        <w:tc>
          <w:tcPr>
            <w:tcW w:w="540" w:type="dxa"/>
            <w:vAlign w:val="bottom"/>
            <w:tcBorders>
              <w:top w:val="single" w:sz="8" w:color="0563C1"/>
            </w:tcBorders>
            <w:gridSpan w:val="4"/>
          </w:tcPr>
          <w:p>
            <w:pPr>
              <w:spacing w:after="0"/>
              <w:rPr>
                <w:sz w:val="24"/>
                <w:szCs w:val="24"/>
                <w:color w:val="auto"/>
              </w:rPr>
            </w:pPr>
          </w:p>
        </w:tc>
        <w:tc>
          <w:tcPr>
            <w:tcW w:w="7320" w:type="dxa"/>
            <w:vAlign w:val="bottom"/>
            <w:gridSpan w:val="11"/>
          </w:tcPr>
          <w:p>
            <w:pPr>
              <w:spacing w:after="0"/>
              <w:rPr>
                <w:sz w:val="24"/>
                <w:szCs w:val="24"/>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1A.</w:t>
              </w:r>
            </w:hyperlink>
          </w:p>
        </w:tc>
        <w:tc>
          <w:tcPr>
            <w:tcW w:w="920" w:type="dxa"/>
            <w:vAlign w:val="bottom"/>
            <w:tcBorders>
              <w:bottom w:val="single" w:sz="8" w:color="0563C1"/>
            </w:tcBorders>
            <w:gridSpan w:val="2"/>
          </w:tcPr>
          <w:p>
            <w:pPr>
              <w:spacing w:after="0"/>
              <w:rPr>
                <w:rFonts w:ascii="Arial" w:cs="Arial" w:eastAsia="Arial" w:hAnsi="Arial"/>
                <w:sz w:val="18"/>
                <w:szCs w:val="18"/>
                <w:color w:val="0563C1"/>
                <w:w w:val="89"/>
              </w:rPr>
            </w:pPr>
            <w:hyperlink w:anchor="page60">
              <w:r>
                <w:rPr>
                  <w:rFonts w:ascii="Arial" w:cs="Arial" w:eastAsia="Arial" w:hAnsi="Arial"/>
                  <w:sz w:val="18"/>
                  <w:szCs w:val="18"/>
                  <w:color w:val="0563C1"/>
                  <w:w w:val="89"/>
                </w:rPr>
                <w:t>Risk Factors</w:t>
              </w:r>
            </w:hyperlink>
          </w:p>
        </w:tc>
        <w:tc>
          <w:tcPr>
            <w:tcW w:w="8280" w:type="dxa"/>
            <w:vAlign w:val="bottom"/>
            <w:gridSpan w:val="17"/>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2.</w:t>
              </w:r>
            </w:hyperlink>
          </w:p>
        </w:tc>
        <w:tc>
          <w:tcPr>
            <w:tcW w:w="4360" w:type="dxa"/>
            <w:vAlign w:val="bottom"/>
            <w:tcBorders>
              <w:bottom w:val="single" w:sz="8" w:color="0563C1"/>
            </w:tcBorders>
            <w:gridSpan w:val="12"/>
          </w:tcPr>
          <w:p>
            <w:pPr>
              <w:spacing w:after="0"/>
              <w:rPr>
                <w:rFonts w:ascii="Arial" w:cs="Arial" w:eastAsia="Arial" w:hAnsi="Arial"/>
                <w:sz w:val="18"/>
                <w:szCs w:val="18"/>
                <w:color w:val="0563C1"/>
                <w:w w:val="89"/>
              </w:rPr>
            </w:pPr>
            <w:hyperlink w:anchor="page97">
              <w:r>
                <w:rPr>
                  <w:rFonts w:ascii="Arial" w:cs="Arial" w:eastAsia="Arial" w:hAnsi="Arial"/>
                  <w:sz w:val="18"/>
                  <w:szCs w:val="18"/>
                  <w:color w:val="0563C1"/>
                  <w:w w:val="89"/>
                </w:rPr>
                <w:t>Unregistered Sales of Equity Securities and Use of Proceeds</w:t>
              </w:r>
            </w:hyperlink>
          </w:p>
        </w:tc>
        <w:tc>
          <w:tcPr>
            <w:tcW w:w="4840" w:type="dxa"/>
            <w:vAlign w:val="bottom"/>
            <w:gridSpan w:val="7"/>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Item 3.</w:t>
              </w:r>
            </w:hyperlink>
          </w:p>
        </w:tc>
        <w:tc>
          <w:tcPr>
            <w:tcW w:w="9200" w:type="dxa"/>
            <w:vAlign w:val="bottom"/>
            <w:gridSpan w:val="19"/>
          </w:tcPr>
          <w:p>
            <w:pPr>
              <w:spacing w:after="0"/>
              <w:rPr>
                <w:rFonts w:ascii="Arial" w:cs="Arial" w:eastAsia="Arial" w:hAnsi="Arial"/>
                <w:sz w:val="18"/>
                <w:szCs w:val="18"/>
                <w:color w:val="0563C1"/>
              </w:rPr>
            </w:pPr>
            <w:hyperlink w:anchor="page97">
              <w:r>
                <w:rPr>
                  <w:rFonts w:ascii="Arial" w:cs="Arial" w:eastAsia="Arial" w:hAnsi="Arial"/>
                  <w:sz w:val="18"/>
                  <w:szCs w:val="18"/>
                  <w:color w:val="0563C1"/>
                </w:rPr>
                <w:t>Defaults Upon Senior Securities</w:t>
              </w:r>
            </w:hyperlink>
          </w:p>
        </w:tc>
      </w:tr>
      <w:tr>
        <w:trPr>
          <w:trHeight w:val="250"/>
        </w:trPr>
        <w:tc>
          <w:tcPr>
            <w:tcW w:w="1040" w:type="dxa"/>
            <w:vAlign w:val="bottom"/>
            <w:gridSpan w:val="2"/>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4.</w:t>
              </w:r>
            </w:hyperlink>
          </w:p>
        </w:tc>
        <w:tc>
          <w:tcPr>
            <w:tcW w:w="1780" w:type="dxa"/>
            <w:vAlign w:val="bottom"/>
            <w:tcBorders>
              <w:top w:val="single" w:sz="8" w:color="0563C1"/>
              <w:bottom w:val="single" w:sz="8" w:color="0563C1"/>
            </w:tcBorders>
            <w:gridSpan w:val="6"/>
          </w:tcPr>
          <w:p>
            <w:pPr>
              <w:spacing w:after="0"/>
              <w:rPr>
                <w:rFonts w:ascii="Arial" w:cs="Arial" w:eastAsia="Arial" w:hAnsi="Arial"/>
                <w:sz w:val="18"/>
                <w:szCs w:val="18"/>
                <w:color w:val="0563C1"/>
                <w:w w:val="91"/>
              </w:rPr>
            </w:pPr>
            <w:hyperlink w:anchor="page97">
              <w:r>
                <w:rPr>
                  <w:rFonts w:ascii="Arial" w:cs="Arial" w:eastAsia="Arial" w:hAnsi="Arial"/>
                  <w:sz w:val="18"/>
                  <w:szCs w:val="18"/>
                  <w:color w:val="0563C1"/>
                  <w:w w:val="91"/>
                </w:rPr>
                <w:t>Mine Safety Disclosures</w:t>
              </w:r>
            </w:hyperlink>
          </w:p>
        </w:tc>
        <w:tc>
          <w:tcPr>
            <w:tcW w:w="540" w:type="dxa"/>
            <w:vAlign w:val="bottom"/>
            <w:tcBorders>
              <w:top w:val="single" w:sz="8" w:color="0563C1"/>
            </w:tcBorders>
            <w:gridSpan w:val="5"/>
          </w:tcPr>
          <w:p>
            <w:pPr>
              <w:spacing w:after="0"/>
              <w:rPr>
                <w:sz w:val="21"/>
                <w:szCs w:val="21"/>
                <w:color w:val="auto"/>
              </w:rPr>
            </w:pPr>
          </w:p>
        </w:tc>
        <w:tc>
          <w:tcPr>
            <w:tcW w:w="6880" w:type="dxa"/>
            <w:vAlign w:val="bottom"/>
            <w:gridSpan w:val="8"/>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5.</w:t>
              </w:r>
            </w:hyperlink>
          </w:p>
        </w:tc>
        <w:tc>
          <w:tcPr>
            <w:tcW w:w="1320" w:type="dxa"/>
            <w:vAlign w:val="bottom"/>
            <w:tcBorders>
              <w:bottom w:val="single" w:sz="8" w:color="0563C1"/>
            </w:tcBorders>
            <w:gridSpan w:val="3"/>
          </w:tcPr>
          <w:p>
            <w:pPr>
              <w:spacing w:after="0"/>
              <w:rPr>
                <w:rFonts w:ascii="Arial" w:cs="Arial" w:eastAsia="Arial" w:hAnsi="Arial"/>
                <w:sz w:val="18"/>
                <w:szCs w:val="18"/>
                <w:color w:val="0563C1"/>
                <w:w w:val="92"/>
              </w:rPr>
            </w:pPr>
            <w:hyperlink w:anchor="page97">
              <w:r>
                <w:rPr>
                  <w:rFonts w:ascii="Arial" w:cs="Arial" w:eastAsia="Arial" w:hAnsi="Arial"/>
                  <w:sz w:val="18"/>
                  <w:szCs w:val="18"/>
                  <w:color w:val="0563C1"/>
                  <w:w w:val="92"/>
                </w:rPr>
                <w:t>Other Information</w:t>
              </w:r>
            </w:hyperlink>
          </w:p>
        </w:tc>
        <w:tc>
          <w:tcPr>
            <w:tcW w:w="7880" w:type="dxa"/>
            <w:vAlign w:val="bottom"/>
            <w:gridSpan w:val="16"/>
          </w:tcPr>
          <w:p>
            <w:pPr>
              <w:spacing w:after="0"/>
              <w:rPr>
                <w:sz w:val="21"/>
                <w:szCs w:val="21"/>
                <w:color w:val="auto"/>
              </w:rPr>
            </w:pPr>
          </w:p>
        </w:tc>
      </w:tr>
      <w:tr>
        <w:trPr>
          <w:trHeight w:val="250"/>
        </w:trPr>
        <w:tc>
          <w:tcPr>
            <w:tcW w:w="1040" w:type="dxa"/>
            <w:vAlign w:val="bottom"/>
            <w:gridSpan w:val="2"/>
          </w:tcPr>
          <w:p>
            <w:pPr>
              <w:spacing w:after="0"/>
              <w:rPr>
                <w:rFonts w:ascii="Arial" w:cs="Arial" w:eastAsia="Arial" w:hAnsi="Arial"/>
                <w:sz w:val="18"/>
                <w:szCs w:val="18"/>
                <w:color w:val="auto"/>
              </w:rPr>
            </w:pPr>
            <w:hyperlink w:anchor="page97">
              <w:r>
                <w:rPr>
                  <w:rFonts w:ascii="Arial" w:cs="Arial" w:eastAsia="Arial" w:hAnsi="Arial"/>
                  <w:sz w:val="18"/>
                  <w:szCs w:val="18"/>
                  <w:color w:val="auto"/>
                </w:rPr>
                <w:t>Item 6.</w:t>
              </w:r>
            </w:hyperlink>
          </w:p>
        </w:tc>
        <w:tc>
          <w:tcPr>
            <w:tcW w:w="9200" w:type="dxa"/>
            <w:vAlign w:val="bottom"/>
            <w:gridSpan w:val="19"/>
          </w:tcPr>
          <w:p>
            <w:pPr>
              <w:spacing w:after="0"/>
              <w:rPr>
                <w:rFonts w:ascii="Arial" w:cs="Arial" w:eastAsia="Arial" w:hAnsi="Arial"/>
                <w:sz w:val="18"/>
                <w:szCs w:val="18"/>
                <w:color w:val="0563C1"/>
              </w:rPr>
            </w:pPr>
            <w:hyperlink w:anchor="page97">
              <w:r>
                <w:rPr>
                  <w:rFonts w:ascii="Arial" w:cs="Arial" w:eastAsia="Arial" w:hAnsi="Arial"/>
                  <w:sz w:val="18"/>
                  <w:szCs w:val="18"/>
                  <w:color w:val="0563C1"/>
                </w:rPr>
                <w:t>Exhibits</w:t>
              </w:r>
            </w:hyperlink>
          </w:p>
        </w:tc>
      </w:tr>
      <w:tr>
        <w:trPr>
          <w:trHeight w:val="250"/>
        </w:trPr>
        <w:tc>
          <w:tcPr>
            <w:tcW w:w="1040" w:type="dxa"/>
            <w:vAlign w:val="bottom"/>
            <w:gridSpan w:val="2"/>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Signatures</w:t>
              </w:r>
            </w:hyperlink>
          </w:p>
        </w:tc>
        <w:tc>
          <w:tcPr>
            <w:tcW w:w="600" w:type="dxa"/>
            <w:vAlign w:val="bottom"/>
            <w:tcBorders>
              <w:top w:val="single" w:sz="8" w:color="0563C1"/>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1144905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23495</wp:posOffset>
            </wp:positionV>
            <wp:extent cx="531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p>
      <w:pPr>
        <w:spacing w:after="0" w:line="279" w:lineRule="exact"/>
        <w:rPr>
          <w:sz w:val="20"/>
          <w:szCs w:val="20"/>
          <w:color w:val="auto"/>
        </w:rPr>
      </w:pPr>
    </w:p>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p>
      <w:pPr>
        <w:spacing w:after="0" w:line="279" w:lineRule="exact"/>
        <w:rPr>
          <w:sz w:val="20"/>
          <w:szCs w:val="20"/>
          <w:color w:val="auto"/>
        </w:rPr>
      </w:pPr>
    </w:p>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6</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7</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34</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53</w:t>
        </w:r>
      </w:hyperlink>
    </w:p>
    <w:p>
      <w:pPr>
        <w:spacing w:after="0" w:line="63" w:lineRule="exact"/>
        <w:rPr>
          <w:sz w:val="20"/>
          <w:szCs w:val="20"/>
          <w:color w:val="auto"/>
        </w:rPr>
      </w:pPr>
    </w:p>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54</w:t>
        </w:r>
      </w:hyperlink>
    </w:p>
    <w:p>
      <w:pPr>
        <w:spacing w:after="0" w:line="279" w:lineRule="exact"/>
        <w:rPr>
          <w:sz w:val="20"/>
          <w:szCs w:val="20"/>
          <w:color w:val="auto"/>
        </w:rPr>
      </w:pPr>
    </w:p>
    <w:p>
      <w:pPr>
        <w:ind w:left="360"/>
        <w:spacing w:after="0"/>
        <w:rPr>
          <w:rFonts w:ascii="Arial" w:cs="Arial" w:eastAsia="Arial" w:hAnsi="Arial"/>
          <w:sz w:val="16"/>
          <w:szCs w:val="16"/>
          <w:color w:val="auto"/>
        </w:rPr>
      </w:pPr>
      <w:hyperlink w:anchor="page59">
        <w:r>
          <w:rPr>
            <w:rFonts w:ascii="Arial" w:cs="Arial" w:eastAsia="Arial" w:hAnsi="Arial"/>
            <w:sz w:val="16"/>
            <w:szCs w:val="16"/>
            <w:color w:val="auto"/>
          </w:rPr>
          <w:t>54</w:t>
        </w:r>
      </w:hyperlink>
    </w:p>
    <w:p>
      <w:pPr>
        <w:spacing w:after="0" w:line="302" w:lineRule="exact"/>
        <w:rPr>
          <w:sz w:val="20"/>
          <w:szCs w:val="20"/>
          <w:color w:val="auto"/>
        </w:rPr>
      </w:pPr>
    </w:p>
    <w:p>
      <w:pPr>
        <w:ind w:left="360"/>
        <w:spacing w:after="0"/>
        <w:rPr>
          <w:rFonts w:ascii="Arial" w:cs="Arial" w:eastAsia="Arial" w:hAnsi="Arial"/>
          <w:sz w:val="16"/>
          <w:szCs w:val="16"/>
          <w:color w:val="auto"/>
        </w:rPr>
      </w:pPr>
      <w:hyperlink w:anchor="page59">
        <w:r>
          <w:rPr>
            <w:rFonts w:ascii="Arial" w:cs="Arial" w:eastAsia="Arial" w:hAnsi="Arial"/>
            <w:sz w:val="16"/>
            <w:szCs w:val="16"/>
            <w:color w:val="auto"/>
          </w:rPr>
          <w:t>54</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60">
        <w:r>
          <w:rPr>
            <w:rFonts w:ascii="Arial" w:cs="Arial" w:eastAsia="Arial" w:hAnsi="Arial"/>
            <w:sz w:val="16"/>
            <w:szCs w:val="16"/>
            <w:color w:val="auto"/>
          </w:rPr>
          <w:t>55</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97">
        <w:r>
          <w:rPr>
            <w:rFonts w:ascii="Arial" w:cs="Arial" w:eastAsia="Arial" w:hAnsi="Arial"/>
            <w:sz w:val="16"/>
            <w:szCs w:val="16"/>
            <w:color w:val="auto"/>
          </w:rPr>
          <w:t>92</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97">
        <w:r>
          <w:rPr>
            <w:rFonts w:ascii="Arial" w:cs="Arial" w:eastAsia="Arial" w:hAnsi="Arial"/>
            <w:sz w:val="16"/>
            <w:szCs w:val="16"/>
            <w:color w:val="auto"/>
          </w:rPr>
          <w:t>92</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97">
        <w:r>
          <w:rPr>
            <w:rFonts w:ascii="Arial" w:cs="Arial" w:eastAsia="Arial" w:hAnsi="Arial"/>
            <w:sz w:val="16"/>
            <w:szCs w:val="16"/>
            <w:color w:val="auto"/>
          </w:rPr>
          <w:t>92</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97">
        <w:r>
          <w:rPr>
            <w:rFonts w:ascii="Arial" w:cs="Arial" w:eastAsia="Arial" w:hAnsi="Arial"/>
            <w:sz w:val="16"/>
            <w:szCs w:val="16"/>
            <w:color w:val="auto"/>
          </w:rPr>
          <w:t>92</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97">
        <w:r>
          <w:rPr>
            <w:rFonts w:ascii="Arial" w:cs="Arial" w:eastAsia="Arial" w:hAnsi="Arial"/>
            <w:sz w:val="16"/>
            <w:szCs w:val="16"/>
            <w:color w:val="auto"/>
          </w:rPr>
          <w:t>93</w:t>
        </w:r>
      </w:hyperlink>
    </w:p>
    <w:p>
      <w:pPr>
        <w:spacing w:after="0" w:line="86" w:lineRule="exact"/>
        <w:rPr>
          <w:sz w:val="20"/>
          <w:szCs w:val="20"/>
          <w:color w:val="auto"/>
        </w:rPr>
      </w:pPr>
    </w:p>
    <w:p>
      <w:pPr>
        <w:ind w:left="360"/>
        <w:spacing w:after="0"/>
        <w:rPr>
          <w:rFonts w:ascii="Arial" w:cs="Arial" w:eastAsia="Arial" w:hAnsi="Arial"/>
          <w:sz w:val="16"/>
          <w:szCs w:val="16"/>
          <w:color w:val="auto"/>
        </w:rPr>
      </w:pPr>
      <w:hyperlink w:anchor="page98">
        <w:r>
          <w:rPr>
            <w:rFonts w:ascii="Arial" w:cs="Arial" w:eastAsia="Arial" w:hAnsi="Arial"/>
            <w:sz w:val="16"/>
            <w:szCs w:val="16"/>
            <w:color w:val="auto"/>
          </w:rPr>
          <w:t>94</w:t>
        </w:r>
      </w:hyperlink>
    </w:p>
    <w:p>
      <w:pPr>
        <w:sectPr>
          <w:pgSz w:w="11900" w:h="16838" w:orient="portrait"/>
          <w:cols w:equalWidth="0" w:num="2">
            <w:col w:w="10240" w:space="420"/>
            <w:col w:w="540"/>
          </w:cols>
          <w:pgMar w:left="340" w:top="985" w:right="35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8"/>
          <w:szCs w:val="18"/>
          <w:i w:val="1"/>
          <w:iCs w:val="1"/>
          <w:color w:val="auto"/>
        </w:rPr>
        <w:t>As used in this report, “Corporation,” “Company,” “Clover Health,” “we,” “us,” “our” and similar terms refer to Clover Health Investments, Corp. and its consolidated subsidiaries, unless otherwise noted or the context otherwise requires.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in this document and the risk factors described in our other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20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results of operations, financial condition and cash flows;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and expansion of our Medicare Advantage and Direct Contracting businesses;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service markets and manage our operations;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in the markets in which we operate;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beneficiary base and provider network;</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adoption and use of the Clover Assistant;</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benefits associated with the use of the Clover Assistant platform, including our ability to utilize the platform to manage our medical care ratios;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features and functionality that meet market needs and achieve market acceptance;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necessary employees and staff our operations appropriately;</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certain investments in growth;</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our business, results of operations, and financial condition;</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ind w:left="660" w:right="2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current, pending or future legislation, regulations or policies that could have a negative effect on our revenue and businesses, including rules, regulations and policies relating to healthcare and Medicare;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our Star Ratings or otherwise continue to improve the financial performance of our business;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general economic conditions, including the societal and economic impact of the COVID-19 pandemic, and geopolitical uncertainty and instability.</w:t>
      </w:r>
    </w:p>
    <w:p>
      <w:pPr>
        <w:spacing w:after="0" w:line="23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document or to conform these statements to actual results or revised expectations.</w:t>
      </w:r>
    </w:p>
    <w:p>
      <w:pPr>
        <w:spacing w:after="0" w:line="2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You should read this document with the understanding that our actual future results, levels of activity, performance and events and circumstances may be materially different from what we expect. 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are reliable, we have not separately verified these data. You are cautioned not to give undue weight to any such information, projections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 w:name="page4"/>
    <w:bookmarkEnd w:id="3"/>
    <w:p>
      <w:pPr>
        <w:jc w:val="both"/>
        <w:spacing w:after="0" w:line="235"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the important factors described in the “Risk Factors” section in this document, our actual results or performance may be materially different from those expressed or implied by these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7"/>
          <w:szCs w:val="17"/>
          <w:color w:val="auto"/>
        </w:rPr>
        <w:t>Our website address is www.cloverhealth.com.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Our filings with the SEC are posted on our website and available free of charge as soon as reasonably practical after they are electronically filed with, or furnished to, the SEC. The SEC’s website, www.sec.gov, contains reports, proxy statements and other information regarding issuers that file electronically with the SEC. The content on any website referred to in this document is not incorporated by reference in this document unless expressly noted. Further, the Company’s references to website URLs are intended to be inactive textual references only.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Investors and others should note that we routinely announce material information to investors and the marketplace using filings with the SEC, press releases, public conference calls, presentations, webcasts and our investor relations website. We also intend to use certain social media channels as a means of disclosing information about the Company and our products to our customers, investors and the public, including @Clover_Health and #CloverHealth on Twitter, and the LinkedIn account of our President and Chief Technology Officer, Andrew Toy. The information posted on social media channels is not incorporated by reference in this report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the Company to review the information that we share at the “Investors” link located at the bottom of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6"/>
                <w:szCs w:val="16"/>
                <w:color w:val="auto"/>
              </w:rPr>
            </w:pPr>
          </w:p>
        </w:tc>
        <w:tc>
          <w:tcPr>
            <w:tcW w:w="1160" w:type="dxa"/>
            <w:vAlign w:val="bottom"/>
          </w:tcPr>
          <w:p>
            <w:pPr>
              <w:jc w:val="right"/>
              <w:ind w:right="91"/>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500" w:type="dxa"/>
            <w:vAlign w:val="bottom"/>
          </w:tcPr>
          <w:p>
            <w:pPr>
              <w:spacing w:after="0"/>
              <w:rPr>
                <w:sz w:val="18"/>
                <w:szCs w:val="18"/>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2021 (Unaudited)</w:t>
            </w:r>
          </w:p>
        </w:tc>
        <w:tc>
          <w:tcPr>
            <w:tcW w:w="140" w:type="dxa"/>
            <w:vAlign w:val="bottom"/>
          </w:tcPr>
          <w:p>
            <w:pPr>
              <w:spacing w:after="0"/>
              <w:rPr>
                <w:sz w:val="18"/>
                <w:szCs w:val="18"/>
                <w:color w:val="auto"/>
              </w:rPr>
            </w:pPr>
          </w:p>
        </w:tc>
        <w:tc>
          <w:tcPr>
            <w:tcW w:w="1160" w:type="dxa"/>
            <w:vAlign w:val="bottom"/>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212"/>
        </w:trPr>
        <w:tc>
          <w:tcPr>
            <w:tcW w:w="8500" w:type="dxa"/>
            <w:vAlign w:val="bottom"/>
            <w:tcBorders>
              <w:top w:val="single" w:sz="8" w:color="CCEEFF"/>
            </w:tcBorders>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92,348</w:t>
            </w:r>
          </w:p>
        </w:tc>
      </w:tr>
      <w:tr>
        <w:trPr>
          <w:trHeight w:val="229"/>
        </w:trPr>
        <w:tc>
          <w:tcPr>
            <w:tcW w:w="85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218,390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4,098</w:t>
            </w:r>
          </w:p>
        </w:tc>
      </w:tr>
      <w:tr>
        <w:trPr>
          <w:trHeight w:val="230"/>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 available-for sale (Amortized cost: 2021: $21,139; 2020: $0)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tcPr>
          <w:p>
            <w:pPr>
              <w:ind w:left="200"/>
              <w:spacing w:after="0"/>
              <w:rPr>
                <w:sz w:val="20"/>
                <w:szCs w:val="20"/>
                <w:color w:val="auto"/>
              </w:rPr>
            </w:pPr>
            <w:r>
              <w:rPr>
                <w:rFonts w:ascii="Arial" w:cs="Arial" w:eastAsia="Arial" w:hAnsi="Arial"/>
                <w:sz w:val="18"/>
                <w:szCs w:val="18"/>
                <w:color w:val="auto"/>
              </w:rPr>
              <w:t>Investment securities, held-to-maturity (Fair value: 2021: $308; 2020: $266)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retrospective premiums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34,829</w:t>
            </w:r>
          </w:p>
        </w:tc>
      </w:tr>
      <w:tr>
        <w:trPr>
          <w:trHeight w:val="230"/>
        </w:trPr>
        <w:tc>
          <w:tcPr>
            <w:tcW w:w="8500" w:type="dxa"/>
            <w:vAlign w:val="bottom"/>
          </w:tcPr>
          <w:p>
            <w:pPr>
              <w:ind w:left="20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11,368</w:t>
            </w:r>
          </w:p>
        </w:tc>
      </w:tr>
      <w:tr>
        <w:trPr>
          <w:trHeight w:val="229"/>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Healthcare receivable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38,745</w:t>
            </w:r>
          </w:p>
        </w:tc>
      </w:tr>
      <w:tr>
        <w:trPr>
          <w:trHeight w:val="230"/>
        </w:trPr>
        <w:tc>
          <w:tcPr>
            <w:tcW w:w="8500" w:type="dxa"/>
            <w:vAlign w:val="bottom"/>
          </w:tcPr>
          <w:p>
            <w:pPr>
              <w:ind w:left="200"/>
              <w:spacing w:after="0"/>
              <w:rPr>
                <w:sz w:val="20"/>
                <w:szCs w:val="20"/>
                <w:color w:val="auto"/>
              </w:rPr>
            </w:pPr>
            <w:r>
              <w:rPr>
                <w:rFonts w:ascii="Arial" w:cs="Arial" w:eastAsia="Arial" w:hAnsi="Arial"/>
                <w:sz w:val="18"/>
                <w:szCs w:val="18"/>
                <w:color w:val="auto"/>
              </w:rPr>
              <w:t>Surety bonds and deposits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r>
      <w:tr>
        <w:trPr>
          <w:trHeight w:val="229"/>
        </w:trPr>
        <w:tc>
          <w:tcPr>
            <w:tcW w:w="8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assets, current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559,281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189,782</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Direct Contracting performance year receivable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220,738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securities, available-for sale (Amortized cost: 2021: $146,796; 2020: $53,953)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53,963</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Investment securities, held-to-maturity (Fair value: 2021: $419; 2020: $471)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7,882</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non-current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952,478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267,252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3"/>
        </w:trPr>
        <w:tc>
          <w:tcPr>
            <w:tcW w:w="85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2021 (Unaudited)</w:t>
            </w:r>
          </w:p>
        </w:tc>
        <w:tc>
          <w:tcPr>
            <w:tcW w:w="14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520" w:type="dxa"/>
            <w:vAlign w:val="bottom"/>
            <w:tcBorders>
              <w:top w:val="single" w:sz="8" w:color="CCEEFF"/>
            </w:tcBorders>
            <w:shd w:val="clear" w:color="auto" w:fill="CCEEFF"/>
          </w:tcPr>
          <w:p>
            <w:pPr>
              <w:ind w:left="174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Unpaid claims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140,210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Accrued salaries and benefits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Current portion of notes and securities payable</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20,803</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 deficiency reserve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liabilities, current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230,249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164,228</w:t>
            </w:r>
          </w:p>
        </w:tc>
        <w:tc>
          <w:tcPr>
            <w:tcW w:w="0" w:type="dxa"/>
            <w:vAlign w:val="bottom"/>
          </w:tcPr>
          <w:p>
            <w:pPr>
              <w:spacing w:after="0"/>
              <w:rPr>
                <w:sz w:val="1"/>
                <w:szCs w:val="1"/>
                <w:color w:val="auto"/>
              </w:rPr>
            </w:pPr>
          </w:p>
        </w:tc>
      </w:tr>
      <w:tr>
        <w:trPr>
          <w:trHeight w:val="223"/>
        </w:trPr>
        <w:tc>
          <w:tcPr>
            <w:tcW w:w="8520" w:type="dxa"/>
            <w:vAlign w:val="bottom"/>
          </w:tcPr>
          <w:p>
            <w:pPr>
              <w:ind w:left="200"/>
              <w:spacing w:after="0"/>
              <w:rPr>
                <w:sz w:val="20"/>
                <w:szCs w:val="20"/>
                <w:color w:val="auto"/>
              </w:rPr>
            </w:pPr>
            <w:r>
              <w:rPr>
                <w:rFonts w:ascii="Arial" w:cs="Arial" w:eastAsia="Arial" w:hAnsi="Arial"/>
                <w:sz w:val="18"/>
                <w:szCs w:val="18"/>
                <w:color w:val="auto"/>
              </w:rPr>
              <w:t>Direct Contracting performance year obligation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244,599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and securities payable, net of discounts and deferred issuance costs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106,413</w:t>
            </w:r>
          </w:p>
        </w:tc>
        <w:tc>
          <w:tcPr>
            <w:tcW w:w="0" w:type="dxa"/>
            <w:vAlign w:val="bottom"/>
          </w:tcPr>
          <w:p>
            <w:pPr>
              <w:spacing w:after="0"/>
              <w:rPr>
                <w:sz w:val="1"/>
                <w:szCs w:val="1"/>
                <w:color w:val="auto"/>
              </w:rPr>
            </w:pPr>
          </w:p>
        </w:tc>
      </w:tr>
      <w:tr>
        <w:trPr>
          <w:trHeight w:val="230"/>
        </w:trPr>
        <w:tc>
          <w:tcPr>
            <w:tcW w:w="8520" w:type="dxa"/>
            <w:vAlign w:val="bottom"/>
          </w:tcPr>
          <w:p>
            <w:pPr>
              <w:ind w:left="20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 payable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29"/>
        </w:trPr>
        <w:tc>
          <w:tcPr>
            <w:tcW w:w="852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 non-current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540,188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432,698</w:t>
            </w: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w w:val="98"/>
              </w:rPr>
              <w:t>Convertible Preferred stock (Series Seed A, A-1, B, C, and D), $0.0001 par value; 0 and 155,387,025 shares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20"/>
              <w:spacing w:after="0"/>
              <w:rPr>
                <w:sz w:val="20"/>
                <w:szCs w:val="20"/>
                <w:color w:val="auto"/>
              </w:rPr>
            </w:pPr>
            <w:r>
              <w:rPr>
                <w:rFonts w:ascii="Arial" w:cs="Arial" w:eastAsia="Arial" w:hAnsi="Arial"/>
                <w:sz w:val="18"/>
                <w:szCs w:val="18"/>
                <w:color w:val="auto"/>
                <w:w w:val="92"/>
              </w:rPr>
              <w:t>authorized as of September 30, 2021, and December 31, 2020, respectively; 0 and 139,444,346 shares issued and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20" w:type="dxa"/>
            <w:vAlign w:val="bottom"/>
          </w:tcPr>
          <w:p>
            <w:pPr>
              <w:ind w:left="20"/>
              <w:spacing w:after="0"/>
              <w:rPr>
                <w:sz w:val="20"/>
                <w:szCs w:val="20"/>
                <w:color w:val="auto"/>
              </w:rPr>
            </w:pPr>
            <w:r>
              <w:rPr>
                <w:rFonts w:ascii="Arial" w:cs="Arial" w:eastAsia="Arial" w:hAnsi="Arial"/>
                <w:sz w:val="18"/>
                <w:szCs w:val="18"/>
                <w:color w:val="auto"/>
                <w:w w:val="91"/>
              </w:rPr>
              <w:t>outstanding as of September 30, 2021, and December 31, 2020, respectively; aggregate liquidation preference of $0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20"/>
              <w:spacing w:after="0" w:line="263" w:lineRule="exact"/>
              <w:rPr>
                <w:sz w:val="20"/>
                <w:szCs w:val="20"/>
                <w:color w:val="auto"/>
              </w:rPr>
            </w:pPr>
            <w:r>
              <w:rPr>
                <w:rFonts w:ascii="Arial" w:cs="Arial" w:eastAsia="Arial" w:hAnsi="Arial"/>
                <w:sz w:val="18"/>
                <w:szCs w:val="18"/>
                <w:color w:val="auto"/>
              </w:rPr>
              <w:t xml:space="preserve">and $470,256 as of September 30, 2021, and December 31, 2020, respectively </w:t>
            </w:r>
            <w:r>
              <w:rPr>
                <w:rFonts w:ascii="Arial" w:cs="Arial" w:eastAsia="Arial" w:hAnsi="Arial"/>
                <w:sz w:val="23"/>
                <w:szCs w:val="23"/>
                <w:color w:val="auto"/>
                <w:vertAlign w:val="superscript"/>
              </w:rPr>
              <w:t>(1)</w:t>
            </w:r>
          </w:p>
        </w:tc>
        <w:tc>
          <w:tcPr>
            <w:tcW w:w="12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447,747</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20" w:type="dxa"/>
            <w:vAlign w:val="bottom"/>
          </w:tcPr>
          <w:p>
            <w:pPr>
              <w:ind w:left="100"/>
              <w:spacing w:after="0" w:line="176" w:lineRule="exact"/>
              <w:rPr>
                <w:sz w:val="20"/>
                <w:szCs w:val="20"/>
                <w:color w:val="auto"/>
              </w:rPr>
            </w:pPr>
            <w:r>
              <w:rPr>
                <w:rFonts w:ascii="Arial" w:cs="Arial" w:eastAsia="Arial" w:hAnsi="Arial"/>
                <w:sz w:val="18"/>
                <w:szCs w:val="18"/>
                <w:color w:val="auto"/>
                <w:w w:val="91"/>
              </w:rPr>
              <w:t>Class A Common Stock, $0.0001 par value; 2,500,000,000 and 0 shares authorized as of September 30, 2021, and</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20" w:type="dxa"/>
            <w:vAlign w:val="bottom"/>
          </w:tcPr>
          <w:p>
            <w:pPr>
              <w:ind w:left="100"/>
              <w:spacing w:after="0" w:line="176" w:lineRule="exact"/>
              <w:rPr>
                <w:sz w:val="20"/>
                <w:szCs w:val="20"/>
                <w:color w:val="auto"/>
              </w:rPr>
            </w:pPr>
            <w:r>
              <w:rPr>
                <w:rFonts w:ascii="Arial" w:cs="Arial" w:eastAsia="Arial" w:hAnsi="Arial"/>
                <w:sz w:val="18"/>
                <w:szCs w:val="18"/>
                <w:color w:val="auto"/>
                <w:w w:val="97"/>
              </w:rPr>
              <w:t>December 31, 2020, respectively; 278,308,964 and 0 issued and outstanding as of September 30, 2021, and</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100"/>
              <w:spacing w:after="0"/>
              <w:rPr>
                <w:sz w:val="20"/>
                <w:szCs w:val="20"/>
                <w:color w:val="auto"/>
              </w:rPr>
            </w:pPr>
            <w:r>
              <w:rPr>
                <w:rFonts w:ascii="Arial" w:cs="Arial" w:eastAsia="Arial" w:hAnsi="Arial"/>
                <w:sz w:val="18"/>
                <w:szCs w:val="18"/>
                <w:color w:val="auto"/>
              </w:rPr>
              <w:t>December 31, 2020, respectively</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Class B Common Stock, $0.0001 par value; 500,000,000 and 351,572,668 shares authorized; 142,318,711 and</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89,206,266 issued and outstanding as of September 30, 2021, and December 31, 2020, respectively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1,838,639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411,867</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52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(1,429,537)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(1,028,982)</w:t>
            </w: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Less: Treasury stock, at cost; 14,730 and 0 shares held as of September 30, 2021, and December 31, 2020,</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Clover stockholders’ equity (deficit)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408,387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(617,096)</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412,290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(613,193)</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952,478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267,252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hanging="172"/>
        <w:spacing w:after="0" w:line="201" w:lineRule="auto"/>
        <w:tabs>
          <w:tab w:leader="none" w:pos="163"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23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6"/>
                <w:szCs w:val="16"/>
                <w:color w:val="auto"/>
              </w:rPr>
            </w:pPr>
          </w:p>
        </w:tc>
        <w:tc>
          <w:tcPr>
            <w:tcW w:w="23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80"/>
              <w:spacing w:after="0" w:line="176" w:lineRule="exact"/>
              <w:rPr>
                <w:sz w:val="20"/>
                <w:szCs w:val="20"/>
                <w:color w:val="auto"/>
              </w:rPr>
            </w:pPr>
            <w:r>
              <w:rPr>
                <w:rFonts w:ascii="Arial" w:cs="Arial" w:eastAsia="Arial" w:hAnsi="Arial"/>
                <w:sz w:val="18"/>
                <w:szCs w:val="18"/>
                <w:color w:val="auto"/>
                <w:w w:val="95"/>
              </w:rPr>
              <w:t>Premiums earned, net (Net of ceded premiums of $120 and $126 for the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line="176" w:lineRule="exact"/>
              <w:rPr>
                <w:sz w:val="20"/>
                <w:szCs w:val="20"/>
                <w:color w:val="auto"/>
              </w:rPr>
            </w:pPr>
            <w:r>
              <w:rPr>
                <w:rFonts w:ascii="Arial" w:cs="Arial" w:eastAsia="Arial" w:hAnsi="Arial"/>
                <w:sz w:val="18"/>
                <w:szCs w:val="18"/>
                <w:color w:val="auto"/>
                <w:w w:val="96"/>
              </w:rPr>
              <w:t>three months ended September 30, 2021 and 2020, respectively; net of</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80"/>
              <w:spacing w:after="0" w:line="176" w:lineRule="exact"/>
              <w:rPr>
                <w:sz w:val="20"/>
                <w:szCs w:val="20"/>
                <w:color w:val="auto"/>
              </w:rPr>
            </w:pPr>
            <w:r>
              <w:rPr>
                <w:rFonts w:ascii="Arial" w:cs="Arial" w:eastAsia="Arial" w:hAnsi="Arial"/>
                <w:sz w:val="18"/>
                <w:szCs w:val="18"/>
                <w:color w:val="auto"/>
                <w:w w:val="89"/>
              </w:rPr>
              <w:t>ceded premiums of $370 and $383 for the nine months ended September 30,</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203,657</w:t>
            </w:r>
          </w:p>
        </w:tc>
        <w:tc>
          <w:tcPr>
            <w:tcW w:w="26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167,075</w:t>
            </w:r>
          </w:p>
        </w:tc>
        <w:tc>
          <w:tcPr>
            <w:tcW w:w="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598,390</w:t>
            </w:r>
          </w:p>
        </w:tc>
        <w:tc>
          <w:tcPr>
            <w:tcW w:w="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501,100</w:t>
            </w:r>
          </w:p>
        </w:tc>
        <w:tc>
          <w:tcPr>
            <w:tcW w:w="0" w:type="dxa"/>
            <w:vAlign w:val="bottom"/>
          </w:tcPr>
          <w:p>
            <w:pPr>
              <w:spacing w:after="0"/>
              <w:rPr>
                <w:sz w:val="1"/>
                <w:szCs w:val="1"/>
                <w:color w:val="auto"/>
              </w:rPr>
            </w:pPr>
          </w:p>
        </w:tc>
      </w:tr>
      <w:tr>
        <w:trPr>
          <w:trHeight w:val="230"/>
        </w:trPr>
        <w:tc>
          <w:tcPr>
            <w:tcW w:w="5800" w:type="dxa"/>
            <w:vAlign w:val="bottom"/>
          </w:tcPr>
          <w:p>
            <w:pPr>
              <w:ind w:left="280"/>
              <w:spacing w:after="0"/>
              <w:rPr>
                <w:sz w:val="20"/>
                <w:szCs w:val="20"/>
                <w:color w:val="auto"/>
              </w:rPr>
            </w:pPr>
            <w:r>
              <w:rPr>
                <w:rFonts w:ascii="Arial" w:cs="Arial" w:eastAsia="Arial" w:hAnsi="Arial"/>
                <w:sz w:val="18"/>
                <w:szCs w:val="18"/>
                <w:color w:val="auto"/>
              </w:rPr>
              <w:t>2021 and 2020, respectively)</w:t>
            </w: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 Contracting revenue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222,647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427,163</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169,069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1,039,960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506,655</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80"/>
              <w:spacing w:after="0"/>
              <w:rPr>
                <w:sz w:val="20"/>
                <w:szCs w:val="20"/>
                <w:color w:val="auto"/>
              </w:rPr>
            </w:pPr>
            <w:r>
              <w:rPr>
                <w:rFonts w:ascii="Arial" w:cs="Arial" w:eastAsia="Arial" w:hAnsi="Arial"/>
                <w:sz w:val="18"/>
                <w:szCs w:val="18"/>
                <w:color w:val="auto"/>
              </w:rPr>
              <w:t>Net medical claims incurred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436,422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144,846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1,109,375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410,540</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57,339</w:t>
            </w:r>
          </w:p>
        </w:tc>
        <w:tc>
          <w:tcPr>
            <w:tcW w:w="0" w:type="dxa"/>
            <w:vAlign w:val="bottom"/>
          </w:tcPr>
          <w:p>
            <w:pPr>
              <w:spacing w:after="0"/>
              <w:rPr>
                <w:sz w:val="1"/>
                <w:szCs w:val="1"/>
                <w:color w:val="auto"/>
              </w:rPr>
            </w:pPr>
          </w:p>
        </w:tc>
      </w:tr>
      <w:tr>
        <w:trPr>
          <w:trHeight w:val="230"/>
        </w:trPr>
        <w:tc>
          <w:tcPr>
            <w:tcW w:w="580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79,798</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Premium deficiency reserve expense (benefit)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0" w:type="dxa"/>
            <w:vAlign w:val="bottom"/>
          </w:tcPr>
          <w:p>
            <w:pPr>
              <w:spacing w:after="0"/>
              <w:rPr>
                <w:sz w:val="1"/>
                <w:szCs w:val="1"/>
                <w:color w:val="auto"/>
              </w:rPr>
            </w:pPr>
          </w:p>
        </w:tc>
      </w:tr>
      <w:tr>
        <w:trPr>
          <w:trHeight w:val="229"/>
        </w:trPr>
        <w:tc>
          <w:tcPr>
            <w:tcW w:w="5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576,416</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190,687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1,490,163</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531,733</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(25,078)</w:t>
            </w: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25,560</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Gain on derivative</w:t>
            </w:r>
          </w:p>
        </w:tc>
        <w:tc>
          <w:tcPr>
            <w:tcW w:w="2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(68,081)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(87,475)</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data: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20"/>
              <w:spacing w:after="0"/>
              <w:rPr>
                <w:sz w:val="20"/>
                <w:szCs w:val="20"/>
                <w:color w:val="auto"/>
              </w:rPr>
            </w:pPr>
            <w:r>
              <w:rPr>
                <w:rFonts w:ascii="Arial" w:cs="Arial" w:eastAsia="Arial" w:hAnsi="Arial"/>
                <w:sz w:val="18"/>
                <w:szCs w:val="18"/>
                <w:color w:val="auto"/>
                <w:w w:val="95"/>
              </w:rPr>
              <w:t xml:space="preserve">Net (loss) income per share attributable to common stockholders – basic </w:t>
            </w:r>
            <w:r>
              <w:rPr>
                <w:rFonts w:ascii="Arial" w:cs="Arial" w:eastAsia="Arial" w:hAnsi="Arial"/>
                <w:sz w:val="23"/>
                <w:szCs w:val="23"/>
                <w:color w:val="auto"/>
                <w:w w:val="95"/>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xml:space="preserve">Net (loss) income per share attributable to common stockholders – diluted </w:t>
            </w:r>
            <w:r>
              <w:rPr>
                <w:rFonts w:ascii="Arial" w:cs="Arial" w:eastAsia="Arial" w:hAnsi="Arial"/>
                <w:sz w:val="23"/>
                <w:szCs w:val="23"/>
                <w:color w:val="auto"/>
                <w:w w:val="94"/>
                <w:vertAlign w:val="superscript"/>
              </w:rPr>
              <w:t>(1)</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common shares and common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equivalents outstanding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414,572,706</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88,863,244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410,417,493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88,616,116</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w w:val="99"/>
              </w:rPr>
              <w:t>Diluted weighted average number of common shares and common share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0" w:type="dxa"/>
            <w:vAlign w:val="bottom"/>
          </w:tcPr>
          <w:p>
            <w:pPr>
              <w:ind w:left="20"/>
              <w:spacing w:after="0" w:line="263" w:lineRule="exact"/>
              <w:rPr>
                <w:sz w:val="20"/>
                <w:szCs w:val="20"/>
                <w:color w:val="auto"/>
              </w:rPr>
            </w:pPr>
            <w:r>
              <w:rPr>
                <w:rFonts w:ascii="Arial" w:cs="Arial" w:eastAsia="Arial" w:hAnsi="Arial"/>
                <w:sz w:val="18"/>
                <w:szCs w:val="18"/>
                <w:color w:val="auto"/>
              </w:rPr>
              <w:t xml:space="preserve">equivalents outstanding </w:t>
            </w:r>
            <w:r>
              <w:rPr>
                <w:rFonts w:ascii="Arial" w:cs="Arial" w:eastAsia="Arial" w:hAnsi="Arial"/>
                <w:sz w:val="23"/>
                <w:szCs w:val="23"/>
                <w:color w:val="auto"/>
                <w:vertAlign w:val="superscript"/>
              </w:rPr>
              <w:t>(1)</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414,572,706</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248,133,335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410,417,493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88,616,116</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Unrealized (loss) gain on available-for-sale investments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-5280025</wp:posOffset>
            </wp:positionV>
            <wp:extent cx="171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4" w:lineRule="exact"/>
        <w:rPr>
          <w:sz w:val="20"/>
          <w:szCs w:val="20"/>
          <w:color w:val="auto"/>
        </w:rPr>
      </w:pPr>
    </w:p>
    <w:p>
      <w:pPr>
        <w:jc w:val="both"/>
        <w:ind w:left="180" w:hanging="172"/>
        <w:spacing w:after="0" w:line="251" w:lineRule="auto"/>
        <w:tabs>
          <w:tab w:leader="none" w:pos="169"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additional information. Because the Corporation had a net loss during the three and nine months ended September 30, 2021, and a net loss during the nine months ended September 30,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CONDENSED CONSOLIDATED STATEMENTS OF CHANGES IN CONVERTIBLE PREFERRED STOCK AND STOCKHOLDERS' EQUITY</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(DEFICIT) </w:t>
      </w:r>
      <w:r>
        <w:rPr>
          <w:rFonts w:ascii="Arial" w:cs="Arial" w:eastAsia="Arial" w:hAnsi="Arial"/>
          <w:sz w:val="16"/>
          <w:szCs w:val="16"/>
          <w:color w:val="auto"/>
        </w:rPr>
        <w:t>(Unaudited)</w:t>
      </w:r>
    </w:p>
    <w:p>
      <w:pPr>
        <w:spacing w:after="0" w:line="2" w:lineRule="exact"/>
        <w:rPr>
          <w:sz w:val="20"/>
          <w:szCs w:val="20"/>
          <w:color w:val="auto"/>
        </w:rPr>
      </w:pPr>
    </w:p>
    <w:tbl>
      <w:tblPr>
        <w:tblLayout w:type="fixed"/>
        <w:tblInd w:w="72"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11"/>
          </w:tcPr>
          <w:p>
            <w:pPr>
              <w:ind w:left="160"/>
              <w:spacing w:after="0"/>
              <w:rPr>
                <w:sz w:val="20"/>
                <w:szCs w:val="20"/>
                <w:color w:val="auto"/>
              </w:rPr>
            </w:pPr>
            <w:r>
              <w:rPr>
                <w:rFonts w:ascii="Arial" w:cs="Arial" w:eastAsia="Arial" w:hAnsi="Arial"/>
                <w:sz w:val="14"/>
                <w:szCs w:val="14"/>
                <w:color w:val="auto"/>
              </w:rPr>
              <w:t>(Dollars in thousands, except share amounts)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620" w:type="dxa"/>
            <w:vAlign w:val="bottom"/>
            <w:tcBorders>
              <w:right w:val="single" w:sz="8" w:color="auto"/>
            </w:tcBorders>
            <w:gridSpan w:val="5"/>
            <w:vMerge w:val="restart"/>
          </w:tcPr>
          <w:p>
            <w:pPr>
              <w:ind w:left="80"/>
              <w:spacing w:after="0"/>
              <w:rPr>
                <w:sz w:val="20"/>
                <w:szCs w:val="20"/>
                <w:color w:val="auto"/>
              </w:rPr>
            </w:pPr>
            <w:r>
              <w:rPr>
                <w:rFonts w:ascii="Arial" w:cs="Arial" w:eastAsia="Arial" w:hAnsi="Arial"/>
                <w:sz w:val="14"/>
                <w:szCs w:val="14"/>
                <w:b w:val="1"/>
                <w:bCs w:val="1"/>
                <w:color w:val="auto"/>
              </w:rPr>
              <w:t>Convertible Preferred</w:t>
            </w:r>
          </w:p>
        </w:tc>
        <w:tc>
          <w:tcPr>
            <w:tcW w:w="60" w:type="dxa"/>
            <w:vAlign w:val="bottom"/>
          </w:tcPr>
          <w:p>
            <w:pPr>
              <w:spacing w:after="0"/>
              <w:rPr>
                <w:sz w:val="11"/>
                <w:szCs w:val="11"/>
                <w:color w:val="auto"/>
              </w:rPr>
            </w:pPr>
          </w:p>
        </w:tc>
        <w:tc>
          <w:tcPr>
            <w:tcW w:w="152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Class A Common</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62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6"/>
            <w:vMerge w:val="continue"/>
          </w:tcPr>
          <w:p>
            <w:pPr>
              <w:spacing w:after="0"/>
              <w:rPr>
                <w:sz w:val="11"/>
                <w:szCs w:val="11"/>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1"/>
              </w:rPr>
              <w:t>Class B Common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paid-in</w:t>
            </w:r>
          </w:p>
        </w:tc>
        <w:tc>
          <w:tcPr>
            <w:tcW w:w="94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54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74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90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139,444,346</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447,747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88,786,712</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407,115</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(914,392)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(501,990)</w:t>
            </w:r>
          </w:p>
        </w:tc>
        <w:tc>
          <w:tcPr>
            <w:tcW w:w="0" w:type="dxa"/>
            <w:vAlign w:val="bottom"/>
          </w:tcPr>
          <w:p>
            <w:pPr>
              <w:spacing w:after="0"/>
              <w:rPr>
                <w:sz w:val="1"/>
                <w:szCs w:val="1"/>
                <w:color w:val="auto"/>
              </w:rPr>
            </w:pPr>
          </w:p>
        </w:tc>
      </w:tr>
      <w:tr>
        <w:trPr>
          <w:trHeight w:val="189"/>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June 30, 2020</w:t>
            </w: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20"/>
              <w:spacing w:after="0" w:line="135" w:lineRule="exact"/>
              <w:rPr>
                <w:sz w:val="20"/>
                <w:szCs w:val="20"/>
                <w:color w:val="auto"/>
              </w:rPr>
            </w:pPr>
            <w:r>
              <w:rPr>
                <w:rFonts w:ascii="Arial" w:cs="Arial" w:eastAsia="Arial" w:hAnsi="Arial"/>
                <w:sz w:val="14"/>
                <w:szCs w:val="14"/>
                <w:color w:val="auto"/>
                <w:w w:val="89"/>
              </w:rPr>
              <w:t>Stock issuance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for exercise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of stock</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options, net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of early</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exercise</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240,998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86"/>
        </w:trPr>
        <w:tc>
          <w:tcPr>
            <w:tcW w:w="880" w:type="dxa"/>
            <w:vAlign w:val="bottom"/>
          </w:tcPr>
          <w:p>
            <w:pPr>
              <w:ind w:left="10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89"/>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compensation</w:t>
            </w: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20"/>
              <w:spacing w:after="0" w:line="135" w:lineRule="exact"/>
              <w:rPr>
                <w:sz w:val="20"/>
                <w:szCs w:val="20"/>
                <w:color w:val="auto"/>
              </w:rPr>
            </w:pPr>
            <w:r>
              <w:rPr>
                <w:rFonts w:ascii="Arial" w:cs="Arial" w:eastAsia="Arial" w:hAnsi="Arial"/>
                <w:sz w:val="14"/>
                <w:szCs w:val="14"/>
                <w:color w:val="auto"/>
              </w:rPr>
              <w:t>Unrealized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w w:val="93"/>
              </w:rPr>
              <w:t>holdings loss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investment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securities,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available-</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(611)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86"/>
        </w:trPr>
        <w:tc>
          <w:tcPr>
            <w:tcW w:w="880" w:type="dxa"/>
            <w:vAlign w:val="bottom"/>
          </w:tcPr>
          <w:p>
            <w:pPr>
              <w:ind w:left="100"/>
              <w:spacing w:after="0"/>
              <w:rPr>
                <w:sz w:val="20"/>
                <w:szCs w:val="20"/>
                <w:color w:val="auto"/>
              </w:rPr>
            </w:pPr>
            <w:r>
              <w:rPr>
                <w:rFonts w:ascii="Arial" w:cs="Arial" w:eastAsia="Arial" w:hAnsi="Arial"/>
                <w:sz w:val="14"/>
                <w:szCs w:val="14"/>
                <w:color w:val="auto"/>
              </w:rPr>
              <w:t>for-sale</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12,758</w:t>
            </w:r>
          </w:p>
        </w:tc>
        <w:tc>
          <w:tcPr>
            <w:tcW w:w="0" w:type="dxa"/>
            <w:vAlign w:val="bottom"/>
          </w:tcPr>
          <w:p>
            <w:pPr>
              <w:spacing w:after="0"/>
              <w:rPr>
                <w:sz w:val="1"/>
                <w:szCs w:val="1"/>
                <w:color w:val="auto"/>
              </w:rPr>
            </w:pPr>
          </w:p>
        </w:tc>
      </w:tr>
      <w:tr>
        <w:trPr>
          <w:trHeight w:val="115"/>
        </w:trPr>
        <w:tc>
          <w:tcPr>
            <w:tcW w:w="880" w:type="dxa"/>
            <w:vAlign w:val="bottom"/>
          </w:tcPr>
          <w:p>
            <w:pPr>
              <w:ind w:left="20"/>
              <w:spacing w:after="0" w:line="115" w:lineRule="exact"/>
              <w:rPr>
                <w:sz w:val="20"/>
                <w:szCs w:val="20"/>
                <w:color w:val="auto"/>
              </w:rPr>
            </w:pPr>
            <w:r>
              <w:rPr>
                <w:rFonts w:ascii="Arial" w:cs="Arial" w:eastAsia="Arial" w:hAnsi="Arial"/>
                <w:sz w:val="13"/>
                <w:szCs w:val="13"/>
                <w:color w:val="auto"/>
              </w:rPr>
              <w:t>Balance,</w:t>
            </w: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20"/>
              <w:spacing w:after="0" w:line="135" w:lineRule="exact"/>
              <w:rPr>
                <w:sz w:val="20"/>
                <w:szCs w:val="20"/>
                <w:color w:val="auto"/>
              </w:rPr>
            </w:pPr>
            <w:r>
              <w:rPr>
                <w:rFonts w:ascii="Arial" w:cs="Arial" w:eastAsia="Arial" w:hAnsi="Arial"/>
                <w:sz w:val="14"/>
                <w:szCs w:val="14"/>
                <w:color w:val="auto"/>
                <w:w w:val="91"/>
              </w:rPr>
              <w:t>September 30,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139,444,346</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w w:val="90"/>
              </w:rPr>
              <w:t>447,747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89,027,710</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408,944</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(901,634)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764</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(488,014)</w:t>
            </w:r>
          </w:p>
        </w:tc>
        <w:tc>
          <w:tcPr>
            <w:tcW w:w="0" w:type="dxa"/>
            <w:vAlign w:val="bottom"/>
          </w:tcPr>
          <w:p>
            <w:pPr>
              <w:spacing w:after="0"/>
              <w:rPr>
                <w:sz w:val="1"/>
                <w:szCs w:val="1"/>
                <w:color w:val="auto"/>
              </w:rPr>
            </w:pPr>
          </w:p>
        </w:tc>
      </w:tr>
      <w:tr>
        <w:trPr>
          <w:trHeight w:val="162"/>
        </w:trPr>
        <w:tc>
          <w:tcPr>
            <w:tcW w:w="880" w:type="dxa"/>
            <w:vAlign w:val="bottom"/>
          </w:tcPr>
          <w:p>
            <w:pPr>
              <w:ind w:left="20"/>
              <w:spacing w:after="0"/>
              <w:rPr>
                <w:sz w:val="20"/>
                <w:szCs w:val="20"/>
                <w:color w:val="auto"/>
              </w:rPr>
            </w:pPr>
            <w:r>
              <w:rPr>
                <w:rFonts w:ascii="Arial" w:cs="Arial" w:eastAsia="Arial" w:hAnsi="Arial"/>
                <w:sz w:val="14"/>
                <w:szCs w:val="14"/>
                <w:color w:val="auto"/>
              </w:rPr>
              <w:t>2020</w:t>
            </w: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Balance,</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148,560,977</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259,744,474</w:t>
            </w:r>
          </w:p>
        </w:tc>
        <w:tc>
          <w:tcPr>
            <w:tcW w:w="8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1,706,334</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(1,395,010)</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314,855</w:t>
            </w:r>
          </w:p>
        </w:tc>
        <w:tc>
          <w:tcPr>
            <w:tcW w:w="0" w:type="dxa"/>
            <w:vAlign w:val="bottom"/>
          </w:tcPr>
          <w:p>
            <w:pPr>
              <w:spacing w:after="0"/>
              <w:rPr>
                <w:sz w:val="1"/>
                <w:szCs w:val="1"/>
                <w:color w:val="auto"/>
              </w:rPr>
            </w:pPr>
          </w:p>
        </w:tc>
      </w:tr>
      <w:tr>
        <w:trPr>
          <w:trHeight w:val="189"/>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June 30, 2021</w:t>
            </w: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20"/>
              <w:spacing w:after="0" w:line="135" w:lineRule="exact"/>
              <w:rPr>
                <w:sz w:val="20"/>
                <w:szCs w:val="20"/>
                <w:color w:val="auto"/>
              </w:rPr>
            </w:pPr>
            <w:r>
              <w:rPr>
                <w:rFonts w:ascii="Arial" w:cs="Arial" w:eastAsia="Arial" w:hAnsi="Arial"/>
                <w:sz w:val="14"/>
                <w:szCs w:val="14"/>
                <w:color w:val="auto"/>
                <w:w w:val="89"/>
              </w:rPr>
              <w:t>Stock issuance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for exercise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of stock</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options, net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of early</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exercise</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2,893,802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186"/>
        </w:trPr>
        <w:tc>
          <w:tcPr>
            <w:tcW w:w="880" w:type="dxa"/>
            <w:vAlign w:val="bottom"/>
          </w:tcPr>
          <w:p>
            <w:pPr>
              <w:ind w:left="100"/>
              <w:spacing w:after="0"/>
              <w:rPr>
                <w:sz w:val="20"/>
                <w:szCs w:val="20"/>
                <w:color w:val="auto"/>
              </w:rPr>
            </w:pPr>
            <w:r>
              <w:rPr>
                <w:rFonts w:ascii="Arial" w:cs="Arial" w:eastAsia="Arial" w:hAnsi="Arial"/>
                <w:sz w:val="14"/>
                <w:szCs w:val="14"/>
                <w:color w:val="auto"/>
              </w:rPr>
              <w:t>liability</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46,803</w:t>
            </w:r>
          </w:p>
        </w:tc>
        <w:tc>
          <w:tcPr>
            <w:tcW w:w="0" w:type="dxa"/>
            <w:vAlign w:val="bottom"/>
          </w:tcPr>
          <w:p>
            <w:pPr>
              <w:spacing w:after="0"/>
              <w:rPr>
                <w:sz w:val="1"/>
                <w:szCs w:val="1"/>
                <w:color w:val="auto"/>
              </w:rPr>
            </w:pPr>
          </w:p>
        </w:tc>
      </w:tr>
      <w:tr>
        <w:trPr>
          <w:trHeight w:val="189"/>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compensation</w:t>
            </w: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20"/>
              <w:spacing w:after="0" w:line="135" w:lineRule="exact"/>
              <w:rPr>
                <w:sz w:val="20"/>
                <w:szCs w:val="20"/>
                <w:color w:val="auto"/>
              </w:rPr>
            </w:pPr>
            <w:r>
              <w:rPr>
                <w:rFonts w:ascii="Arial" w:cs="Arial" w:eastAsia="Arial" w:hAnsi="Arial"/>
                <w:sz w:val="14"/>
                <w:szCs w:val="14"/>
                <w:color w:val="auto"/>
              </w:rPr>
              <w:t>Vested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restricted</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20,158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80" w:type="dxa"/>
            <w:vAlign w:val="bottom"/>
          </w:tcPr>
          <w:p>
            <w:pPr>
              <w:ind w:left="100"/>
              <w:spacing w:after="0"/>
              <w:rPr>
                <w:sz w:val="20"/>
                <w:szCs w:val="20"/>
                <w:color w:val="auto"/>
              </w:rPr>
            </w:pPr>
            <w:r>
              <w:rPr>
                <w:rFonts w:ascii="Arial" w:cs="Arial" w:eastAsia="Arial" w:hAnsi="Arial"/>
                <w:sz w:val="14"/>
                <w:szCs w:val="14"/>
                <w:color w:val="auto"/>
              </w:rPr>
              <w:t>stock units</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Unrealized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holdings</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gain on</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investment</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securities,</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available-</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9"/>
        </w:trPr>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for-sale</w:t>
            </w: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20"/>
              <w:spacing w:after="0" w:line="135" w:lineRule="exact"/>
              <w:rPr>
                <w:sz w:val="20"/>
                <w:szCs w:val="20"/>
                <w:color w:val="auto"/>
              </w:rPr>
            </w:pPr>
            <w:r>
              <w:rPr>
                <w:rFonts w:ascii="Arial" w:cs="Arial" w:eastAsia="Arial" w:hAnsi="Arial"/>
                <w:sz w:val="14"/>
                <w:szCs w:val="14"/>
                <w:color w:val="auto"/>
              </w:rPr>
              <w:t>Conversion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w w:val="94"/>
              </w:rPr>
              <w:t>from Class B</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Common</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Stock to</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Class 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100"/>
              <w:spacing w:after="0" w:line="135" w:lineRule="exact"/>
              <w:rPr>
                <w:sz w:val="20"/>
                <w:szCs w:val="20"/>
                <w:color w:val="auto"/>
              </w:rPr>
            </w:pPr>
            <w:r>
              <w:rPr>
                <w:rFonts w:ascii="Arial" w:cs="Arial" w:eastAsia="Arial" w:hAnsi="Arial"/>
                <w:sz w:val="14"/>
                <w:szCs w:val="14"/>
                <w:color w:val="auto"/>
              </w:rPr>
              <w:t>Common</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117,425,763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1"/>
              </w:rPr>
              <w:t>(117,425,763)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80" w:type="dxa"/>
            <w:vAlign w:val="bottom"/>
          </w:tcPr>
          <w:p>
            <w:pPr>
              <w:ind w:left="100"/>
              <w:spacing w:after="0"/>
              <w:rPr>
                <w:sz w:val="20"/>
                <w:szCs w:val="20"/>
                <w:color w:val="auto"/>
              </w:rPr>
            </w:pPr>
            <w:r>
              <w:rPr>
                <w:rFonts w:ascii="Arial" w:cs="Arial" w:eastAsia="Arial" w:hAnsi="Arial"/>
                <w:sz w:val="14"/>
                <w:szCs w:val="14"/>
                <w:color w:val="auto"/>
              </w:rPr>
              <w:t>Stock</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common</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5"/>
              </w:rPr>
              <w:t>stock related</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to exercises</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3"/>
              </w:rPr>
              <w:t>of Public and</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Private</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Placement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9,408,264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81,672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81,673</w:t>
            </w:r>
          </w:p>
        </w:tc>
        <w:tc>
          <w:tcPr>
            <w:tcW w:w="0" w:type="dxa"/>
            <w:vAlign w:val="bottom"/>
          </w:tcPr>
          <w:p>
            <w:pPr>
              <w:spacing w:after="0"/>
              <w:rPr>
                <w:sz w:val="1"/>
                <w:szCs w:val="1"/>
                <w:color w:val="auto"/>
              </w:rPr>
            </w:pPr>
          </w:p>
        </w:tc>
      </w:tr>
      <w:tr>
        <w:trPr>
          <w:trHeight w:val="189"/>
        </w:trPr>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Warrants</w:t>
            </w: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20"/>
              <w:spacing w:after="0" w:line="135" w:lineRule="exact"/>
              <w:rPr>
                <w:sz w:val="20"/>
                <w:szCs w:val="20"/>
                <w:color w:val="auto"/>
              </w:rPr>
            </w:pPr>
            <w:r>
              <w:rPr>
                <w:rFonts w:ascii="Arial" w:cs="Arial" w:eastAsia="Arial" w:hAnsi="Arial"/>
                <w:sz w:val="14"/>
                <w:szCs w:val="14"/>
                <w:color w:val="auto"/>
                <w:w w:val="91"/>
              </w:rPr>
              <w:t>Treasury stock</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auto"/>
                <w:w w:val="97"/>
              </w:rPr>
              <w:t>(147)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6"/>
        </w:trPr>
        <w:tc>
          <w:tcPr>
            <w:tcW w:w="880" w:type="dxa"/>
            <w:vAlign w:val="bottom"/>
          </w:tcPr>
          <w:p>
            <w:pPr>
              <w:ind w:left="20"/>
              <w:spacing w:after="0"/>
              <w:rPr>
                <w:sz w:val="20"/>
                <w:szCs w:val="20"/>
                <w:color w:val="auto"/>
              </w:rPr>
            </w:pPr>
            <w:r>
              <w:rPr>
                <w:rFonts w:ascii="Arial" w:cs="Arial" w:eastAsia="Arial" w:hAnsi="Arial"/>
                <w:sz w:val="14"/>
                <w:szCs w:val="14"/>
                <w:color w:val="auto"/>
              </w:rPr>
              <w:t>acquired</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(34,527)</w:t>
            </w:r>
          </w:p>
        </w:tc>
        <w:tc>
          <w:tcPr>
            <w:tcW w:w="0" w:type="dxa"/>
            <w:vAlign w:val="bottom"/>
          </w:tcPr>
          <w:p>
            <w:pPr>
              <w:spacing w:after="0"/>
              <w:rPr>
                <w:sz w:val="1"/>
                <w:szCs w:val="1"/>
                <w:color w:val="auto"/>
              </w:rPr>
            </w:pPr>
          </w:p>
        </w:tc>
      </w:tr>
      <w:tr>
        <w:trPr>
          <w:trHeight w:val="115"/>
        </w:trPr>
        <w:tc>
          <w:tcPr>
            <w:tcW w:w="880" w:type="dxa"/>
            <w:vAlign w:val="bottom"/>
          </w:tcPr>
          <w:p>
            <w:pPr>
              <w:ind w:left="20"/>
              <w:spacing w:after="0" w:line="115" w:lineRule="exact"/>
              <w:rPr>
                <w:sz w:val="20"/>
                <w:szCs w:val="20"/>
                <w:color w:val="auto"/>
              </w:rPr>
            </w:pPr>
            <w:r>
              <w:rPr>
                <w:rFonts w:ascii="Arial" w:cs="Arial" w:eastAsia="Arial" w:hAnsi="Arial"/>
                <w:sz w:val="13"/>
                <w:szCs w:val="13"/>
                <w:color w:val="auto"/>
              </w:rPr>
              <w:t>Balance,</w:t>
            </w: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 w:type="dxa"/>
            <w:vAlign w:val="bottom"/>
          </w:tcPr>
          <w:p>
            <w:pPr>
              <w:ind w:left="20"/>
              <w:spacing w:after="0" w:line="135" w:lineRule="exact"/>
              <w:rPr>
                <w:sz w:val="20"/>
                <w:szCs w:val="20"/>
                <w:color w:val="auto"/>
              </w:rPr>
            </w:pPr>
            <w:r>
              <w:rPr>
                <w:rFonts w:ascii="Arial" w:cs="Arial" w:eastAsia="Arial" w:hAnsi="Arial"/>
                <w:sz w:val="14"/>
                <w:szCs w:val="14"/>
                <w:color w:val="auto"/>
                <w:w w:val="91"/>
              </w:rPr>
              <w:t>September 30,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278,308,964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7"/>
              </w:rPr>
              <w:t>142,318,711</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3"/>
              </w:rPr>
              <w:t>1,838,639</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7"/>
              </w:rPr>
              <w:t>(1,429,537)</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ind w:left="180"/>
              <w:spacing w:after="0"/>
              <w:rPr>
                <w:sz w:val="20"/>
                <w:szCs w:val="20"/>
                <w:color w:val="auto"/>
              </w:rPr>
            </w:pPr>
            <w:r>
              <w:rPr>
                <w:rFonts w:ascii="Arial" w:cs="Arial" w:eastAsia="Arial" w:hAnsi="Arial"/>
                <w:sz w:val="14"/>
                <w:szCs w:val="14"/>
                <w:color w:val="auto"/>
                <w:w w:val="97"/>
              </w:rPr>
              <w:t>(147)</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(610)</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412,290</w:t>
            </w:r>
          </w:p>
        </w:tc>
        <w:tc>
          <w:tcPr>
            <w:tcW w:w="0" w:type="dxa"/>
            <w:vAlign w:val="bottom"/>
          </w:tcPr>
          <w:p>
            <w:pPr>
              <w:spacing w:after="0"/>
              <w:rPr>
                <w:sz w:val="1"/>
                <w:szCs w:val="1"/>
                <w:color w:val="auto"/>
              </w:rPr>
            </w:pPr>
          </w:p>
        </w:tc>
      </w:tr>
      <w:tr>
        <w:trPr>
          <w:trHeight w:val="202"/>
        </w:trPr>
        <w:tc>
          <w:tcPr>
            <w:tcW w:w="880" w:type="dxa"/>
            <w:vAlign w:val="bottom"/>
          </w:tcPr>
          <w:p>
            <w:pPr>
              <w:ind w:left="20"/>
              <w:spacing w:after="0"/>
              <w:rPr>
                <w:sz w:val="20"/>
                <w:szCs w:val="20"/>
                <w:color w:val="auto"/>
              </w:rPr>
            </w:pPr>
            <w:r>
              <w:rPr>
                <w:rFonts w:ascii="Arial" w:cs="Arial" w:eastAsia="Arial" w:hAnsi="Arial"/>
                <w:sz w:val="14"/>
                <w:szCs w:val="14"/>
                <w:color w:val="auto"/>
              </w:rPr>
              <w:t>2021</w:t>
            </w: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72" w:hanging="172"/>
        <w:spacing w:after="0" w:line="217" w:lineRule="auto"/>
        <w:tabs>
          <w:tab w:leader="none" w:pos="161"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8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12"/>
          </w:cols>
          <w:pgMar w:left="328" w:top="989" w:right="3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9" w:right="35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CHANGES IN CONVERTIBLE PREFERRED STOCK AND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(DEFICIT) </w:t>
      </w:r>
      <w:r>
        <w:rPr>
          <w:rFonts w:ascii="Arial" w:cs="Arial" w:eastAsia="Arial" w:hAnsi="Arial"/>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11"/>
          </w:tcPr>
          <w:p>
            <w:pPr>
              <w:ind w:left="60"/>
              <w:spacing w:after="0"/>
              <w:rPr>
                <w:sz w:val="20"/>
                <w:szCs w:val="20"/>
                <w:color w:val="auto"/>
              </w:rPr>
            </w:pPr>
            <w:r>
              <w:rPr>
                <w:rFonts w:ascii="Arial" w:cs="Arial" w:eastAsia="Arial" w:hAnsi="Arial"/>
                <w:sz w:val="14"/>
                <w:szCs w:val="14"/>
                <w:color w:val="auto"/>
              </w:rPr>
              <w:t>(Dollars in thousands, except share amounts)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660" w:type="dxa"/>
            <w:vAlign w:val="bottom"/>
            <w:tcBorders>
              <w:right w:val="single" w:sz="8" w:color="auto"/>
            </w:tcBorders>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4"/>
              </w:rPr>
              <w:t>Convertible Preferred</w:t>
            </w:r>
          </w:p>
        </w:tc>
        <w:tc>
          <w:tcPr>
            <w:tcW w:w="60" w:type="dxa"/>
            <w:vAlign w:val="bottom"/>
          </w:tcPr>
          <w:p>
            <w:pPr>
              <w:spacing w:after="0"/>
              <w:rPr>
                <w:sz w:val="11"/>
                <w:szCs w:val="11"/>
                <w:color w:val="auto"/>
              </w:rPr>
            </w:pPr>
          </w:p>
        </w:tc>
        <w:tc>
          <w:tcPr>
            <w:tcW w:w="152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Class A Common</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other</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66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6"/>
            <w:vMerge w:val="continue"/>
          </w:tcPr>
          <w:p>
            <w:pPr>
              <w:spacing w:after="0"/>
              <w:rPr>
                <w:sz w:val="11"/>
                <w:szCs w:val="11"/>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Class B Common Stock</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5"/>
              </w:rPr>
              <w:t>comprehensive</w:t>
            </w:r>
          </w:p>
        </w:tc>
        <w:tc>
          <w:tcPr>
            <w:tcW w:w="10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94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b w:val="1"/>
                <w:bCs w:val="1"/>
                <w:color w:val="auto"/>
                <w:w w:val="87"/>
              </w:rPr>
              <w:t>stock</w:t>
            </w: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211"/>
        </w:trPr>
        <w:tc>
          <w:tcPr>
            <w:tcW w:w="10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72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90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31,</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7"/>
              </w:rPr>
              <w:t>139,444,346</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$447,747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88,279,119</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403,041</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(891,633)</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(488,537)</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20"/>
              <w:spacing w:after="0" w:line="135" w:lineRule="exact"/>
              <w:rPr>
                <w:sz w:val="20"/>
                <w:szCs w:val="20"/>
                <w:color w:val="auto"/>
              </w:rPr>
            </w:pPr>
            <w:r>
              <w:rPr>
                <w:rFonts w:ascii="Arial" w:cs="Arial" w:eastAsia="Arial" w:hAnsi="Arial"/>
                <w:sz w:val="14"/>
                <w:szCs w:val="14"/>
                <w:color w:val="auto"/>
              </w:rPr>
              <w:t>Stock issuance</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for exercise of</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stock options,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net of early</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exercise</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748,591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954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186"/>
        </w:trPr>
        <w:tc>
          <w:tcPr>
            <w:tcW w:w="1020" w:type="dxa"/>
            <w:vAlign w:val="bottom"/>
          </w:tcPr>
          <w:p>
            <w:pPr>
              <w:ind w:left="100"/>
              <w:spacing w:after="0"/>
              <w:rPr>
                <w:sz w:val="20"/>
                <w:szCs w:val="20"/>
                <w:color w:val="auto"/>
              </w:rPr>
            </w:pPr>
            <w:r>
              <w:rPr>
                <w:rFonts w:ascii="Arial" w:cs="Arial" w:eastAsia="Arial" w:hAnsi="Arial"/>
                <w:sz w:val="14"/>
                <w:szCs w:val="14"/>
                <w:color w:val="auto"/>
              </w:rPr>
              <w:t>liability</w:t>
            </w: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4,949</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20"/>
              <w:spacing w:after="0" w:line="135" w:lineRule="exact"/>
              <w:rPr>
                <w:sz w:val="20"/>
                <w:szCs w:val="20"/>
                <w:color w:val="auto"/>
              </w:rPr>
            </w:pPr>
            <w:r>
              <w:rPr>
                <w:rFonts w:ascii="Arial" w:cs="Arial" w:eastAsia="Arial" w:hAnsi="Arial"/>
                <w:sz w:val="14"/>
                <w:szCs w:val="14"/>
                <w:color w:val="auto"/>
              </w:rPr>
              <w:t>Unrealized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holdings gain</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on investment</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securities,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available-for-</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86"/>
        </w:trPr>
        <w:tc>
          <w:tcPr>
            <w:tcW w:w="1020" w:type="dxa"/>
            <w:vAlign w:val="bottom"/>
          </w:tcPr>
          <w:p>
            <w:pPr>
              <w:ind w:left="100"/>
              <w:spacing w:after="0"/>
              <w:rPr>
                <w:sz w:val="20"/>
                <w:szCs w:val="20"/>
                <w:color w:val="auto"/>
              </w:rPr>
            </w:pPr>
            <w:r>
              <w:rPr>
                <w:rFonts w:ascii="Arial" w:cs="Arial" w:eastAsia="Arial" w:hAnsi="Arial"/>
                <w:sz w:val="14"/>
                <w:szCs w:val="14"/>
                <w:color w:val="auto"/>
              </w:rPr>
              <w:t>sale</w:t>
            </w: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Interests issued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86"/>
        </w:trPr>
        <w:tc>
          <w:tcPr>
            <w:tcW w:w="1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(10,001)</w:t>
            </w:r>
          </w:p>
        </w:tc>
        <w:tc>
          <w:tcPr>
            <w:tcW w:w="0" w:type="dxa"/>
            <w:vAlign w:val="bottom"/>
          </w:tcPr>
          <w:p>
            <w:pPr>
              <w:spacing w:after="0"/>
              <w:rPr>
                <w:sz w:val="1"/>
                <w:szCs w:val="1"/>
                <w:color w:val="auto"/>
              </w:rPr>
            </w:pPr>
          </w:p>
        </w:tc>
      </w:tr>
      <w:tr>
        <w:trPr>
          <w:trHeight w:val="118"/>
        </w:trPr>
        <w:tc>
          <w:tcPr>
            <w:tcW w:w="102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w:t>
            </w: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September 30,</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7"/>
              </w:rPr>
              <w:t>139,444,346</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$447,747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89,027,710</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408,944</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(901,634)</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(488,014)</w:t>
            </w:r>
          </w:p>
        </w:tc>
        <w:tc>
          <w:tcPr>
            <w:tcW w:w="0" w:type="dxa"/>
            <w:vAlign w:val="bottom"/>
          </w:tcPr>
          <w:p>
            <w:pPr>
              <w:spacing w:after="0"/>
              <w:rPr>
                <w:sz w:val="1"/>
                <w:szCs w:val="1"/>
                <w:color w:val="auto"/>
              </w:rPr>
            </w:pPr>
          </w:p>
        </w:tc>
      </w:tr>
      <w:tr>
        <w:trPr>
          <w:trHeight w:val="182"/>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Balance,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0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20"/>
              <w:spacing w:after="0" w:line="135" w:lineRule="exact"/>
              <w:rPr>
                <w:sz w:val="20"/>
                <w:szCs w:val="20"/>
                <w:color w:val="auto"/>
              </w:rPr>
            </w:pPr>
            <w:r>
              <w:rPr>
                <w:rFonts w:ascii="Arial" w:cs="Arial" w:eastAsia="Arial" w:hAnsi="Arial"/>
                <w:sz w:val="14"/>
                <w:szCs w:val="14"/>
                <w:color w:val="auto"/>
              </w:rPr>
              <w:t>December 31,</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w w:val="97"/>
              </w:rPr>
              <w:t>139,444,346</w:t>
            </w:r>
          </w:p>
        </w:tc>
        <w:tc>
          <w:tcPr>
            <w:tcW w:w="80" w:type="dxa"/>
            <w:vAlign w:val="bottom"/>
          </w:tcPr>
          <w:p>
            <w:pPr>
              <w:spacing w:after="0"/>
              <w:rPr>
                <w:sz w:val="11"/>
                <w:szCs w:val="1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w w:val="92"/>
              </w:rPr>
              <w:t>$447,747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89,206,266</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411,867</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4"/>
              </w:rPr>
              <w:t>(1,028,982)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(613,193)</w:t>
            </w:r>
          </w:p>
        </w:tc>
        <w:tc>
          <w:tcPr>
            <w:tcW w:w="0" w:type="dxa"/>
            <w:vAlign w:val="bottom"/>
          </w:tcPr>
          <w:p>
            <w:pPr>
              <w:spacing w:after="0"/>
              <w:rPr>
                <w:sz w:val="1"/>
                <w:szCs w:val="1"/>
                <w:color w:val="auto"/>
              </w:rPr>
            </w:pPr>
          </w:p>
        </w:tc>
      </w:tr>
      <w:tr>
        <w:trPr>
          <w:trHeight w:val="186"/>
        </w:trPr>
        <w:tc>
          <w:tcPr>
            <w:tcW w:w="1020" w:type="dxa"/>
            <w:vAlign w:val="bottom"/>
          </w:tcPr>
          <w:p>
            <w:pPr>
              <w:ind w:left="20"/>
              <w:spacing w:after="0"/>
              <w:rPr>
                <w:sz w:val="20"/>
                <w:szCs w:val="20"/>
                <w:color w:val="auto"/>
              </w:rPr>
            </w:pPr>
            <w:r>
              <w:rPr>
                <w:rFonts w:ascii="Arial" w:cs="Arial" w:eastAsia="Arial" w:hAnsi="Arial"/>
                <w:sz w:val="14"/>
                <w:szCs w:val="14"/>
                <w:color w:val="auto"/>
              </w:rPr>
              <w:t>2020</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 issuance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for exercise of</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stock options,</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net of early</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exercise</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3,859,648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liability</w:t>
            </w: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20"/>
              <w:spacing w:after="0" w:line="135" w:lineRule="exact"/>
              <w:rPr>
                <w:sz w:val="20"/>
                <w:szCs w:val="20"/>
                <w:color w:val="auto"/>
              </w:rPr>
            </w:pPr>
            <w:r>
              <w:rPr>
                <w:rFonts w:ascii="Arial" w:cs="Arial" w:eastAsia="Arial" w:hAnsi="Arial"/>
                <w:sz w:val="14"/>
                <w:szCs w:val="14"/>
                <w:color w:val="auto"/>
              </w:rPr>
              <w:t>Stock-based</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132,542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132,542</w:t>
            </w:r>
          </w:p>
        </w:tc>
        <w:tc>
          <w:tcPr>
            <w:tcW w:w="0" w:type="dxa"/>
            <w:vAlign w:val="bottom"/>
          </w:tcPr>
          <w:p>
            <w:pPr>
              <w:spacing w:after="0"/>
              <w:rPr>
                <w:sz w:val="1"/>
                <w:szCs w:val="1"/>
                <w:color w:val="auto"/>
              </w:rPr>
            </w:pPr>
          </w:p>
        </w:tc>
      </w:tr>
      <w:tr>
        <w:trPr>
          <w:trHeight w:val="186"/>
        </w:trPr>
        <w:tc>
          <w:tcPr>
            <w:tcW w:w="102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Vested restricted</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20,158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 units</w:t>
            </w: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20"/>
              <w:spacing w:after="0" w:line="135" w:lineRule="exact"/>
              <w:rPr>
                <w:sz w:val="20"/>
                <w:szCs w:val="20"/>
                <w:color w:val="auto"/>
              </w:rPr>
            </w:pPr>
            <w:r>
              <w:rPr>
                <w:rFonts w:ascii="Arial" w:cs="Arial" w:eastAsia="Arial" w:hAnsi="Arial"/>
                <w:sz w:val="14"/>
                <w:szCs w:val="14"/>
                <w:color w:val="auto"/>
              </w:rPr>
              <w:t>Unrealized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holdings loss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on investment</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securities,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available-for-</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(620)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86"/>
        </w:trPr>
        <w:tc>
          <w:tcPr>
            <w:tcW w:w="1020" w:type="dxa"/>
            <w:vAlign w:val="bottom"/>
          </w:tcPr>
          <w:p>
            <w:pPr>
              <w:ind w:left="100"/>
              <w:spacing w:after="0"/>
              <w:rPr>
                <w:sz w:val="20"/>
                <w:szCs w:val="20"/>
                <w:color w:val="auto"/>
              </w:rPr>
            </w:pPr>
            <w:r>
              <w:rPr>
                <w:rFonts w:ascii="Arial" w:cs="Arial" w:eastAsia="Arial" w:hAnsi="Arial"/>
                <w:sz w:val="14"/>
                <w:szCs w:val="14"/>
                <w:color w:val="auto"/>
              </w:rPr>
              <w:t>sale</w:t>
            </w: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Preferred stock</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(139,444,346)</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(447,747)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7"/>
              </w:rPr>
              <w:t>139,444,346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447,733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447,747</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20"/>
              <w:spacing w:after="0" w:line="135" w:lineRule="exact"/>
              <w:rPr>
                <w:sz w:val="20"/>
                <w:szCs w:val="20"/>
                <w:color w:val="auto"/>
              </w:rPr>
            </w:pPr>
            <w:r>
              <w:rPr>
                <w:rFonts w:ascii="Arial" w:cs="Arial" w:eastAsia="Arial" w:hAnsi="Arial"/>
                <w:sz w:val="14"/>
                <w:szCs w:val="14"/>
                <w:color w:val="auto"/>
              </w:rPr>
              <w:t>Issuance of</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w w:val="99"/>
              </w:rPr>
              <w:t>common stock</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related to</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exercises of</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legacy</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7,205,490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97,781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97,782</w:t>
            </w:r>
          </w:p>
        </w:tc>
        <w:tc>
          <w:tcPr>
            <w:tcW w:w="0" w:type="dxa"/>
            <w:vAlign w:val="bottom"/>
          </w:tcPr>
          <w:p>
            <w:pPr>
              <w:spacing w:after="0"/>
              <w:rPr>
                <w:sz w:val="1"/>
                <w:szCs w:val="1"/>
                <w:color w:val="auto"/>
              </w:rPr>
            </w:pPr>
          </w:p>
        </w:tc>
      </w:tr>
      <w:tr>
        <w:trPr>
          <w:trHeight w:val="186"/>
        </w:trPr>
        <w:tc>
          <w:tcPr>
            <w:tcW w:w="1020" w:type="dxa"/>
            <w:vAlign w:val="bottom"/>
          </w:tcPr>
          <w:p>
            <w:pPr>
              <w:ind w:left="100"/>
              <w:spacing w:after="0"/>
              <w:rPr>
                <w:sz w:val="20"/>
                <w:szCs w:val="20"/>
                <w:color w:val="auto"/>
              </w:rPr>
            </w:pPr>
            <w:r>
              <w:rPr>
                <w:rFonts w:ascii="Arial" w:cs="Arial" w:eastAsia="Arial" w:hAnsi="Arial"/>
                <w:sz w:val="14"/>
                <w:szCs w:val="14"/>
                <w:color w:val="auto"/>
              </w:rPr>
              <w:t>warrants</w:t>
            </w: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Convertible debt</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4"/>
              </w:rPr>
              <w:t>conversion and</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75,084,703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16,052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16,059</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other issuances</w:t>
            </w: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20"/>
              <w:spacing w:after="0" w:line="135" w:lineRule="exact"/>
              <w:rPr>
                <w:sz w:val="20"/>
                <w:szCs w:val="20"/>
                <w:color w:val="auto"/>
              </w:rPr>
            </w:pPr>
            <w:r>
              <w:rPr>
                <w:rFonts w:ascii="Arial" w:cs="Arial" w:eastAsia="Arial" w:hAnsi="Arial"/>
                <w:sz w:val="14"/>
                <w:szCs w:val="14"/>
                <w:color w:val="auto"/>
              </w:rPr>
              <w:t>Issuance of</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w w:val="99"/>
              </w:rPr>
              <w:t>common stock</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in connection</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with Business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Combination</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and PIPE</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146,373,904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(49,975,104)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666,232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666,242</w:t>
            </w:r>
          </w:p>
        </w:tc>
        <w:tc>
          <w:tcPr>
            <w:tcW w:w="0" w:type="dxa"/>
            <w:vAlign w:val="bottom"/>
          </w:tcPr>
          <w:p>
            <w:pPr>
              <w:spacing w:after="0"/>
              <w:rPr>
                <w:sz w:val="1"/>
                <w:szCs w:val="1"/>
                <w:color w:val="auto"/>
              </w:rPr>
            </w:pPr>
          </w:p>
        </w:tc>
      </w:tr>
      <w:tr>
        <w:trPr>
          <w:trHeight w:val="186"/>
        </w:trPr>
        <w:tc>
          <w:tcPr>
            <w:tcW w:w="1020" w:type="dxa"/>
            <w:vAlign w:val="bottom"/>
          </w:tcPr>
          <w:p>
            <w:pPr>
              <w:ind w:left="100"/>
              <w:spacing w:after="0"/>
              <w:rPr>
                <w:sz w:val="20"/>
                <w:szCs w:val="20"/>
                <w:color w:val="auto"/>
              </w:rPr>
            </w:pPr>
            <w:r>
              <w:rPr>
                <w:rFonts w:ascii="Arial" w:cs="Arial" w:eastAsia="Arial" w:hAnsi="Arial"/>
                <w:sz w:val="14"/>
                <w:szCs w:val="14"/>
                <w:color w:val="auto"/>
              </w:rPr>
              <w:t>offering</w:t>
            </w: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Conversion</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from Class B</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Common</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Stock to Class</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A Common</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118,646,990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(118,646,990)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w:t>
            </w: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20"/>
              <w:spacing w:after="0" w:line="135" w:lineRule="exact"/>
              <w:rPr>
                <w:sz w:val="20"/>
                <w:szCs w:val="20"/>
                <w:color w:val="auto"/>
              </w:rPr>
            </w:pPr>
            <w:r>
              <w:rPr>
                <w:rFonts w:ascii="Arial" w:cs="Arial" w:eastAsia="Arial" w:hAnsi="Arial"/>
                <w:sz w:val="14"/>
                <w:szCs w:val="14"/>
                <w:color w:val="auto"/>
              </w:rPr>
              <w:t>Capital</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contribution</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for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w w:val="95"/>
              </w:rPr>
              <w:t>extinguishment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126,795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126,795</w:t>
            </w:r>
          </w:p>
        </w:tc>
        <w:tc>
          <w:tcPr>
            <w:tcW w:w="0" w:type="dxa"/>
            <w:vAlign w:val="bottom"/>
          </w:tcPr>
          <w:p>
            <w:pPr>
              <w:spacing w:after="0"/>
              <w:rPr>
                <w:sz w:val="1"/>
                <w:szCs w:val="1"/>
                <w:color w:val="auto"/>
              </w:rPr>
            </w:pPr>
          </w:p>
        </w:tc>
      </w:tr>
      <w:tr>
        <w:trPr>
          <w:trHeight w:val="186"/>
        </w:trPr>
        <w:tc>
          <w:tcPr>
            <w:tcW w:w="1020" w:type="dxa"/>
            <w:vAlign w:val="bottom"/>
          </w:tcPr>
          <w:p>
            <w:pPr>
              <w:ind w:left="100"/>
              <w:spacing w:after="0"/>
              <w:rPr>
                <w:sz w:val="20"/>
                <w:szCs w:val="20"/>
                <w:color w:val="auto"/>
              </w:rPr>
            </w:pPr>
            <w:r>
              <w:rPr>
                <w:rFonts w:ascii="Arial" w:cs="Arial" w:eastAsia="Arial" w:hAnsi="Arial"/>
                <w:sz w:val="14"/>
                <w:szCs w:val="14"/>
                <w:color w:val="auto"/>
              </w:rPr>
              <w:t>of debt</w:t>
            </w: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Acquisition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Public 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Private</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Placement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w w:val="93"/>
              </w:rPr>
              <w:t>(147,582)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(147,582)</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Warrants</w:t>
            </w: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20"/>
              <w:spacing w:after="0" w:line="135" w:lineRule="exact"/>
              <w:rPr>
                <w:sz w:val="20"/>
                <w:szCs w:val="20"/>
                <w:color w:val="auto"/>
              </w:rPr>
            </w:pPr>
            <w:r>
              <w:rPr>
                <w:rFonts w:ascii="Arial" w:cs="Arial" w:eastAsia="Arial" w:hAnsi="Arial"/>
                <w:sz w:val="14"/>
                <w:szCs w:val="14"/>
                <w:color w:val="auto"/>
              </w:rPr>
              <w:t>Issuance of</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w w:val="99"/>
              </w:rPr>
              <w:t>common stock</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related to</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exercises of</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Public 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Private</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Arial" w:cs="Arial" w:eastAsia="Arial" w:hAnsi="Arial"/>
                <w:sz w:val="14"/>
                <w:szCs w:val="14"/>
                <w:color w:val="auto"/>
              </w:rPr>
              <w:t>Placement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9,408,264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81,672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81,673</w:t>
            </w:r>
          </w:p>
        </w:tc>
        <w:tc>
          <w:tcPr>
            <w:tcW w:w="0" w:type="dxa"/>
            <w:vAlign w:val="bottom"/>
          </w:tcPr>
          <w:p>
            <w:pPr>
              <w:spacing w:after="0"/>
              <w:rPr>
                <w:sz w:val="1"/>
                <w:szCs w:val="1"/>
                <w:color w:val="auto"/>
              </w:rPr>
            </w:pPr>
          </w:p>
        </w:tc>
      </w:tr>
      <w:tr>
        <w:trPr>
          <w:trHeight w:val="186"/>
        </w:trPr>
        <w:tc>
          <w:tcPr>
            <w:tcW w:w="1020" w:type="dxa"/>
            <w:vAlign w:val="bottom"/>
          </w:tcPr>
          <w:p>
            <w:pPr>
              <w:ind w:left="100"/>
              <w:spacing w:after="0"/>
              <w:rPr>
                <w:sz w:val="20"/>
                <w:szCs w:val="20"/>
                <w:color w:val="auto"/>
              </w:rPr>
            </w:pPr>
            <w:r>
              <w:rPr>
                <w:rFonts w:ascii="Arial" w:cs="Arial" w:eastAsia="Arial" w:hAnsi="Arial"/>
                <w:sz w:val="14"/>
                <w:szCs w:val="14"/>
                <w:color w:val="auto"/>
              </w:rPr>
              <w:t>Warrants</w:t>
            </w: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Treasury stock</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w w:val="91"/>
              </w:rPr>
              <w:t>(147)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w:t>
            </w:r>
          </w:p>
        </w:tc>
        <w:tc>
          <w:tcPr>
            <w:tcW w:w="9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(400,555)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(400,555)</w:t>
            </w:r>
          </w:p>
        </w:tc>
        <w:tc>
          <w:tcPr>
            <w:tcW w:w="0" w:type="dxa"/>
            <w:vAlign w:val="bottom"/>
          </w:tcPr>
          <w:p>
            <w:pPr>
              <w:spacing w:after="0"/>
              <w:rPr>
                <w:sz w:val="1"/>
                <w:szCs w:val="1"/>
                <w:color w:val="auto"/>
              </w:rPr>
            </w:pPr>
          </w:p>
        </w:tc>
      </w:tr>
      <w:tr>
        <w:trPr>
          <w:trHeight w:val="118"/>
        </w:trPr>
        <w:tc>
          <w:tcPr>
            <w:tcW w:w="102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w:t>
            </w: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September 30,</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278,308,964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7"/>
              </w:rPr>
              <w:t>142,318,711</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1,838,639</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(1,429,537)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w w:val="91"/>
              </w:rPr>
              <w:t>(147)</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412,290</w:t>
            </w:r>
          </w:p>
        </w:tc>
        <w:tc>
          <w:tcPr>
            <w:tcW w:w="0" w:type="dxa"/>
            <w:vAlign w:val="bottom"/>
          </w:tcPr>
          <w:p>
            <w:pPr>
              <w:spacing w:after="0"/>
              <w:rPr>
                <w:sz w:val="1"/>
                <w:szCs w:val="1"/>
                <w:color w:val="auto"/>
              </w:rPr>
            </w:pPr>
          </w:p>
        </w:tc>
      </w:tr>
      <w:tr>
        <w:trPr>
          <w:trHeight w:val="182"/>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94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46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right="40" w:hanging="172"/>
        <w:spacing w:after="0" w:line="217" w:lineRule="auto"/>
        <w:tabs>
          <w:tab w:leader="none" w:pos="169"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ectPr>
          <w:pgSz w:w="11900" w:h="16838" w:orient="portrait"/>
          <w:cols w:equalWidth="0" w:num="1">
            <w:col w:w="11260"/>
          </w:cols>
          <w:pgMar w:left="320" w:top="989" w:right="31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4"/>
          <w:szCs w:val="14"/>
          <w:color w:val="auto"/>
        </w:rPr>
        <w:t>CLOVER HEALTH INVESTMENTS, CORP. AND SUBSIDIARIES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CONDENSED CONSOLIDATED STATEMENTS OF CASH FLOWS </w:t>
      </w:r>
      <w:r>
        <w:rPr>
          <w:rFonts w:ascii="Arial" w:cs="Arial" w:eastAsia="Arial" w:hAnsi="Arial"/>
          <w:sz w:val="10"/>
          <w:szCs w:val="10"/>
          <w:color w:val="auto"/>
        </w:rPr>
        <w:t>(Unaudited)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13" w:lineRule="exact"/>
        <w:rPr>
          <w:sz w:val="20"/>
          <w:szCs w:val="20"/>
          <w:color w:val="auto"/>
        </w:rPr>
      </w:pPr>
    </w:p>
    <w:p>
      <w:pPr>
        <w:jc w:val="center"/>
        <w:ind w:left="8080"/>
        <w:spacing w:after="0"/>
        <w:rPr>
          <w:sz w:val="20"/>
          <w:szCs w:val="20"/>
          <w:color w:val="auto"/>
        </w:rPr>
      </w:pPr>
      <w:r>
        <w:rPr>
          <w:rFonts w:ascii="Arial" w:cs="Arial" w:eastAsia="Arial" w:hAnsi="Arial"/>
          <w:sz w:val="13"/>
          <w:szCs w:val="13"/>
          <w:b w:val="1"/>
          <w:bCs w:val="1"/>
          <w:color w:val="auto"/>
        </w:rPr>
        <w:t>Nine Months Ended</w:t>
      </w:r>
    </w:p>
    <w:p>
      <w:pPr>
        <w:jc w:val="center"/>
        <w:ind w:left="8080"/>
        <w:spacing w:after="0"/>
        <w:rPr>
          <w:sz w:val="20"/>
          <w:szCs w:val="20"/>
          <w:color w:val="auto"/>
        </w:rPr>
      </w:pPr>
      <w:r>
        <w:rPr>
          <w:rFonts w:ascii="Arial" w:cs="Arial" w:eastAsia="Arial" w:hAnsi="Arial"/>
          <w:sz w:val="13"/>
          <w:szCs w:val="13"/>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1"/>
        </w:trPr>
        <w:tc>
          <w:tcPr>
            <w:tcW w:w="81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(400,555)</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(10,001)</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Depreciation and amortization expense</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Amortization of notes and securities discounts and debt issuance costs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14,935</w:t>
            </w: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Stock-based compensation expense</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132,542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4,949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Paid-in-kind interest</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18,769</w:t>
            </w: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Change in fair value of warrants payable and amortization of warrants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(66,146)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31,903</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Change in derivative liabilities</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(87,475)</w:t>
            </w: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Accretion, net of amortization</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Net realized gains (losses) on available-for-sale securities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Changes in operating assets and liabilities: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Accrued retrospective premiums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(14,653)</w:t>
            </w:r>
          </w:p>
        </w:tc>
        <w:tc>
          <w:tcPr>
            <w:tcW w:w="0" w:type="dxa"/>
            <w:vAlign w:val="bottom"/>
          </w:tcPr>
          <w:p>
            <w:pPr>
              <w:spacing w:after="0"/>
              <w:rPr>
                <w:sz w:val="1"/>
                <w:szCs w:val="1"/>
                <w:color w:val="auto"/>
              </w:rPr>
            </w:pPr>
          </w:p>
        </w:tc>
      </w:tr>
      <w:tr>
        <w:trPr>
          <w:trHeight w:val="168"/>
        </w:trPr>
        <w:tc>
          <w:tcPr>
            <w:tcW w:w="8100" w:type="dxa"/>
            <w:vAlign w:val="bottom"/>
          </w:tcPr>
          <w:p>
            <w:pPr>
              <w:ind w:left="560"/>
              <w:spacing w:after="0"/>
              <w:rPr>
                <w:sz w:val="20"/>
                <w:szCs w:val="20"/>
                <w:color w:val="auto"/>
              </w:rPr>
            </w:pPr>
            <w:r>
              <w:rPr>
                <w:rFonts w:ascii="Arial" w:cs="Arial" w:eastAsia="Arial" w:hAnsi="Arial"/>
                <w:sz w:val="13"/>
                <w:szCs w:val="13"/>
                <w:color w:val="auto"/>
              </w:rPr>
              <w:t>Other receivables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(9,759)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(9,838)</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Reinsurance recoverable</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68"/>
        </w:trPr>
        <w:tc>
          <w:tcPr>
            <w:tcW w:w="8100" w:type="dxa"/>
            <w:vAlign w:val="bottom"/>
          </w:tcPr>
          <w:p>
            <w:pPr>
              <w:ind w:left="560"/>
              <w:spacing w:after="0"/>
              <w:rPr>
                <w:sz w:val="20"/>
                <w:szCs w:val="20"/>
                <w:color w:val="auto"/>
              </w:rPr>
            </w:pPr>
            <w:r>
              <w:rPr>
                <w:rFonts w:ascii="Arial" w:cs="Arial" w:eastAsia="Arial" w:hAnsi="Arial"/>
                <w:sz w:val="13"/>
                <w:szCs w:val="13"/>
                <w:color w:val="auto"/>
              </w:rPr>
              <w:t>Performance year receivable</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(220,738)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Surety bonds and deposits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560"/>
              <w:spacing w:after="0"/>
              <w:rPr>
                <w:sz w:val="20"/>
                <w:szCs w:val="20"/>
                <w:color w:val="auto"/>
              </w:rPr>
            </w:pPr>
            <w:r>
              <w:rPr>
                <w:rFonts w:ascii="Arial" w:cs="Arial" w:eastAsia="Arial" w:hAnsi="Arial"/>
                <w:sz w:val="13"/>
                <w:szCs w:val="13"/>
                <w:color w:val="auto"/>
              </w:rPr>
              <w:t>Prepaid expenses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(4,347)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(6,296)</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Other assets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68"/>
        </w:trPr>
        <w:tc>
          <w:tcPr>
            <w:tcW w:w="8100" w:type="dxa"/>
            <w:vAlign w:val="bottom"/>
          </w:tcPr>
          <w:p>
            <w:pPr>
              <w:ind w:left="560"/>
              <w:spacing w:after="0"/>
              <w:rPr>
                <w:sz w:val="20"/>
                <w:szCs w:val="20"/>
                <w:color w:val="auto"/>
              </w:rPr>
            </w:pPr>
            <w:r>
              <w:rPr>
                <w:rFonts w:ascii="Arial" w:cs="Arial" w:eastAsia="Arial" w:hAnsi="Arial"/>
                <w:sz w:val="13"/>
                <w:szCs w:val="13"/>
                <w:color w:val="auto"/>
              </w:rPr>
              <w:t>Healthcare receivables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4,089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(8,506)</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Operating lease right-of-use assets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2,437</w:t>
            </w:r>
          </w:p>
        </w:tc>
        <w:tc>
          <w:tcPr>
            <w:tcW w:w="0" w:type="dxa"/>
            <w:vAlign w:val="bottom"/>
          </w:tcPr>
          <w:p>
            <w:pPr>
              <w:spacing w:after="0"/>
              <w:rPr>
                <w:sz w:val="1"/>
                <w:szCs w:val="1"/>
                <w:color w:val="auto"/>
              </w:rPr>
            </w:pPr>
          </w:p>
        </w:tc>
      </w:tr>
      <w:tr>
        <w:trPr>
          <w:trHeight w:val="168"/>
        </w:trPr>
        <w:tc>
          <w:tcPr>
            <w:tcW w:w="8100" w:type="dxa"/>
            <w:vAlign w:val="bottom"/>
          </w:tcPr>
          <w:p>
            <w:pPr>
              <w:ind w:left="560"/>
              <w:spacing w:after="0"/>
              <w:rPr>
                <w:sz w:val="20"/>
                <w:szCs w:val="20"/>
                <w:color w:val="auto"/>
              </w:rPr>
            </w:pPr>
            <w:r>
              <w:rPr>
                <w:rFonts w:ascii="Arial" w:cs="Arial" w:eastAsia="Arial" w:hAnsi="Arial"/>
                <w:sz w:val="13"/>
                <w:szCs w:val="13"/>
                <w:color w:val="auto"/>
              </w:rPr>
              <w:t>Unpaid claims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36,234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15,729</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5,937</w:t>
            </w:r>
          </w:p>
        </w:tc>
        <w:tc>
          <w:tcPr>
            <w:tcW w:w="0" w:type="dxa"/>
            <w:vAlign w:val="bottom"/>
          </w:tcPr>
          <w:p>
            <w:pPr>
              <w:spacing w:after="0"/>
              <w:rPr>
                <w:sz w:val="1"/>
                <w:szCs w:val="1"/>
                <w:color w:val="auto"/>
              </w:rPr>
            </w:pPr>
          </w:p>
        </w:tc>
      </w:tr>
      <w:tr>
        <w:trPr>
          <w:trHeight w:val="168"/>
        </w:trPr>
        <w:tc>
          <w:tcPr>
            <w:tcW w:w="8100" w:type="dxa"/>
            <w:vAlign w:val="bottom"/>
          </w:tcPr>
          <w:p>
            <w:pPr>
              <w:ind w:left="560"/>
              <w:spacing w:after="0"/>
              <w:rPr>
                <w:sz w:val="20"/>
                <w:szCs w:val="20"/>
                <w:color w:val="auto"/>
              </w:rPr>
            </w:pPr>
            <w:r>
              <w:rPr>
                <w:rFonts w:ascii="Arial" w:cs="Arial" w:eastAsia="Arial" w:hAnsi="Arial"/>
                <w:sz w:val="13"/>
                <w:szCs w:val="13"/>
                <w:color w:val="auto"/>
              </w:rPr>
              <w:t>Accrued salaries and benefits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9,458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Premium deficiency reserve</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48,661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(16,356)</w:t>
            </w:r>
          </w:p>
        </w:tc>
        <w:tc>
          <w:tcPr>
            <w:tcW w:w="0" w:type="dxa"/>
            <w:vAlign w:val="bottom"/>
          </w:tcPr>
          <w:p>
            <w:pPr>
              <w:spacing w:after="0"/>
              <w:rPr>
                <w:sz w:val="1"/>
                <w:szCs w:val="1"/>
                <w:color w:val="auto"/>
              </w:rPr>
            </w:pPr>
          </w:p>
        </w:tc>
      </w:tr>
      <w:tr>
        <w:trPr>
          <w:trHeight w:val="168"/>
        </w:trPr>
        <w:tc>
          <w:tcPr>
            <w:tcW w:w="8100" w:type="dxa"/>
            <w:vAlign w:val="bottom"/>
          </w:tcPr>
          <w:p>
            <w:pPr>
              <w:ind w:left="560"/>
              <w:spacing w:after="0"/>
              <w:rPr>
                <w:sz w:val="20"/>
                <w:szCs w:val="20"/>
                <w:color w:val="auto"/>
              </w:rPr>
            </w:pPr>
            <w:r>
              <w:rPr>
                <w:rFonts w:ascii="Arial" w:cs="Arial" w:eastAsia="Arial" w:hAnsi="Arial"/>
                <w:sz w:val="13"/>
                <w:szCs w:val="13"/>
                <w:color w:val="auto"/>
              </w:rPr>
              <w:t>Other liabilities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27,477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1,414</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Performance year obligation</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244,599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560"/>
              <w:spacing w:after="0"/>
              <w:rPr>
                <w:sz w:val="20"/>
                <w:szCs w:val="20"/>
                <w:color w:val="auto"/>
              </w:rPr>
            </w:pPr>
            <w:r>
              <w:rPr>
                <w:rFonts w:ascii="Arial" w:cs="Arial" w:eastAsia="Arial" w:hAnsi="Arial"/>
                <w:sz w:val="13"/>
                <w:szCs w:val="13"/>
                <w:color w:val="auto"/>
              </w:rPr>
              <w:t>Operating lease liabilities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(2,761)</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Net cash used in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(202,150)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(58,594)</w:t>
            </w:r>
          </w:p>
        </w:tc>
        <w:tc>
          <w:tcPr>
            <w:tcW w:w="0" w:type="dxa"/>
            <w:vAlign w:val="bottom"/>
          </w:tcPr>
          <w:p>
            <w:pPr>
              <w:spacing w:after="0"/>
              <w:rPr>
                <w:sz w:val="1"/>
                <w:szCs w:val="1"/>
                <w:color w:val="auto"/>
              </w:rPr>
            </w:pPr>
          </w:p>
        </w:tc>
      </w:tr>
      <w:tr>
        <w:trPr>
          <w:trHeight w:val="148"/>
        </w:trPr>
        <w:tc>
          <w:tcPr>
            <w:tcW w:w="8100" w:type="dxa"/>
            <w:vAlign w:val="bottom"/>
          </w:tcPr>
          <w:p>
            <w:pPr>
              <w:ind w:left="20"/>
              <w:spacing w:after="0" w:line="141" w:lineRule="exact"/>
              <w:rPr>
                <w:sz w:val="20"/>
                <w:szCs w:val="20"/>
                <w:color w:val="auto"/>
              </w:rPr>
            </w:pPr>
            <w:r>
              <w:rPr>
                <w:rFonts w:ascii="Arial" w:cs="Arial" w:eastAsia="Arial" w:hAnsi="Arial"/>
                <w:sz w:val="13"/>
                <w:szCs w:val="13"/>
                <w:color w:val="auto"/>
              </w:rPr>
              <w:t>Cash flows from investing activities:</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Purchases of short-term investments and available-for-sale securities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(705,598)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(152,248)</w:t>
            </w: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Proceeds from sales of short-term investments and available-for-sale securities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126,862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166,024</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Proceeds from maturities of short-term investments and available-for-sale securities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250,265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56,701</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Purchases of property and equipment</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Net cash (used in) provided by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(328,956)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69,847</w:t>
            </w:r>
          </w:p>
        </w:tc>
        <w:tc>
          <w:tcPr>
            <w:tcW w:w="0" w:type="dxa"/>
            <w:vAlign w:val="bottom"/>
          </w:tcPr>
          <w:p>
            <w:pPr>
              <w:spacing w:after="0"/>
              <w:rPr>
                <w:sz w:val="1"/>
                <w:szCs w:val="1"/>
                <w:color w:val="auto"/>
              </w:rPr>
            </w:pPr>
          </w:p>
        </w:tc>
      </w:tr>
      <w:tr>
        <w:trPr>
          <w:trHeight w:val="148"/>
        </w:trPr>
        <w:tc>
          <w:tcPr>
            <w:tcW w:w="8100" w:type="dxa"/>
            <w:vAlign w:val="bottom"/>
          </w:tcPr>
          <w:p>
            <w:pPr>
              <w:ind w:left="20"/>
              <w:spacing w:after="0" w:line="141" w:lineRule="exact"/>
              <w:rPr>
                <w:sz w:val="20"/>
                <w:szCs w:val="20"/>
                <w:color w:val="auto"/>
              </w:rPr>
            </w:pPr>
            <w:r>
              <w:rPr>
                <w:rFonts w:ascii="Arial" w:cs="Arial" w:eastAsia="Arial" w:hAnsi="Arial"/>
                <w:sz w:val="13"/>
                <w:szCs w:val="13"/>
                <w:color w:val="auto"/>
              </w:rPr>
              <w:t>Cash flows from financing activities:</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Proceeds from issuance of convertible notes</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Deferred financing costs</w:t>
            </w:r>
          </w:p>
        </w:tc>
        <w:tc>
          <w:tcPr>
            <w:tcW w:w="2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Payment of notes payable principal</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(30,925)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(13,868)</w:t>
            </w: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Issuance of common stock, net of early exercise liability</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Proceeds from reverse recapitalization, net of transaction costs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666,242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Proceeds received for the exercise of Public and Private Warrants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Payment for the redemptions of Public Warrants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380"/>
              <w:spacing w:after="0"/>
              <w:rPr>
                <w:sz w:val="20"/>
                <w:szCs w:val="20"/>
                <w:color w:val="auto"/>
              </w:rPr>
            </w:pPr>
            <w:r>
              <w:rPr>
                <w:rFonts w:ascii="Arial" w:cs="Arial" w:eastAsia="Arial" w:hAnsi="Arial"/>
                <w:sz w:val="13"/>
                <w:szCs w:val="13"/>
                <w:color w:val="auto"/>
              </w:rPr>
              <w:t>Treasury stock acquired</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Acquisition of noncontrolling interest</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3,903</w:t>
            </w:r>
          </w:p>
        </w:tc>
        <w:tc>
          <w:tcPr>
            <w:tcW w:w="0" w:type="dxa"/>
            <w:vAlign w:val="bottom"/>
          </w:tcPr>
          <w:p>
            <w:pPr>
              <w:spacing w:after="0"/>
              <w:rPr>
                <w:sz w:val="1"/>
                <w:szCs w:val="1"/>
                <w:color w:val="auto"/>
              </w:rPr>
            </w:pPr>
          </w:p>
        </w:tc>
      </w:tr>
      <w:tr>
        <w:trPr>
          <w:trHeight w:val="163"/>
        </w:trPr>
        <w:tc>
          <w:tcPr>
            <w:tcW w:w="810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rPr>
              <w:t>Net cash provided by financing activities</w:t>
            </w: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641,022</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10,881</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Net increase in cash and cash equivalents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22,134</w:t>
            </w:r>
          </w:p>
        </w:tc>
        <w:tc>
          <w:tcPr>
            <w:tcW w:w="0" w:type="dxa"/>
            <w:vAlign w:val="bottom"/>
          </w:tcPr>
          <w:p>
            <w:pPr>
              <w:spacing w:after="0"/>
              <w:rPr>
                <w:sz w:val="1"/>
                <w:szCs w:val="1"/>
                <w:color w:val="auto"/>
              </w:rPr>
            </w:pPr>
          </w:p>
        </w:tc>
      </w:tr>
      <w:tr>
        <w:trPr>
          <w:trHeight w:val="16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92,348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67,598</w:t>
            </w:r>
          </w:p>
        </w:tc>
        <w:tc>
          <w:tcPr>
            <w:tcW w:w="0" w:type="dxa"/>
            <w:vAlign w:val="bottom"/>
          </w:tcPr>
          <w:p>
            <w:pPr>
              <w:spacing w:after="0"/>
              <w:rPr>
                <w:sz w:val="1"/>
                <w:szCs w:val="1"/>
                <w:color w:val="auto"/>
              </w:rPr>
            </w:pPr>
          </w:p>
        </w:tc>
      </w:tr>
      <w:tr>
        <w:trPr>
          <w:trHeight w:val="194"/>
        </w:trPr>
        <w:tc>
          <w:tcPr>
            <w:tcW w:w="810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Cash and cash equivalents, end of period</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202,264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89,732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cash flow disclosures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paid during the period for interest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3,524</w:t>
            </w:r>
          </w:p>
        </w:tc>
        <w:tc>
          <w:tcPr>
            <w:tcW w:w="0" w:type="dxa"/>
            <w:vAlign w:val="bottom"/>
          </w:tcPr>
          <w:p>
            <w:pPr>
              <w:spacing w:after="0"/>
              <w:rPr>
                <w:sz w:val="1"/>
                <w:szCs w:val="1"/>
                <w:color w:val="auto"/>
              </w:rPr>
            </w:pPr>
          </w:p>
        </w:tc>
      </w:tr>
      <w:tr>
        <w:trPr>
          <w:trHeight w:val="168"/>
        </w:trPr>
        <w:tc>
          <w:tcPr>
            <w:tcW w:w="8100" w:type="dxa"/>
            <w:vAlign w:val="bottom"/>
          </w:tcPr>
          <w:p>
            <w:pPr>
              <w:ind w:left="20"/>
              <w:spacing w:after="0"/>
              <w:rPr>
                <w:sz w:val="20"/>
                <w:szCs w:val="20"/>
                <w:color w:val="auto"/>
              </w:rPr>
            </w:pPr>
            <w:r>
              <w:rPr>
                <w:rFonts w:ascii="Arial" w:cs="Arial" w:eastAsia="Arial" w:hAnsi="Arial"/>
                <w:sz w:val="13"/>
                <w:szCs w:val="13"/>
                <w:color w:val="auto"/>
              </w:rPr>
              <w:t>Supplemental disclosure of non-cash investing and financing activities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Conversion of preferred stock to common stock</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447,747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200"/>
              <w:spacing w:after="0"/>
              <w:rPr>
                <w:sz w:val="20"/>
                <w:szCs w:val="20"/>
                <w:color w:val="auto"/>
              </w:rPr>
            </w:pPr>
            <w:r>
              <w:rPr>
                <w:rFonts w:ascii="Arial" w:cs="Arial" w:eastAsia="Arial" w:hAnsi="Arial"/>
                <w:sz w:val="13"/>
                <w:szCs w:val="13"/>
                <w:color w:val="auto"/>
              </w:rPr>
              <w:t>Issuance of common stock related to convertible debt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16,059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Capital contribution for extinguishment of debt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126,795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200"/>
              <w:spacing w:after="0"/>
              <w:rPr>
                <w:sz w:val="20"/>
                <w:szCs w:val="20"/>
                <w:color w:val="auto"/>
              </w:rPr>
            </w:pPr>
            <w:r>
              <w:rPr>
                <w:rFonts w:ascii="Arial" w:cs="Arial" w:eastAsia="Arial" w:hAnsi="Arial"/>
                <w:sz w:val="13"/>
                <w:szCs w:val="13"/>
                <w:color w:val="auto"/>
              </w:rPr>
              <w:t>Issuance of common stock related to warrants exercised</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97,782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Acquisition of Public and Private Warrants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147,582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100" w:type="dxa"/>
            <w:vAlign w:val="bottom"/>
          </w:tcPr>
          <w:p>
            <w:pPr>
              <w:ind w:left="200"/>
              <w:spacing w:after="0"/>
              <w:rPr>
                <w:sz w:val="20"/>
                <w:szCs w:val="20"/>
                <w:color w:val="auto"/>
              </w:rPr>
            </w:pPr>
            <w:r>
              <w:rPr>
                <w:rFonts w:ascii="Arial" w:cs="Arial" w:eastAsia="Arial" w:hAnsi="Arial"/>
                <w:sz w:val="13"/>
                <w:szCs w:val="13"/>
                <w:color w:val="auto"/>
              </w:rPr>
              <w:t>Issuance of common stock related to the exercise of Public and Private Warrants</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81,283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Right-of-use assets obtained in exchange for lease liabilities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80" w:top="661" w:right="6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CLOVER HEALTH INVESTMENTS,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Clover Health Investments, Corp. (collectively with its affiliates and subsidiaries, "Clover" or the "Corporation") is singularly focused on creating great, sustainable healthcare to improve every life. Clover has centered its strategy on building and deploying technology through its flagship software platform, the Clover Assistant, to help America’s seniors receive better care at lower costs.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Corporation's PPO and HMO health plans, respectively. On April 1, 2021, the Corporation's subsidiary Clover Health Partners, LLC, began participating as a Direct Contracting Entity (DCE) in the Global and Professional Direct Contracting Model (DC Model) of the Centers for Medicare and Medicaid Services (CMS), an agency of the United States Department of Health and Human Services.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Clover's approach is to combine technology, data analytics, and preventive care to lower costs and increase the quality of health and life of Medicare beneficiaries. Clover's technology platform uses machine learning-powered systems to deliver data and insights to physicians at the point of care in order to improve outcomes for beneficiaries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Clover's DCE, which assumes full risk (i.e., 100.0% shared savings and shared losses) for the total cost of care of aligned Original Medicare beneficiaries (DCE Beneficiaries), focuses on its technology platform to enhance healthcare delivery, reduce expenditures, and improve care for DCE Beneficiaries.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Clover was originally incorporated as a Cayman Islands exempted company on October 18, 2019, as a special purpose acquisition company (SPAC) under the name Social Capital Hedosophia Holdings Corp. III (SCH). On October 5, 2020, SCH entered into a Merger Agreement (the "Merger Agreement") with Clover Health Investments, Inc., a corporation originally incorporated on July 17, 2014, in the state of Delaware (Legacy Clover). Pursuant to the Merger Agreement, and a favorable vote of SCH's stockholders on January 6, 2021, Asclepius Merger Sub Inc., a Delaware corporation and a newly formed, wholly owned subsidiary of SCH (Merger Sub), was merged with and into Legacy Clover. Upon consummation of the business combination, the separate corporate existence of Merger Sub ceased, the Corporation survived and merged with and into SCH, with SCH as the surviving corporation, and SCH was redomesticated as a Delaware corporation and renamed Clover Health Investments, Corp. (the "Business Combination"). The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as the parent company of the combined business, is the successor SEC registrant, meaning that Legacy Clover's financial statements for previous periods are disclosed in periodic reports filed with the SEC. As a result of the Business Combination, there were simultaneous changes to Legacy Clover's convertible securities, warrants, and convertible preferred stock. See Note 9 (Notes and Securities Payable), Note 10 (Warrants Payable), and Note 14 (Convertible Preferred Stock) for additional information regarding these changes. See also Note 3 (Business Combination) for additional information related to the Business Combination.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Corporation's interim Condensed Consolidated Financial Statements have been prepared in conformity with GAAP and include the accounts of the Corporation and its wholly owned subsidiaries. In the opinion of management, the Corporation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These interim Condensed Consolidated Financial Statements should be read in conjunction with the audited Consolidated Financial Statements as of and for the years ended December 31, 2020 and 2019 included in Exhibit 99.5 of Amendment No. 1 to the Current Report on Form 8-K (the "Form 8-K/A") filed with the Securities and Exchange Commission (SEC) on April 1,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conform to the current period presentation, prepaid expenses, which were previously included in other assets, current, are presented as a separate line item in the prior year’s Condensed Consolidated Balance Sheet. Certain amounts in the prior year period’s Condensed Consolidated Statement of Cash Flows have been reclassified to conform to the current year period’s presentation, primarily related to the amortization of warrants, amortization of debt issuance costs, and paid-in-kind interest. These reclassifications had no effect on the previously reported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amounts reported in the Condensed Consolidated Financial Statements and accompanying notes.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If the Corporation's actual experience is different from its assumptions or estimates, the Corporation's reserves may prove inadequate. As a result, the Corporation would incur a charge to operations in the period in which it determines such a shortfall exists, which could have a material adverse effect on the Corporation's business, results of operations, and financial condition. Other areas involving significant estimates include risk adjustment provisions related to Medicare contracts and the valuation of the Corporation's investment securities, goodwill and other intangible assets, reinsurance, the premium deficiency reserve, warrants, the embedded derivative related to the convertible securities, stock-based compensation, recoveries from third parties for coordination of benefits, the Direct Contracting benchmark specifically cost trend and risk score estimates that can develop over time, and final determination of medical cost adjustment pools.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Certain of the Corporation’s arrangements with third-party providers require it to guarantee the performance of its care network to CMS. As a result of the Corporation’s participation in the DC Model, the Corporation determined that it was making a performance guarantee with respect to providers of DCE Beneficiaries that should be recognized in the financial statements. Accordingly, a liability for the performance guarantee was recorded on the Condensed Consolidated Balance Sheet. Each month, as the performance guarantee is fulfilled, the guarantee is amortized on a straight-line basis for the amount that represents the completed performance. With respect to each performance year in which the DCE is a participant, the final consideration due to the DCE by CMS (shared savings) or the consideration due to CMS by the DCE (shared loss) is reconciled in the subsequent years following the performance year. The shared savings or loss is measured periodically and will be applied to the Direct Contracting performance obligation if the Corporation is in a probable loss position. Direct Contracting revenue is also known in the DC Model as CMS’s performance year expenditures and is the primary component used to calculate shared savings or shared loss versus the performance year benchmark. Direct Contracting revenue is representative of CMS’s total expenditures incurred for medical services provided on behalf of DCE Beneficiaries during months in which those beneficiaries were alignment-eligible and aligned to the DCE. Direct Contracting revenue is calculated by taking the sum of the capitation payments made to the Corporation for services within the scope of the Corporation’s capitation arrangement and fee-for-service (FFS) payments made to providers directly from CMS.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 - cloud computing arrangements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Corporation's cloud computing arrangements mostly comprise hosting arrangements which are service contracts, whereby the Corporation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in other assets, and are generally amortized over the fixed, non-cancelable term of the associated hosting arrangement on a straight-line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 costs directly related to the successful acquisition of new business, which is primarily made up of commissions costs, are deferred and subsequently amortized. Deferred acquisition costs are recorded as other assets on the Condensed Consolidated Balance Sheet and are amortized over the estimated life of the related contracts. The amortization of deferred acquisition costs is recorded in general and administrative expenses in the Condensed Consolidated Statement of Operations and Comprehensive Loss. As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7"/>
          <w:szCs w:val="17"/>
          <w:color w:val="auto"/>
        </w:rPr>
        <w:t>September 30, 2021, there were no deferred acquisition costs as a result of the acceleration of amortization for deferred acquisition costs due to the recognition of a premium deficiency reserve during the three and nine months ended September 30, 2021. For the three and nine months ended September 30, 2021, amortization expense of deferred acquisition costs of $1.1 million and $9.6 million, respectively, were recognized in general and administrative expenses. There was no amortization expense of deferred acquisition costs for the three and nine months ended September 30,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societal and economic impact of the novel coronavirus (COVID-19) pandemic is continuing to evolve, and the ultimate impact on the Corporation’s business, results of operations, financial condition, and cash flows is uncertain and difficult to predict. The global pandemic has severely impacted businesses worldwide, including many in the health insurance sector. In response to the pandemic, the Corporation has implemented additional steps related to its care delivery, member support, and internal policies and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currently qualifies as an "emerging growth company" under the Jumpstart Our Business Startups Act of 2012 (the "JOBS Act"). Accordingly, the Corporation has the option to adopt new or revised accounting guidance either (i) within the same periods as those otherwise applicable to non-emerging growth companies or (ii) within the same time periods applicable to private companies. 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(the "FASB") issued Accounting Standard Update (ASU) 2018-13, </w:t>
      </w:r>
      <w:r>
        <w:rPr>
          <w:rFonts w:ascii="Arial" w:cs="Arial" w:eastAsia="Arial" w:hAnsi="Arial"/>
          <w:sz w:val="18"/>
          <w:szCs w:val="18"/>
          <w:i w:val="1"/>
          <w:iCs w:val="1"/>
          <w:color w:val="auto"/>
        </w:rPr>
        <w:t>Changes to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Measurements</w:t>
      </w:r>
      <w:r>
        <w:rPr>
          <w:rFonts w:ascii="Arial" w:cs="Arial" w:eastAsia="Arial" w:hAnsi="Arial"/>
          <w:sz w:val="18"/>
          <w:szCs w:val="18"/>
          <w:color w:val="auto"/>
        </w:rPr>
        <w:t>, the purpose of which is to improve the effectiveness of disclosure requirements for recurring and nonrecurring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The standard removes, modifies, and adds certain disclosure requirements and is in effect for all entities in fiscal years beginning after December 15, 2019. This standard became effective for the Corporation on January 1, 2020, and did not have a material impact on the Corporation's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(Topic 350) – Internal Use Software: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update changes the accounting guidance for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arrangements. If a cloud computing arrangement includes a license to internal-use software, the software license is accounted for by the customer by recognizing an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adopted ASU 2018-15 on January 1, 2021, on a prospective basis. The Corporation's cloud computing arrangements relate to the set-up of various platforms, including but not limited to clinical data repositories and other system integrations. The capitalized implementation costs are presented in the Condensed Consolidated Balance Sheet in other assets, current and are amortized on a straight-line basis over the term of the underlying cloud computing hosting contract, which is the noncancelable term of the arrangement plus any reasonably certain renewal periods. As of September 30, 2021, $5.0 million was recorded in other assets, current, as deferred implementation costs. For both the three and nine months ended September 30, 2021, amortization expense associated with the Corporation’s cloud computing arrangements was $0.2 million. No impairment was recognized during the three and nine months ended September 30, 2021, as there were no events or changes in circumstances to indicate that the carrying amount of the Corporation's cloud computing arrangements may not be recoverable.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which was subsequently modified by several ASUs issued in 2018 and 2019. This standard introduces a new current expected credit loss (CECL)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and public entities beginning after December 15, 2019. Early adoption is permitted. The Corporation has evaluated the impact of ASU 2016-13 on the Consolidated Financial Statements and expects the impact to be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and public entities beginning after December 15, 2019. Early adoption is permitted for interim or annual goodwill impairment tests performed on testing dates after January 1, 2017. The Corporation is currently evaluating the impact of the adoption of ASU 2017-04 on the Consolidated Financial Statements, but does not expect for this to have a material impact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and public entities beginning after December 15, 2020. Early adoption is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ASU 2019-12 on the Consolidated Financial Statements, but does not expect for this to have a material impact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amendments in ASU 2020-06 simplify the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and public entities beginning after December 15,</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2021. The Corporation is currently evaluating the impact of the adoption of ASU 2020-06 on the Consolidated Financial Statements, but does not expect for this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5, 2020, Legacy Clover entered into a Merger Agreement with SCH, a SPAC, and Merger Sub. On January 7, 2021, as contemplated by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Merger Agreement and following approval by SCH's shareholders at an extraordinary general meeting held January 6, 2021 (the "Special Meeting"):</w:t>
      </w:r>
    </w:p>
    <w:p>
      <w:pPr>
        <w:spacing w:after="0" w:line="222"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continued as a Delaware corporation (the "Domestication"); and</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Merger Sub merged with and into Legacy Clover, the separate corporate existence of Merger Sub ceased and Legacy Clover became the surviving corporation and a wholly owned subsidiary of SCH (the "First Merger") and Legacy Clover merged with and into SCH, the separate corporate existence of Legacy Clover ceased and SCH became the surviving corporation, changing its name to "Clover Health Investments, Corp." (together with the First Merger, the "Mergers," and collectively with the Domestication, the “Business Combination”).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the Mergers, among other things, (i) all outstanding shares of common stock of Legacy Clover immediately prior to the effective time of the First Merger were canceled in exchange for the right to receive, at the election of the holders thereof (except with respect to the shares held by entities controlled by Vivek Garipalli and the holders of convertible securities previously issued by Legacy Clover to certain holders who received only shares of Class B Common Stock, par value $0.0001 per share, of Clover (Class B Common Stock), which are entitled to 10 votes per share, an amount in cash, shares of Class B Common Stock, or a combination thereof, as adjusted in accordance with the Merger Agreement, which equaled in the aggregate $499.8 million in cash and 260,965,701 shares of Class B Common Stock (at a deemed value of $10.00 per share); (ii) shares of Legacy Clover held by entities controlled by Vivek Garipalli and the holders of the convertible securities immediately prior to the effective time of the First Merger were canceled in exchange for the right to receive shares of Class B Common Stock based on an Exchange Ratio (as defined in the Merger Agreement) of approximately 2.0681; and (iii) all shares of common stock of Legacy Clover reserved in respect of Legacy Clover stock options and restricted stock units outstanding as of immediately prior to the effective time of the First Merger, were converted, based on the Exchange Ratio, into awards based on shares of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consummation of the Business Combination (the "Closing"), (i) each issued and outstanding Class A ordinary share, par value $0.0001 per share, of SCH (SCH Class A ordinary shares) converted automatically, on a one-for-one basis, into a share of Class A Common Stock, par value $0.0001 per share, of Clover (the "Class A Common Stock," and together with the Class B Common Stock, the "Common Stock"), which will be entitled to one vote per share, (ii) each of the issued and outstanding Class B ordinary shares, par value $0.0001 per share, of SCH, converted automatically, on a one-for-one basis, into a share of Class A Common Stock, (iii) each issued and outstanding warrant of SCH converted automatically into a warrant to acquire one share of Class A Common Stock (Warrant), pursuant to the Warrant Agreement, dated April 21, 2020, between SCH and Continental Stock Transfer &amp; Trust Company, as warrant agent, and (iv) each issued and outstanding unit of SCH (SCH unit) that had not been previously separated into the underlying Class A ordinary share and underlying warrant of SCH upon the request of the holder thereof, was canceled and the holder thereof is entitled to one share of Class A Common Stock and one-third of one Warrant. As of January 7, 2021, there were public warrants outstanding to purchase an aggregate of 27,599,938 shares of Class A Common Stock (the "Public Warrants") and private placement warrants outstanding to purchase an aggregate of 10,933,333 shares of Class A Common Stock (the "Private Placement Warrants" and, together with the Public Warrants, the “Warrants”). Each whole Warrant entitled the registered holder to purchase one whole share of Class A Common Stock at a price of $11.50 per share, subject to adjustment at any time commencing on April 24, 2021, which is 12 months from the closing of SCH's initial public offering.</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subscription agreements (the "Subscription Agreements") entered into on October 5, 2020, by and among SCH and certain investors (collectively, the "PIPE Investors"), Clover issued and sold to the PIPE Investors (substantially concurrently with the consummation of the Mergers) an aggregate of 40,000,000 shares of Class A Common Stock for an aggregate purchase price equal to $400.0 million (the "PIPE Investment"), of which 15,200,000 shares were purchased by affiliates of SCH Sponsor III LLC (the "Sponsor," and collectively, the "Sponsor Related PIPE Investors").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Combination and PIPE Investment were approved by the SCH shareholders at the Special Meeting. Prior to and in connection with the Special Meeting, holders of 24,892 shares of SCH Class A ordinary shares (including those that underlie the SCH units) that were registered pursuant to the Registration Statements on Form S-1 (333-236776 and 333-237777) and the shares of Class A Common Stock issued as a matter of law upon the conversion thereof on the effective date of the Domestication (the "Public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Shares") exercised their right to redeem those shares for cash at a price of $10.00 per share, for an aggregate of $0.2 million. The per share redemption price of $10.00 for public shareholders electing redemption was paid out of the SCH Trust Account, which after taking into account the redemptions, had a balance immediately prior to the Closing of $827.9 million, which cash balance was used to pay the $499.8 million cash component of the merger consideration.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after giving effect to the Business Combination and the PIPE Investment, there were 143,475,108 shares of Class A Common Stock, 260,965,701 shares of Class B Common Stock and 38,533,271 Warrants outstanding, equaling 404,440,809 total shares of common stock outstanding and 38,533,271 Warrants outstanding.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is authorized to issue 25,000,000 shares of preferred stock having a par value of $0.0001 per share, and the Corporation's board of directors has the authority to determine the rights, preferences, privileges, and restrictions, including voting rights, of those shares. As of September 30, 2021, there were no shares of preferred stock issued and outstanding.</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Business Combination was accounted for as a reverse recapitalization in accordance with GAAP. Under the guidance in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are disclosed in the Corporation’s periodic reports filed with the SEC. The Business Combination will have a significant impact on the Corporation's future reported financial position and results as a consequence of the reverse recapitalization. The most significant change in Clover's future reported financial position and results is an estimated net increase in cash (as compared to the Corporation's consolidated balance sheet at December 31, 2020) of approximately $670.0 million. The redemption included approximately $400.0 million in proceeds from the PIPE Investment that was consummated substantially simultaneously with the Business Combination, offset by additional transaction costs incurred in connection with the Business Combination. The estimated transaction costs for the Business Combination were approximately $61.0 million, of which $29.0 million represents deferred underwriter fees related to SCH's initial public offering.</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closed on January 7, 2021, and on the following day the Corporation's Class A Common Stock and Public Warrants were listed on the Nasdaq Global Select Market (Nasdaq) under the symbols "CLOV" and "CLOVW," respectively, for trading in the public market.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also Note 9 (Notes and Securities Payable), Note 10 (Warrants Payable), and Note 14 (Convertible Preferred Stock) for additional information regarding changes to the instruments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amortized cost and fair values of investments as of September 30, 2021, and December 31, 2020,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0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unrealized gains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unrealized losses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167,935</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167,325</w:t>
            </w:r>
          </w:p>
        </w:tc>
        <w:tc>
          <w:tcPr>
            <w:tcW w:w="0" w:type="dxa"/>
            <w:vAlign w:val="bottom"/>
          </w:tcPr>
          <w:p>
            <w:pPr>
              <w:spacing w:after="0"/>
              <w:rPr>
                <w:sz w:val="1"/>
                <w:szCs w:val="1"/>
                <w:color w:val="auto"/>
              </w:rPr>
            </w:pPr>
          </w:p>
        </w:tc>
      </w:tr>
      <w:tr>
        <w:trPr>
          <w:trHeight w:val="268"/>
        </w:trPr>
        <w:tc>
          <w:tcPr>
            <w:tcW w:w="598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Total investment securities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168,630</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168,052</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0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unrealized gains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unrealized losses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left="677"/>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9"/>
        </w:trPr>
        <w:tc>
          <w:tcPr>
            <w:tcW w:w="5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53,953</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717"/>
              <w:spacing w:after="0"/>
              <w:rPr>
                <w:sz w:val="20"/>
                <w:szCs w:val="20"/>
                <w:color w:val="auto"/>
              </w:rPr>
            </w:pPr>
            <w:r>
              <w:rPr>
                <w:rFonts w:ascii="Arial" w:cs="Arial" w:eastAsia="Arial" w:hAnsi="Arial"/>
                <w:sz w:val="18"/>
                <w:szCs w:val="18"/>
                <w:color w:val="auto"/>
                <w:w w:val="93"/>
              </w:rPr>
              <w:t>(41)</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0" w:type="dxa"/>
            <w:vAlign w:val="bottom"/>
          </w:tcPr>
          <w:p>
            <w:pPr>
              <w:spacing w:after="0"/>
              <w:rPr>
                <w:sz w:val="1"/>
                <w:szCs w:val="1"/>
                <w:color w:val="auto"/>
              </w:rPr>
            </w:pPr>
          </w:p>
        </w:tc>
      </w:tr>
      <w:tr>
        <w:trPr>
          <w:trHeight w:val="268"/>
        </w:trPr>
        <w:tc>
          <w:tcPr>
            <w:tcW w:w="598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Total investment securities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54,647</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center"/>
              <w:ind w:left="717"/>
              <w:spacing w:after="0"/>
              <w:rPr>
                <w:sz w:val="20"/>
                <w:szCs w:val="20"/>
                <w:color w:val="auto"/>
              </w:rPr>
            </w:pPr>
            <w:r>
              <w:rPr>
                <w:rFonts w:ascii="Arial" w:cs="Arial" w:eastAsia="Arial" w:hAnsi="Arial"/>
                <w:sz w:val="18"/>
                <w:szCs w:val="18"/>
                <w:color w:val="auto"/>
                <w:w w:val="93"/>
              </w:rPr>
              <w:t>(41)</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54,700</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amortized cost and fair value of debt securities as of September 30, 2021, by contractual maturity: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Held-to-maturity</w:t>
            </w: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Available-for-sale</w:t>
            </w:r>
          </w:p>
        </w:tc>
      </w:tr>
      <w:tr>
        <w:trPr>
          <w:trHeight w:val="196"/>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21,142</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141,835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141,352</w:t>
            </w:r>
          </w:p>
        </w:tc>
      </w:tr>
      <w:tr>
        <w:trPr>
          <w:trHeight w:val="24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4,831</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59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167,935</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167,325</w:t>
            </w: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2021 and 2020, respectively, net investment income, which is included within other income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and Comprehensive Loss, was derived from the following 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5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Nine Months Ended</w:t>
            </w:r>
          </w:p>
        </w:tc>
        <w:tc>
          <w:tcPr>
            <w:tcW w:w="520" w:type="dxa"/>
            <w:vAlign w:val="bottom"/>
          </w:tcPr>
          <w:p>
            <w:pPr>
              <w:spacing w:after="0"/>
              <w:rPr>
                <w:sz w:val="17"/>
                <w:szCs w:val="17"/>
                <w:color w:val="auto"/>
              </w:rPr>
            </w:pPr>
          </w:p>
        </w:tc>
      </w:tr>
      <w:tr>
        <w:trPr>
          <w:trHeight w:val="230"/>
        </w:trPr>
        <w:tc>
          <w:tcPr>
            <w:tcW w:w="5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19"/>
                <w:szCs w:val="19"/>
                <w:color w:val="auto"/>
              </w:rPr>
            </w:pPr>
          </w:p>
        </w:tc>
      </w:tr>
      <w:tr>
        <w:trPr>
          <w:trHeight w:val="232"/>
        </w:trPr>
        <w:tc>
          <w:tcPr>
            <w:tcW w:w="5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r>
      <w:tr>
        <w:trPr>
          <w:trHeight w:val="194"/>
        </w:trPr>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w w:val="97"/>
              </w:rPr>
              <w:t>(in thousands)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1,141</w:t>
            </w: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securities</w:t>
            </w:r>
          </w:p>
        </w:tc>
        <w:tc>
          <w:tcPr>
            <w:tcW w:w="9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43"/>
        </w:trPr>
        <w:tc>
          <w:tcPr>
            <w:tcW w:w="5200" w:type="dxa"/>
            <w:vAlign w:val="bottom"/>
          </w:tcPr>
          <w:p>
            <w:pPr>
              <w:ind w:left="260"/>
              <w:spacing w:after="0"/>
              <w:rPr>
                <w:sz w:val="20"/>
                <w:szCs w:val="20"/>
                <w:color w:val="auto"/>
              </w:rPr>
            </w:pPr>
            <w:r>
              <w:rPr>
                <w:rFonts w:ascii="Arial" w:cs="Arial" w:eastAsia="Arial" w:hAnsi="Arial"/>
                <w:sz w:val="18"/>
                <w:szCs w:val="18"/>
                <w:color w:val="auto"/>
              </w:rPr>
              <w:t>Investment income, net</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1"/>
                <w:szCs w:val="21"/>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2,226</w:t>
            </w:r>
          </w:p>
        </w:tc>
      </w:tr>
      <w:tr>
        <w:trPr>
          <w:trHeight w:val="20"/>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September 30,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Greater than 12 months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3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Unrealized loss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Unrealized loss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Unrealized loss</w:t>
            </w:r>
          </w:p>
        </w:tc>
      </w:tr>
      <w:tr>
        <w:trPr>
          <w:trHeight w:val="196"/>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Arial" w:cs="Arial" w:eastAsia="Arial" w:hAnsi="Arial"/>
                <w:sz w:val="14"/>
                <w:szCs w:val="14"/>
                <w:b w:val="1"/>
                <w:bCs w:val="1"/>
                <w:color w:val="auto"/>
                <w:w w:val="90"/>
              </w:rPr>
              <w:t>(in thousands, except number of positions)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9"/>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U.S. government and government agencies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71,620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71,620</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r>
      <w:tr>
        <w:trPr>
          <w:trHeight w:val="223"/>
        </w:trPr>
        <w:tc>
          <w:tcPr>
            <w:tcW w:w="332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71,620</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71,620</w:t>
            </w:r>
          </w:p>
        </w:tc>
        <w:tc>
          <w:tcPr>
            <w:tcW w:w="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r>
      <w:tr>
        <w:trPr>
          <w:trHeight w:val="20"/>
        </w:trPr>
        <w:tc>
          <w:tcPr>
            <w:tcW w:w="33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positions</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all securities were investment grade, with credit ratings of AA+ or higher by S&amp;P. Unrealized losses on investment grade securities are principally related to changes in interest rates or changes in issuer or sector related credit spreads since the securities were acquired. The gross unrealized investment losses as of September 30, 2021, were deemed to be temporary, based on, among other things:</w:t>
      </w:r>
    </w:p>
    <w:p>
      <w:pPr>
        <w:spacing w:after="0" w:line="206" w:lineRule="exact"/>
        <w:rPr>
          <w:sz w:val="20"/>
          <w:szCs w:val="20"/>
          <w:color w:val="auto"/>
        </w:rPr>
      </w:pPr>
    </w:p>
    <w:p>
      <w:pPr>
        <w:ind w:left="660" w:right="2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duration of time and the relative magnitude to which fair values of these securities have been below their amortized cost was not indicative of an other-than-temporary impairment loss;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8" w:name="page19"/>
    <w:bookmarkEnd w:id="18"/>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absence of compelling evidence that would cause the Corporation to call into question the financial condition or near-term prospects of the issuer of the applicable security; and</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Corporation's ability and intent to hold the applicable security for a period of time sufficient to allow for any anticipated recovery.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may ultimately record a realized loss after having originally concluded that the decline in value was temporary. Risks and uncertainties are inherent in the methodology the Corporation uses to assess other-than-temporary declines in value. Risks and uncertainties could include, but are not limited to, incorrect assumptions about financial condition, liquidity or future prospects, inadequacy of any underlying collateral, and unfavorable changes in economic conditions or social trends, interest rates or credit ratings.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from sales and maturities of investment securities, inclusive of short-term investments, and related gross realized gains (losses) which are included within other income in the Condensed Consolidated Statements of Operations and Comprehensive Loss, were as follows for the three and nine months ended September 30, 2021 and 2020,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25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39"/>
        </w:trPr>
        <w:tc>
          <w:tcPr>
            <w:tcW w:w="5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19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investment securities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166,024</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maturities of investment securities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250,265</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56,701</w:t>
            </w: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gains (losses)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the Corporation had $11.2 million and $7.5 million, respectively, in deposits with various states and regulatory bodies that are included as part of the Corporation's investment balances.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a summary of fair value measurements for financial instruments as of September 30, 2021, and December 31, 2020,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4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197"/>
        </w:trPr>
        <w:tc>
          <w:tcPr>
            <w:tcW w:w="5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167,325</w:t>
            </w:r>
          </w:p>
        </w:tc>
        <w:tc>
          <w:tcPr>
            <w:tcW w:w="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167,325</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Total assets at fair value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167,325</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167,325</w:t>
            </w:r>
          </w:p>
        </w:tc>
      </w:tr>
      <w:tr>
        <w:trPr>
          <w:trHeight w:val="20"/>
        </w:trPr>
        <w:tc>
          <w:tcPr>
            <w:tcW w:w="5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4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53,963</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53,963</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Total assets at fair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53,963</w:t>
            </w:r>
          </w:p>
        </w:tc>
      </w:tr>
      <w:tr>
        <w:trPr>
          <w:trHeight w:val="20"/>
        </w:trPr>
        <w:tc>
          <w:tcPr>
            <w:tcW w:w="59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liabilities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44,810</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Warrants payable</w:t>
            </w:r>
          </w:p>
        </w:tc>
        <w:tc>
          <w:tcPr>
            <w:tcW w:w="24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97,782</w:t>
            </w:r>
          </w:p>
        </w:tc>
      </w:tr>
      <w:tr>
        <w:trPr>
          <w:trHeight w:val="268"/>
        </w:trPr>
        <w:tc>
          <w:tcPr>
            <w:tcW w:w="598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liabilities at fair value</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142,592</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142,592</w:t>
            </w: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See Note 9 (Notes and Securities Payable), Note 10 (Warrants Payable), and Note 11 (Derivative Liabilities) for additional information regarding liabilities.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The fair value of the convertible securities was based on Level 3 inputs, which were unobservable and reflect management’s best estimate of what market participants would use when pricing the asset or liability, including assumptions about risk. There was no fair value associated with convertible securities at September 30, 2021, due to the conversion of the securities to shares of the Corporation’s common stock due to the completion of the Business Combination, and the estimated fair value of convertible securities was $949.6 million at December 31, 2020. The estimated fair value of the convertible securities and derivative liabilities at December 31, 2020, was calculated as the product of (i) the number of conversion shares at the valuation date and (ii) the marketable value per common share at the valuation date.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warrants payable that are categorized within Level 3 of the fair value hierarchy, as of the year ended December 31, 2020,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4620" w:type="dxa"/>
            <w:vAlign w:val="bottom"/>
          </w:tcPr>
          <w:p>
            <w:pPr>
              <w:ind w:left="3060"/>
              <w:spacing w:after="0"/>
              <w:rPr>
                <w:sz w:val="20"/>
                <w:szCs w:val="20"/>
                <w:color w:val="auto"/>
              </w:rPr>
            </w:pPr>
            <w:r>
              <w:rPr>
                <w:rFonts w:ascii="Arial" w:cs="Arial" w:eastAsia="Arial" w:hAnsi="Arial"/>
                <w:sz w:val="18"/>
                <w:szCs w:val="18"/>
                <w:b w:val="1"/>
                <w:bCs w:val="1"/>
                <w:color w:val="auto"/>
              </w:rPr>
              <w:t>Preferred stock</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Common stock purchase</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vMerge w:val="continue"/>
          </w:tcPr>
          <w:p>
            <w:pPr>
              <w:spacing w:after="0"/>
              <w:rPr>
                <w:sz w:val="19"/>
                <w:szCs w:val="19"/>
                <w:color w:val="auto"/>
              </w:rPr>
            </w:pPr>
          </w:p>
        </w:tc>
        <w:tc>
          <w:tcPr>
            <w:tcW w:w="4620" w:type="dxa"/>
            <w:vAlign w:val="bottom"/>
            <w:tcBorders>
              <w:bottom w:val="single" w:sz="8" w:color="auto"/>
            </w:tcBorders>
          </w:tcPr>
          <w:p>
            <w:pPr>
              <w:ind w:left="2940"/>
              <w:spacing w:after="0"/>
              <w:rPr>
                <w:sz w:val="20"/>
                <w:szCs w:val="20"/>
                <w:color w:val="auto"/>
              </w:rPr>
            </w:pPr>
            <w:r>
              <w:rPr>
                <w:rFonts w:ascii="Arial" w:cs="Arial" w:eastAsia="Arial" w:hAnsi="Arial"/>
                <w:sz w:val="18"/>
                <w:szCs w:val="18"/>
                <w:b w:val="1"/>
                <w:bCs w:val="1"/>
                <w:color w:val="auto"/>
              </w:rPr>
              <w:t>purchase warrants</w:t>
            </w:r>
          </w:p>
        </w:tc>
        <w:tc>
          <w:tcPr>
            <w:tcW w:w="4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warrants</w:t>
            </w: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stock price</w:t>
            </w:r>
          </w:p>
        </w:tc>
        <w:tc>
          <w:tcPr>
            <w:tcW w:w="4620" w:type="dxa"/>
            <w:vAlign w:val="bottom"/>
            <w:shd w:val="clear" w:color="auto" w:fill="CFF0FC"/>
          </w:tcPr>
          <w:p>
            <w:pPr>
              <w:ind w:left="426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4620" w:type="dxa"/>
            <w:vAlign w:val="bottom"/>
          </w:tcPr>
          <w:p>
            <w:pPr>
              <w:ind w:left="426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4620" w:type="dxa"/>
            <w:vAlign w:val="bottom"/>
            <w:shd w:val="clear" w:color="auto" w:fill="CFF0FC"/>
          </w:tcPr>
          <w:p>
            <w:pPr>
              <w:ind w:left="426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56.0 %</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4620" w:type="dxa"/>
            <w:vAlign w:val="bottom"/>
          </w:tcPr>
          <w:p>
            <w:pPr>
              <w:ind w:left="426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0.02 years</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4620" w:type="dxa"/>
            <w:vAlign w:val="bottom"/>
            <w:shd w:val="clear" w:color="auto" w:fill="CFF0FC"/>
          </w:tcPr>
          <w:p>
            <w:pPr>
              <w:ind w:left="426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Discount factor</w:t>
            </w:r>
          </w:p>
        </w:tc>
        <w:tc>
          <w:tcPr>
            <w:tcW w:w="4620" w:type="dxa"/>
            <w:vAlign w:val="bottom"/>
          </w:tcPr>
          <w:p>
            <w:pPr>
              <w:ind w:left="426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20"/>
                <w:szCs w:val="20"/>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balances of Level 3 financial liabilities during the three months ended September 30, 2021. The changes in balances of Level 3 financial liabilities during the three months ended September 30, 2020, and the nine months ended September 30, 2021 and 2020, respectively,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Convertible</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1"/>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payable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285,166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433,757</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Transfers in</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realized losses (gains)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95,477</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47,374</w:t>
            </w:r>
          </w:p>
        </w:tc>
      </w:tr>
      <w:tr>
        <w:trPr>
          <w:trHeight w:val="261"/>
        </w:trPr>
        <w:tc>
          <w:tcPr>
            <w:tcW w:w="5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380,643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481,131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Convertible</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3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payable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7"/>
        </w:trPr>
        <w:tc>
          <w:tcPr>
            <w:tcW w:w="3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78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1,092,145</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(1,092,145)</w:t>
            </w: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Transfers in</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w:t>
            </w:r>
          </w:p>
        </w:tc>
        <w:tc>
          <w:tcPr>
            <w:tcW w:w="1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Total realized losses (gains)</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39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September 30, 2021</w:t>
            </w: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723"/>
        </w:trPr>
        <w:tc>
          <w:tcPr>
            <w:tcW w:w="3960" w:type="dxa"/>
            <w:vAlign w:val="bottom"/>
          </w:tcPr>
          <w:p>
            <w:pPr>
              <w:spacing w:after="0"/>
              <w:rPr>
                <w:sz w:val="24"/>
                <w:szCs w:val="24"/>
                <w:color w:val="auto"/>
              </w:rPr>
            </w:pPr>
          </w:p>
        </w:tc>
        <w:tc>
          <w:tcPr>
            <w:tcW w:w="1780" w:type="dxa"/>
            <w:vAlign w:val="bottom"/>
            <w:gridSpan w:val="2"/>
          </w:tcPr>
          <w:p>
            <w:pPr>
              <w:jc w:val="center"/>
              <w:ind w:left="1470"/>
              <w:spacing w:after="0"/>
              <w:rPr>
                <w:sz w:val="20"/>
                <w:szCs w:val="20"/>
                <w:color w:val="auto"/>
              </w:rPr>
            </w:pPr>
            <w:r>
              <w:rPr>
                <w:rFonts w:ascii="Arial" w:cs="Arial" w:eastAsia="Arial" w:hAnsi="Arial"/>
                <w:sz w:val="18"/>
                <w:szCs w:val="18"/>
                <w:color w:val="auto"/>
                <w:w w:val="89"/>
              </w:rPr>
              <w:t>15</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Convertible</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1"/>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payable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408,118</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Transfers in</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realized losses (gains)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128,758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(87,475)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73,013</w:t>
            </w:r>
          </w:p>
        </w:tc>
      </w:tr>
      <w:tr>
        <w:trPr>
          <w:trHeight w:val="261"/>
        </w:trPr>
        <w:tc>
          <w:tcPr>
            <w:tcW w:w="5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380,643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481,131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Level 3 financial liabilities in the table above, on September 25, 2020, Seek Insurance Services, Inc. (Seek), a field marketing organization and an indirect wholly-owned subsidiary of the Corporation, entered into a note purchase agreement with a third-party investor and issued a note (the “Seek Convertible Note”) in the principal amount of $20.0 million. For additional information, see Note 9 (Notes and Securities Payable). As of September 30, 2021, and December 31, 2020, both the carrying values, which includes accrued interest, and the fair values of the 2020 Convertible Note were $21.6 million and $20.4 million, respectively, and these were considered Level 3 financial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financial assets or liabilities for the three and nine months ended September 30, 2021 or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warrants payable on the Consolidated Balance Sheet. The warrant liabilities were measured at fair value at inception and measured on a recurring basis, with changes in fair value presented within change in fair value of warrants payable in the Consolidated Statement of Operations and Comprehensive Loss. On July 22, 2021, the Company issued a press release stating that it would redeem all of its Warrants. The end of the redemption period was September 9, 2021, at which time the Corporation redeemed all unexercised Warrants at a price of $0.10 per warrant. As of September 30, 2021, no Warrants were outstanding. For additional information, please see Note 10 (Warrants Payable).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Measurement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Warrants were measured at fair value on a recurring basis. The Corporation classified the Warrants as a liability due to certain settlement terms and provisions related to certain tender offers and indexation characteristics following the Business Combination and accounted for them as liability instruments in accordance with ASC 815, adjusting the fair value at the end of each reporting period. Additionally, the Corporation determined that the Public Warrants were classified within Level 1 of the fair value hierarchy as the fair value was equal to the publicly traded price of the Public Warrants, and the Private Placement Warrants were classified within Level 2 of the fair value hierarchy as the fair value was estimated using the price of the Public Warrants. In connection with the redemption, effective August 24, 2021, the Public Warrants were delisted and classified within Level 2 of the fair value hierarchy as the fair value of the Public Warrants was based on proportional changes in the price of the Corporation’s common stock. There were no Private Warrants outstanding at August 24, 2021. See Note 10 (Warrants Payable) for additional information on the exercises and redemption of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warrants payable: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September 30, 2021</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Public and Private</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vMerge w:val="continue"/>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1"/>
              </w:rPr>
              <w:t>Placement Warrants</w:t>
            </w: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measurement, January 7, 2021</w:t>
            </w:r>
          </w:p>
        </w:tc>
        <w:tc>
          <w:tcPr>
            <w:tcW w:w="4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147,582</w:t>
            </w:r>
          </w:p>
        </w:tc>
        <w:tc>
          <w:tcPr>
            <w:tcW w:w="0" w:type="dxa"/>
            <w:vAlign w:val="bottom"/>
          </w:tcPr>
          <w:p>
            <w:pPr>
              <w:spacing w:after="0"/>
              <w:rPr>
                <w:sz w:val="1"/>
                <w:szCs w:val="1"/>
                <w:color w:val="auto"/>
              </w:rPr>
            </w:pPr>
          </w:p>
        </w:tc>
      </w:tr>
      <w:tr>
        <w:trPr>
          <w:trHeight w:val="230"/>
        </w:trPr>
        <w:tc>
          <w:tcPr>
            <w:tcW w:w="4460" w:type="dxa"/>
            <w:vAlign w:val="bottom"/>
          </w:tcPr>
          <w:p>
            <w:pPr>
              <w:ind w:left="160"/>
              <w:spacing w:after="0"/>
              <w:rPr>
                <w:sz w:val="20"/>
                <w:szCs w:val="20"/>
                <w:color w:val="auto"/>
              </w:rPr>
            </w:pPr>
            <w:r>
              <w:rPr>
                <w:rFonts w:ascii="Arial" w:cs="Arial" w:eastAsia="Arial" w:hAnsi="Arial"/>
                <w:sz w:val="18"/>
                <w:szCs w:val="18"/>
                <w:color w:val="auto"/>
              </w:rPr>
              <w:t>Mark-to-market adjustment</w:t>
            </w:r>
          </w:p>
        </w:tc>
        <w:tc>
          <w:tcPr>
            <w:tcW w:w="4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(66,214)</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 exercised</w:t>
            </w:r>
          </w:p>
        </w:tc>
        <w:tc>
          <w:tcPr>
            <w:tcW w:w="4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(81,283)</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Warrants redeemed</w:t>
            </w:r>
          </w:p>
        </w:tc>
        <w:tc>
          <w:tcPr>
            <w:tcW w:w="4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 payable balance, September 30, 2021</w:t>
            </w:r>
          </w:p>
        </w:tc>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46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Healthcare Receivables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September 30, 2021, and December 31, 2020, the Corporation recognized rebate receivables of approximately $30.2 million and $26.6 million, respectively. In addition to pharmaceutical rebates, Medicare Part D settlement receivables, member premium receivables and other CMS receivables included in healthcare receivables totaled $4.5 million and $12.1 million at September 30, 2021, and December 31, 2020, respectively.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Corporation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$1.7 million and $1.9 million for the three months ended September 30, 2021 and 2020, respectively, and $9.2 million and $5.3 million for the nine months ended September 30, 2021 and 2020, respectively.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has contracted with Rogue Trading, LLC (Rogue), a marketing services provider. The Corporation’s President and Chief Technology Officer, Andrew Toy, is related to the Chief Executive Officer of Rogue. Expenses and fees related to these contracts were immaterial and $0.3 million for the three and nine months ended September 30, 2021, respectively. Expenses and fees related to these contracts were $0.1 million for the three and nine months ended September 30,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has a contract with Medical Records Exchange, LLC (d/b/a ChartFast) pursuant to which we receive administrative services related to medical records via ChartFast’s electronic applications and web portal platform. ChartFast is ultimately owned and controlled by Mr. Garipalli. Expenses and fees incurred related to this agreement were $0.1 million for the three and nine months ended September 30, 2021, and $0.1 million for the three and nine months ended September 30, 2020.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 2021, the Corporation signed a contract with Thyme Care, Inc. (Thyme Care), an oncology benefit management company, through which Thyme Care will provide concierge cancer coordination services to the Corporation’s Medicare Advantage members in New Jersey and develop a provider network to help ensure member access to high-value oncology care. Mr. Garipalli is a member of Thyme Care’s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payable to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entered into various securities payable with certain related parties as further discussed in Note 9 (Notes and Securities Payable).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8. Unpaid Claims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Activity in the liability for unpaid claims, including claims adjustment expenses, for the nine months ended September 30, 2021 and 2020,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2020</w:t>
            </w:r>
          </w:p>
        </w:tc>
      </w:tr>
      <w:tr>
        <w:trPr>
          <w:trHeight w:val="181"/>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r>
      <w:tr>
        <w:trPr>
          <w:trHeight w:val="23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and net balance, 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77,886</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Incurred related to:</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1,092,280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425,941</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(15,401)</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incurred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1,109,375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Paid related to:</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339,252</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109,362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55,559</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paid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1,073,141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394,811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Gross and net balance,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140,210</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93,615</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-342265</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-933450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-1516380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Unpaid claims as of September 30, 2021, were $140.2 million. During the nine months ended September 30, 2021, $109.4 million was paid for incurred claims attributable to insured events of prior years. An unfavorable development of $17.1 million was recognized during the nine months ended September 30, 2021, resulting from the Corporation's claims experience, likely due to provider administrative challenges related to the COVID-19 pandemic. A favorable development of $15.4 million was recognized during the nine months ended September 30, 2020, resulting from the actualization of fee-for-service claims. Original estimates are increased or decreased, as additional information becomes known regarding individual claims. The ratio of current year medical claims paid as a percentage of current year net medical claims incurred was 88.2% for the nine months ended September 30, 2021, and 79.6% for the nine months ended September 30, 2020. This ratio serves as an indicator of claims processing speed, indicating that claims were processed at a faster rate during the nine months ended September 30, 2021, than during the nine months ended September 30, 2020. Beginning in second quarter 2021, the Corporation began participating in the DC Model, which accounted for approximately 42.4% of the Corporation’s total incurred claims as of September 30, 2021.</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Corporation uses a variety of standard actuarial techniques to establish unpaid claims reserves. Management estimates are supported by the Corporation's actuarial analysis. The Corporation utilizes an internal actuarial team to review the adequacy of unpaid claim and unpaid claim adjustment expense. The estimation of claim costs is inherently difficult and requires significant judgment. The estimation has considerable inherent variability and can vary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and Securities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Non-convertible Notes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21, 2017, the Corporation entered into a loan facility (the "Loan Facility") for an aggregate principal amount of $60.0 million with the proceeds used to pay all obligations under a $30.0 million 2015 senior secured note, and to provide additional working capital for the Corporation's subsidiaries. The Loan Facility was secured by the assets of the Corporation. The initial obligation of $40.0 million had a maturity date of March 1, 2022, and was subject to an interest rate of 11.0%, payable monthly, with the majority of principal payments commencing 36 months prior to the maturity date. The additional $20.0 million obligation had a maturity date of October 1, 2022, and was subject to an interest rate of 11.3%, payable monthly, with the majority of principal payments commencing 36 months prior to the maturity date. In conjunction with the Loan Facility, the Corporation issued warrants. See Note 10 (Warrants Payable) for additional information.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29, 2021, the Corporation voluntarily paid the remaining principal of $20.7 million and interest of $0.2 million, thereby terminating the Loan Facility.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Convertible Securities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that certain Convertible Agreement, dated December 27, 2018, between the Corporation and certain qualified institutional buyers, including entities affiliated with the Corporation, for an aggregate principal amount of up to $500.0 million (the "Convertible Agreement"), the Corporation issued convertible securities during 2019 in multiple tranches. On October 5, 2020, the Corporation entered into the Merger Agreement with SCH and simultaneously amended the Convertible Agreement, pursuant to which the convertible securities of Legacy Clover converted into Class Z common stock in connection with the Business Combination. All Class Z common stock converted into Class B Common Stock as of the Closing. Additionally, the conversion incurred a 9.4% charge to account for dilution after the Business Combination to convert the securities as if they had been converted under the mandatory qualified public offering conversion. On January 7, 2021, the Business Combination was completed and the convertible securities were redeemed or converted into a total of 36,117,708 shares of Class Z common stock depending on whether each tranche's conversion price was a conversion or share-settled redemption feature as follows:</w:t>
      </w:r>
    </w:p>
    <w:p>
      <w:pPr>
        <w:spacing w:after="0" w:line="181" w:lineRule="exact"/>
        <w:rPr>
          <w:sz w:val="20"/>
          <w:szCs w:val="20"/>
          <w:color w:val="auto"/>
        </w:rPr>
      </w:pPr>
    </w:p>
    <w:p>
      <w:pPr>
        <w:jc w:val="both"/>
        <w:ind w:left="820" w:right="440" w:hanging="326"/>
        <w:spacing w:after="0" w:line="289" w:lineRule="auto"/>
        <w:tabs>
          <w:tab w:leader="none" w:pos="8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Redemption: The February, March, and May 2019 tranches were redeemed for 34,806,921 shares of Class Z common stock pursuant to the share-settled redemption feature. The redemption of the convertible securities was accounted for as a debt extinguishment as they contained a beneficial conversion feature (BCF), and were redeemed prior to the stated maturity date. As the extinguishment date intrinsic value of the BCF was in excess of the fair value of the shares issued to settle the convertible securities, the full amount of the settlement consideration was treated as the price of reacquiring the BCF. As there was no remaining consideration available to allocate to the re-acquisition of the convertible securities, the extinguishment resulted in a gain equal to the full carrying value of the convertible securities of $126.8 million. This gain was treated as a capital contribution and was recorded as an increase in additional paid in capital as the convertible securities were issued to affiliates of the Corporation. The $126.8 million is comprised of: (a) the carrying value of the tranches of $74.6 million, (b) accrued interest of $7.4 million, and (c) the fair value of the embedded derivative of $44.8 million.</w:t>
      </w:r>
    </w:p>
    <w:p>
      <w:pPr>
        <w:spacing w:after="0" w:line="166" w:lineRule="exact"/>
        <w:rPr>
          <w:rFonts w:ascii="Arial" w:cs="Arial" w:eastAsia="Arial" w:hAnsi="Arial"/>
          <w:sz w:val="16"/>
          <w:szCs w:val="16"/>
          <w:color w:val="auto"/>
        </w:rPr>
      </w:pPr>
    </w:p>
    <w:p>
      <w:pPr>
        <w:jc w:val="both"/>
        <w:ind w:left="820" w:right="440" w:hanging="326"/>
        <w:spacing w:after="0" w:line="279" w:lineRule="auto"/>
        <w:tabs>
          <w:tab w:leader="none" w:pos="8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Conversion: The August 2019 tranche converted into 1,310,787 shares of Class Z common stock pursuant to the conversion feature. Prior to the conversion, the carrying value of the tranche was $2.6 million and accrued interest was $0.4 million. As the converted securities contained a BCF, the $13.0 million unamortized debt discount remaining at the date of conversion was recognized in amortization of notes and securities discount in the Consolidated Statements of Operations and Comprehensive Loss.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giving effect to the Exchange Ratio, pursuant to the terms of the Merger Agreement, these shares of Class Z common stock were converted into 74,694,107 shares of Class B Common Stock upon the closing of the Business Combination. See Note 3 (Business Combination) for additional information on the Business Combination.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convertible securities bore a yield ("interest") at the increasing rates noted below which compounded semi-annually, and would mature April 1, 2023, unless earlier converted, repurchased, or extended. The interest rate and embedded feature discount factor varied based on the length of time elapsed from the issue date of the securities. The interest rates began at 6.5% for the first twelve-month period through the first anniversary of the security issue date, increasing ratably on a semi-annual basis, to 13.5% at the third anniversary of the security issue date until the convertible securities ceased to be outstanding. The embedded feature discount factors began at 75.0% for the first twelve-month period through the first anniversary of the security issue date, decreasing ratably on a semi-annual basis, to 55.0% at the forty-two month anniversary of the security issue date until the convertible securities ceased to be outstanding.</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carrying amount of the convertible securities was $76.5 million at December 31, 2020. The unamortized discount was $337.3 million at December 31, 2020. Amortization of the debt discount was approximately $14.9 million during the nine months ended September 30, 2020. Interest expense on the convertible securities was $22.0 million during the nine months ended 2020. The effective interest rate, inclusive of amortization of the discount and the contractual rate, was 90.3% during the nine months ended September 30, 2020. The results presented as of and for the nine months ended September 30, 2021, above, reflect the impact of the conversion of the convertible securities into common stock in connection with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Seek Convertible Note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25, 2020, Seek issued the Seek Convertible Note in the principal amount of $20.0 million. The note bears simple interest at an annual rate of 8.0% and matures on September 25, 2023, unless earlier accelerated, converted, or paid in full. The outstanding principal and any accrued but unpaid interest will become immediately due and payable at the election of the note holder upon the occurrence of any event of default as defined in the note. The outstanding principal and accrued but unpaid interest will convert into an equity interest in Seek if prior to maturity, repayment or conversion of the note:</w:t>
      </w:r>
    </w:p>
    <w:p>
      <w:pPr>
        <w:spacing w:after="0" w:line="1" w:lineRule="exact"/>
        <w:rPr>
          <w:sz w:val="20"/>
          <w:szCs w:val="20"/>
          <w:color w:val="auto"/>
        </w:rPr>
      </w:pPr>
    </w:p>
    <w:p>
      <w:pPr>
        <w:ind w:firstLine="8"/>
        <w:spacing w:after="0" w:line="260" w:lineRule="auto"/>
        <w:tabs>
          <w:tab w:leader="none" w:pos="2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note holder elects to convert the note, (2) upon the closing of Seek's next equity financing; or (3) upon consummation of an initial public offering of Seek's common stock or a SPAC or reverse merger transaction with Seek.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amount of the note was $19.9 million at both September 30, 2021, and December 31, 2020. The Corporation capitalized $0.1 million of issuance costs which are being amortized using the effective interest method over the term of the note. Unamortized debt issuance costs were $0.1 million at both September 30, 2021, and December 31, 2020. Amortization of the debt issuance costs and interest expense on the note was $0.4 million and $1.2 million during the three and nine months ended September 30, 2021, respectively. Amortization of the debt issuance costs and interest expense on the note was immaterial during the three and nine months ended September 30, 2020.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interest rate was 8.2% during the three and nine months ended September 30, 2021, and during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Warrants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Loan Facility, the Corporation issued warrants to purchase 1,266,284 shares of the Corporation's Series D preferred stock at an exercise price of $9.38 per share. On October 5, 2020, the Corporation entered into the Merger Agreement with SCH and simultaneously amended the warrants to be automatically exercisable for common stock in connection with the Business Combination. The warrants were accounted for as derivative instruments, and the initial fair value of approximately $1.2 million, which was calculated using a Black-Scholes based valuation model, was recorded as a discount to the carrying amount of the Loan Facility. This discount was being amortized using the effective interest method over the term of the Loan Facility. The warrants were recorded as liabilities and were being marked to market at each reporting period.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2015, the Corporation issued warrants to purchase 2,100,000 shares of the Corporation's common stock at an exercise price of $1.04 per share. The warrants were also contingently exercisable for an additional 2,100,000 shares based proportionally on the aggregate principal amounts of additional notes borrowed by the Corporation.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Merger Agreement, the Loan Facility warrants and the September 2015 warrants automatically converted into 3,484,154 shares of Legacy Clover common stock and, after giving effect to the Exchange Ratio converted into 7,205,490 shares of Class B Common Stock upon the closing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 and Private Placement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Business Combination, the Corporation assumed, as of January 7, 2021, Public Warrants to purchase an aggregate of 27,599,938 shares of the Corporation's Class A Common Stock and Private Placement Warrants to purchase an aggregate of 10,933,333 shares of the Corporation's Class A Common Stock. Each whole Warrant entitled the registered holder to purchase one whole share of Class A Common Stock at a price of $11.50 per share, at any time commencing on April 24,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warrants payable on the Condensed Consolidated Balance Sheet. The warrant liabilities were measured at fair value at inception and on a recurring basis until redeemed, with changes in fair value presented within change in fair value of warrants payable in the Condensed Consolidated Statement of Operations and Comprehensive Loss. See Note 5 (Fair Value Measurements) for additional information.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22, 2021, the Company issued a press release stating that it would redeem all of its Warrants that remained outstanding on August 23, 2021, the redemption date, for a redemption price of $0.10 per Warrant. On August 25, 2021, the Company announced that it was extending the period during which holders of the Public Warrants could exercise the Warrants to September 9, 2021, at which time any unexercised Public Warrants would be redeemed at a price of $0.10 per Warrant. Payment upon exercise of the Warrants could be made either (i) in cash, at an exercise price of $11.50 per share of Class A Common Stock or (ii) on a "cashless basis" in which the exercising holder received 0.249 shares of Class A Common Stock per Warrant shares of Class A Common Stock.</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redemption date, 33,932 Public Warrants were exercised for cash, and 26,716,041 were exercised on a cashless basis in exchange for an aggregate of 6,685,865 shares of Common Stock, in each case in accordance with the terms of the Warrant Agreement, representing 96.9% of the Public Warrants. In addition, all of the Private Placement Warrants were exercised on a cashless basis in exchange for an aggregate of 2,722,399 shares of Common Stock, in accordance with the terms of the Warrant Agreement. Total cash proceeds generated from exercises of the Public Warrants were $0.4 million. The remaining unexercised 849,965 Public</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Warrants were redeemed by the Corporation for $0.1 million. In connection with the redemption, the Public Warrants were delisted, and no Warrants were outstanding at September 30,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Liabilities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$373.8 million of convertible securities issued in 2019, the Corporation determined that certain of the conversion and redemption features were embedded derivatives and were bifurcated from the host instrument and accounted for as embedded derivative instruments. In connection with the convertible securities, the Corporation recognized a capital contribution of $44.8 million during the nine months ended September 30, 2021. This capital contribution of $44.8 million was recorded as an increase in additional paid in capital as the notes were issued to affiliates of the Corporation. The Corporation recognized a gain of $68.1 million and $87.5 million from activity related to derivative liabilities in connection with the convertible securities during the three and nine months ended September 30, 2020, respectively, which was recognized in gain on derivative in the Condensed Consolidated Statements of Operations and Comprehensive Loss. Upon the completion of the Business Combination with SCH on January 7, 2021, the derivative balance was extinguished as of January 7, 2021. See Note 3 (Business Combination), Note 5 (Fair Value Measurements), and Note 9 (Notes and Securities Payable) for additional information.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Letter of Credit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April 19, 2018, the Corporation entered into a secured letter of credit agreement (the “Letter”) for up to an aggregate amount of $2.5 million with a commercial lender that renews on an annual basis. The Letter bears an interest rate of 0.75%. There was an unused balance of $2.5 million at both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Corporation leases office space in New Jersey, Minnesota, Tennessee, Georgia, Florida, California, and Hong Kong under non-cancelable operating leases, as further described below. For each lease the Corporation recorded a right-of-use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the Corporation’s leases include options to renew, with renewal terms that can extend the lease term. The exercise of lease renewal options is at the Corporation’s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subleases certain of its leases to third parties for which it receives rental income to manage occupancy costs. These subleases are classified as operating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Corporation’s leases are being considered for subletting.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Mallory Green Lease: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22, 2021, the Corporation entered into an agreement to lease office space for its new corporate headquarters in Franklin, Tennessee, for a period of 37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Montgomery Lease: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May 2020 through April 9, 2021, the Corporation was in default with respect to its agreement to lease office space in Jersey City, New Jersey (the "Montgomery Lease"), for not paying rent owed to the lessor. The Corporation accrued for all interest owed and began reducing its security deposit asset in lieu of recording rental payments. On April 9, 2021, the Corporation replenished its security deposit and, therefore, was no longer in default with respect to the Montgomery Lease.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Summary of Lease Costs Recognized Under ASC 842: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Corporation's operating leases for the three and nine months ended September 30, 2021:</w:t>
      </w:r>
    </w:p>
    <w:p>
      <w:pPr>
        <w:sectPr>
          <w:pgSz w:w="11900" w:h="16838" w:orient="portrait"/>
          <w:cols w:equalWidth="0" w:num="1">
            <w:col w:w="11240"/>
          </w:cols>
          <w:pgMar w:left="320" w:top="989" w:right="339" w:bottom="1440" w:gutter="0" w:footer="0" w:header="0"/>
        </w:sect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415"/>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1095" w:hanging="960"/>
        <w:spacing w:after="0"/>
        <w:tabs>
          <w:tab w:leader="none" w:pos="10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1,126</w:t>
      </w:r>
    </w:p>
    <w:p>
      <w:pPr>
        <w:spacing w:after="0" w:line="23" w:lineRule="exact"/>
        <w:rPr>
          <w:rFonts w:ascii="Arial" w:cs="Arial" w:eastAsia="Arial" w:hAnsi="Arial"/>
          <w:sz w:val="18"/>
          <w:szCs w:val="18"/>
          <w:color w:val="auto"/>
        </w:rPr>
      </w:pPr>
    </w:p>
    <w:p>
      <w:pPr>
        <w:ind w:left="1235"/>
        <w:spacing w:after="0"/>
        <w:rPr>
          <w:rFonts w:ascii="Arial" w:cs="Arial" w:eastAsia="Arial" w:hAnsi="Arial"/>
          <w:sz w:val="18"/>
          <w:szCs w:val="18"/>
          <w:color w:val="auto"/>
        </w:rPr>
      </w:pPr>
      <w:r>
        <w:rPr>
          <w:rFonts w:ascii="Arial" w:cs="Arial" w:eastAsia="Arial" w:hAnsi="Arial"/>
          <w:sz w:val="18"/>
          <w:szCs w:val="18"/>
          <w:color w:val="auto"/>
        </w:rPr>
        <w:t>123</w:t>
      </w:r>
    </w:p>
    <w:p>
      <w:pPr>
        <w:spacing w:after="0" w:line="22" w:lineRule="exact"/>
        <w:rPr>
          <w:rFonts w:ascii="Arial" w:cs="Arial" w:eastAsia="Arial" w:hAnsi="Arial"/>
          <w:sz w:val="18"/>
          <w:szCs w:val="18"/>
          <w:color w:val="auto"/>
        </w:rPr>
      </w:pPr>
    </w:p>
    <w:p>
      <w:pPr>
        <w:ind w:left="1315"/>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3" w:lineRule="exact"/>
        <w:rPr>
          <w:sz w:val="20"/>
          <w:szCs w:val="20"/>
          <w:color w:val="auto"/>
        </w:rPr>
      </w:pPr>
    </w:p>
    <w:p>
      <w:pPr>
        <w:ind w:left="1155"/>
        <w:spacing w:after="0"/>
        <w:rPr>
          <w:sz w:val="20"/>
          <w:szCs w:val="20"/>
          <w:color w:val="auto"/>
        </w:rPr>
      </w:pPr>
      <w:r>
        <w:rPr>
          <w:rFonts w:ascii="Arial" w:cs="Arial" w:eastAsia="Arial" w:hAnsi="Arial"/>
          <w:sz w:val="17"/>
          <w:szCs w:val="17"/>
          <w:color w:val="auto"/>
        </w:rPr>
        <w:t>(650)</w:t>
      </w:r>
    </w:p>
    <w:p>
      <w:pPr>
        <w:spacing w:after="0" w:line="47" w:lineRule="exact"/>
        <w:rPr>
          <w:sz w:val="20"/>
          <w:szCs w:val="20"/>
          <w:color w:val="auto"/>
        </w:rPr>
      </w:pPr>
    </w:p>
    <w:p>
      <w:pPr>
        <w:ind w:left="1235" w:hanging="1100"/>
        <w:spacing w:after="0"/>
        <w:tabs>
          <w:tab w:leader="none" w:pos="12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40640</wp:posOffset>
            </wp:positionV>
            <wp:extent cx="9258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5"/>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955" w:hanging="955"/>
        <w:spacing w:after="0"/>
        <w:tabs>
          <w:tab w:leader="none" w:pos="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3,351</w:t>
      </w:r>
    </w:p>
    <w:p>
      <w:pPr>
        <w:spacing w:after="0" w:line="23" w:lineRule="exact"/>
        <w:rPr>
          <w:rFonts w:ascii="Arial" w:cs="Arial" w:eastAsia="Arial" w:hAnsi="Arial"/>
          <w:sz w:val="18"/>
          <w:szCs w:val="18"/>
          <w:color w:val="auto"/>
        </w:rPr>
      </w:pPr>
    </w:p>
    <w:p>
      <w:pPr>
        <w:ind w:left="1075"/>
        <w:spacing w:after="0"/>
        <w:rPr>
          <w:rFonts w:ascii="Arial" w:cs="Arial" w:eastAsia="Arial" w:hAnsi="Arial"/>
          <w:sz w:val="18"/>
          <w:szCs w:val="18"/>
          <w:color w:val="auto"/>
        </w:rPr>
      </w:pPr>
      <w:r>
        <w:rPr>
          <w:rFonts w:ascii="Arial" w:cs="Arial" w:eastAsia="Arial" w:hAnsi="Arial"/>
          <w:sz w:val="18"/>
          <w:szCs w:val="18"/>
          <w:color w:val="auto"/>
        </w:rPr>
        <w:t>391</w:t>
      </w:r>
    </w:p>
    <w:p>
      <w:pPr>
        <w:spacing w:after="0" w:line="22" w:lineRule="exact"/>
        <w:rPr>
          <w:rFonts w:ascii="Arial" w:cs="Arial" w:eastAsia="Arial" w:hAnsi="Arial"/>
          <w:sz w:val="18"/>
          <w:szCs w:val="18"/>
          <w:color w:val="auto"/>
        </w:rPr>
      </w:pPr>
    </w:p>
    <w:p>
      <w:pPr>
        <w:ind w:left="1175"/>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3" w:lineRule="exact"/>
        <w:rPr>
          <w:sz w:val="20"/>
          <w:szCs w:val="20"/>
          <w:color w:val="auto"/>
        </w:rPr>
      </w:pPr>
    </w:p>
    <w:p>
      <w:pPr>
        <w:ind w:left="875"/>
        <w:spacing w:after="0"/>
        <w:rPr>
          <w:sz w:val="20"/>
          <w:szCs w:val="20"/>
          <w:color w:val="auto"/>
        </w:rPr>
      </w:pPr>
      <w:r>
        <w:rPr>
          <w:rFonts w:ascii="Arial" w:cs="Arial" w:eastAsia="Arial" w:hAnsi="Arial"/>
          <w:sz w:val="18"/>
          <w:szCs w:val="18"/>
          <w:color w:val="auto"/>
        </w:rPr>
        <w:t>(2,077)</w:t>
      </w:r>
    </w:p>
    <w:p>
      <w:pPr>
        <w:spacing w:after="0" w:line="35" w:lineRule="exact"/>
        <w:rPr>
          <w:sz w:val="20"/>
          <w:szCs w:val="20"/>
          <w:color w:val="auto"/>
        </w:rPr>
      </w:pPr>
    </w:p>
    <w:p>
      <w:pPr>
        <w:ind w:left="955" w:hanging="955"/>
        <w:spacing w:after="0"/>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0115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59" w:lineRule="exact"/>
        <w:rPr>
          <w:sz w:val="20"/>
          <w:szCs w:val="20"/>
          <w:color w:val="auto"/>
        </w:rPr>
      </w:pPr>
    </w:p>
    <w:p>
      <w:pPr>
        <w:ind w:left="955" w:hanging="955"/>
        <w:spacing w:after="0"/>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3,894</w:t>
      </w:r>
    </w:p>
    <w:p>
      <w:pPr>
        <w:spacing w:after="0" w:line="23" w:lineRule="exact"/>
        <w:rPr>
          <w:rFonts w:ascii="Arial" w:cs="Arial" w:eastAsia="Arial" w:hAnsi="Arial"/>
          <w:sz w:val="18"/>
          <w:szCs w:val="18"/>
          <w:color w:val="auto"/>
        </w:rPr>
      </w:pPr>
    </w:p>
    <w:p>
      <w:pPr>
        <w:ind w:left="915"/>
        <w:spacing w:after="0"/>
        <w:rPr>
          <w:rFonts w:ascii="Arial" w:cs="Arial" w:eastAsia="Arial" w:hAnsi="Arial"/>
          <w:sz w:val="18"/>
          <w:szCs w:val="18"/>
          <w:color w:val="auto"/>
        </w:rPr>
      </w:pPr>
      <w:r>
        <w:rPr>
          <w:rFonts w:ascii="Arial" w:cs="Arial" w:eastAsia="Arial" w:hAnsi="Arial"/>
          <w:sz w:val="15"/>
          <w:szCs w:val="15"/>
          <w:color w:val="auto"/>
        </w:rPr>
        <w:t>4.4 years</w:t>
      </w:r>
    </w:p>
    <w:p>
      <w:pPr>
        <w:spacing w:after="0" w:line="57" w:lineRule="exact"/>
        <w:rPr>
          <w:rFonts w:ascii="Arial" w:cs="Arial" w:eastAsia="Arial" w:hAnsi="Arial"/>
          <w:sz w:val="18"/>
          <w:szCs w:val="18"/>
          <w:color w:val="auto"/>
        </w:rPr>
      </w:pPr>
    </w:p>
    <w:p>
      <w:pPr>
        <w:ind w:left="955"/>
        <w:spacing w:after="0"/>
        <w:rPr>
          <w:rFonts w:ascii="Arial" w:cs="Arial" w:eastAsia="Arial" w:hAnsi="Arial"/>
          <w:sz w:val="18"/>
          <w:szCs w:val="18"/>
          <w:color w:val="auto"/>
        </w:rPr>
      </w:pPr>
      <w:r>
        <w:rPr>
          <w:rFonts w:ascii="Arial" w:cs="Arial" w:eastAsia="Arial" w:hAnsi="Arial"/>
          <w:sz w:val="16"/>
          <w:szCs w:val="16"/>
          <w:color w:val="auto"/>
        </w:rPr>
        <w:t>10.26 %</w:t>
      </w:r>
    </w:p>
    <w:p>
      <w:pPr>
        <w:spacing w:after="0" w:line="222" w:lineRule="exact"/>
        <w:rPr>
          <w:sz w:val="20"/>
          <w:szCs w:val="20"/>
          <w:color w:val="auto"/>
        </w:rPr>
      </w:pPr>
    </w:p>
    <w:p>
      <w:pPr>
        <w:sectPr>
          <w:pgSz w:w="11900" w:h="16838" w:orient="portrait"/>
          <w:cols w:equalWidth="0" w:num="2">
            <w:col w:w="8945" w:space="720"/>
            <w:col w:w="1575"/>
          </w:cols>
          <w:pgMar w:left="320" w:top="989" w:right="3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terms of the Corporation's non-cancelable lease agreements in effect at December 31, 2020, the following table summarizes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Corporation's maturities of lease liabilities as of September 30,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12"/>
              <w:spacing w:after="0"/>
              <w:rPr>
                <w:sz w:val="20"/>
                <w:szCs w:val="20"/>
                <w:color w:val="auto"/>
              </w:rPr>
            </w:pPr>
            <w:r>
              <w:rPr>
                <w:rFonts w:ascii="Arial" w:cs="Arial" w:eastAsia="Arial" w:hAnsi="Arial"/>
                <w:sz w:val="14"/>
                <w:szCs w:val="14"/>
                <w:b w:val="1"/>
                <w:bCs w:val="1"/>
                <w:color w:val="auto"/>
                <w:w w:val="97"/>
              </w:rPr>
              <w:t>(in thousands)</w:t>
            </w:r>
          </w:p>
        </w:tc>
      </w:tr>
      <w:tr>
        <w:trPr>
          <w:trHeight w:val="235"/>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3,001</w:t>
            </w:r>
          </w:p>
        </w:tc>
      </w:tr>
      <w:tr>
        <w:trPr>
          <w:trHeight w:val="229"/>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30"/>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r>
      <w:tr>
        <w:trPr>
          <w:trHeight w:val="230"/>
        </w:trPr>
        <w:tc>
          <w:tcPr>
            <w:tcW w:w="9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r>
      <w:tr>
        <w:trPr>
          <w:trHeight w:val="223"/>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w:t>
            </w:r>
          </w:p>
        </w:tc>
      </w:tr>
      <w:tr>
        <w:trPr>
          <w:trHeight w:val="230"/>
        </w:trPr>
        <w:tc>
          <w:tcPr>
            <w:tcW w:w="9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r>
      <w:tr>
        <w:trPr>
          <w:trHeight w:val="248"/>
        </w:trPr>
        <w:tc>
          <w:tcPr>
            <w:tcW w:w="9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8,547</w:t>
            </w:r>
          </w:p>
        </w:tc>
      </w:tr>
      <w:tr>
        <w:trPr>
          <w:trHeight w:val="20"/>
        </w:trPr>
        <w:tc>
          <w:tcPr>
            <w:tcW w:w="97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Convertible 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Legacy Clover's preferred stock was convertible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conversion price as described in Note 17 (Preferred Stock) to financial statements in the Form 8-K/A in effect at the time of conversion.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Merger Agreement, all outstanding shares of Legacy Clover's preferred stock automatically converted into 139,444,346 shares of Class B Common Stock after giving effect to the Exchange Ratio upon the closing of the Business Combination. See Note 3 (Business Combination) for additional information on the Business Combination.</w:t>
      </w:r>
    </w:p>
    <w:p>
      <w:pPr>
        <w:sectPr>
          <w:pgSz w:w="11900" w:h="16838" w:orient="portrait"/>
          <w:cols w:equalWidth="0" w:num="1">
            <w:col w:w="11240"/>
          </w:cols>
          <w:pgMar w:left="320" w:top="9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Savings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has a defined contribution retirement savings plan (the “401(k) Plan”) covering eligible employees, which includes safe harbor matching contributions based on the amount of employees' contributions to the 401(k) Plan. The Corporation contributes to the 401(k) Plan annually 100.0% of the first 4.0% compensation that is contributed by the employee up to 4.0% of eligible annual compensation. The Corporation's service contributions to the 401(k) Plan amounted to approximately $0.3 million and $0.3 million for the three months ended September 30, 2021 and 2020, respectively, and $0.9 million and $1.0 million for the nine months ended September 30, 2021 and 2020, respectively, and are included in salaries and benefits on the Condensed Consolidated Statements of Operations and Comprehensive Loss. The Corporation's cash match is invested pursuant to the participant's contribution direction. Employer contributions are immediately 100.0% vested.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Corporation's 2020 Equity Incentive Plan (the "2020 Plan") and 2020 Management Incentive Plan (the “2020 MIP”) provide for grants of restricted stocks units (RSUs) and/or options to acquire shares of the Corporation's common stock, par value $0.0001 per share, to employees, directors, officers, and consultants of the Corporation. During the nine months ended September 30, 2021, the Corporation approved the 2020 Plan and the 2020 MIP, and the Corporation’s 2014 Equity Incentive Plan (the “2014 Plan” and, collectively with the 2020 Plan and the 2020 MIP, the “Plans”) was retired.</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maximum number of shares of the Corporation's common stock reserved for issuance over the term of the Plans, shares outstanding under the Plans, and shares remaining under the Plans, after giving effect to the Exchange Ratio, as of September 30, 2021, and December 31, 2020,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4140" w:type="dxa"/>
            <w:vAlign w:val="bottom"/>
          </w:tcPr>
          <w:p>
            <w:pPr>
              <w:ind w:left="3180"/>
              <w:spacing w:after="0"/>
              <w:rPr>
                <w:sz w:val="20"/>
                <w:szCs w:val="20"/>
                <w:color w:val="auto"/>
              </w:rPr>
            </w:pPr>
            <w:r>
              <w:rPr>
                <w:rFonts w:ascii="Arial" w:cs="Arial" w:eastAsia="Arial" w:hAnsi="Arial"/>
                <w:sz w:val="18"/>
                <w:szCs w:val="18"/>
                <w:b w:val="1"/>
                <w:bCs w:val="1"/>
                <w:color w:val="auto"/>
              </w:rPr>
              <w:t>Shares</w:t>
            </w: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76"/>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September 30, 2021</w:t>
            </w:r>
          </w:p>
        </w:tc>
        <w:tc>
          <w:tcPr>
            <w:tcW w:w="4140" w:type="dxa"/>
            <w:vAlign w:val="bottom"/>
          </w:tcPr>
          <w:p>
            <w:pPr>
              <w:ind w:left="3000"/>
              <w:spacing w:after="0" w:line="176" w:lineRule="exact"/>
              <w:rPr>
                <w:sz w:val="20"/>
                <w:szCs w:val="20"/>
                <w:color w:val="auto"/>
              </w:rPr>
            </w:pPr>
            <w:r>
              <w:rPr>
                <w:rFonts w:ascii="Arial" w:cs="Arial" w:eastAsia="Arial" w:hAnsi="Arial"/>
                <w:sz w:val="18"/>
                <w:szCs w:val="18"/>
                <w:b w:val="1"/>
                <w:bCs w:val="1"/>
                <w:color w:val="auto"/>
              </w:rPr>
              <w:t>Authorized</w:t>
            </w:r>
          </w:p>
        </w:tc>
        <w:tc>
          <w:tcPr>
            <w:tcW w:w="1340" w:type="dxa"/>
            <w:vAlign w:val="bottom"/>
          </w:tcPr>
          <w:p>
            <w:pPr>
              <w:jc w:val="right"/>
              <w:ind w:right="130"/>
              <w:spacing w:after="0" w:line="176" w:lineRule="exact"/>
              <w:rPr>
                <w:sz w:val="20"/>
                <w:szCs w:val="20"/>
                <w:color w:val="auto"/>
              </w:rPr>
            </w:pPr>
            <w:r>
              <w:rPr>
                <w:rFonts w:ascii="Arial" w:cs="Arial" w:eastAsia="Arial" w:hAnsi="Arial"/>
                <w:sz w:val="18"/>
                <w:szCs w:val="18"/>
                <w:b w:val="1"/>
                <w:bCs w:val="1"/>
                <w:color w:val="auto"/>
              </w:rPr>
              <w:t>Outstanding</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vMerge w:val="continue"/>
          </w:tcPr>
          <w:p>
            <w:pPr>
              <w:spacing w:after="0"/>
              <w:rPr>
                <w:sz w:val="19"/>
                <w:szCs w:val="19"/>
                <w:color w:val="auto"/>
              </w:rPr>
            </w:pPr>
          </w:p>
        </w:tc>
        <w:tc>
          <w:tcPr>
            <w:tcW w:w="414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Under Plans</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Under Plans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Under Plans</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2014 Plan</w:t>
            </w:r>
          </w:p>
        </w:tc>
        <w:tc>
          <w:tcPr>
            <w:tcW w:w="4140" w:type="dxa"/>
            <w:vAlign w:val="bottom"/>
            <w:shd w:val="clear" w:color="auto" w:fill="CFF0FC"/>
          </w:tcPr>
          <w:p>
            <w:pPr>
              <w:ind w:left="3180"/>
              <w:spacing w:after="0"/>
              <w:rPr>
                <w:sz w:val="20"/>
                <w:szCs w:val="20"/>
                <w:color w:val="auto"/>
              </w:rPr>
            </w:pPr>
            <w:r>
              <w:rPr>
                <w:rFonts w:ascii="Arial" w:cs="Arial" w:eastAsia="Arial" w:hAnsi="Arial"/>
                <w:sz w:val="18"/>
                <w:szCs w:val="18"/>
                <w:color w:val="auto"/>
              </w:rPr>
              <w:t>54,402,264</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42,441,719</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2020 Plan</w:t>
            </w:r>
          </w:p>
        </w:tc>
        <w:tc>
          <w:tcPr>
            <w:tcW w:w="4140" w:type="dxa"/>
            <w:vAlign w:val="bottom"/>
          </w:tcPr>
          <w:p>
            <w:pPr>
              <w:ind w:left="3180"/>
              <w:spacing w:after="0"/>
              <w:rPr>
                <w:sz w:val="20"/>
                <w:szCs w:val="20"/>
                <w:color w:val="auto"/>
              </w:rPr>
            </w:pPr>
            <w:r>
              <w:rPr>
                <w:rFonts w:ascii="Arial" w:cs="Arial" w:eastAsia="Arial" w:hAnsi="Arial"/>
                <w:sz w:val="18"/>
                <w:szCs w:val="18"/>
                <w:color w:val="auto"/>
              </w:rPr>
              <w:t>30,641,401</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1,782,986</w:t>
            </w:r>
          </w:p>
        </w:tc>
        <w:tc>
          <w:tcPr>
            <w:tcW w:w="1260" w:type="dxa"/>
            <w:vAlign w:val="bottom"/>
          </w:tcPr>
          <w:p>
            <w:pPr>
              <w:jc w:val="right"/>
              <w:spacing w:after="0"/>
              <w:rPr>
                <w:sz w:val="20"/>
                <w:szCs w:val="20"/>
                <w:color w:val="auto"/>
              </w:rPr>
            </w:pPr>
            <w:r>
              <w:rPr>
                <w:rFonts w:ascii="Arial" w:cs="Arial" w:eastAsia="Arial" w:hAnsi="Arial"/>
                <w:sz w:val="18"/>
                <w:szCs w:val="18"/>
                <w:color w:val="auto"/>
              </w:rPr>
              <w:t>28,858,415</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2020 MIP</w:t>
            </w:r>
          </w:p>
        </w:tc>
        <w:tc>
          <w:tcPr>
            <w:tcW w:w="4140" w:type="dxa"/>
            <w:vAlign w:val="bottom"/>
            <w:shd w:val="clear" w:color="auto" w:fill="CFF0FC"/>
          </w:tcPr>
          <w:p>
            <w:pPr>
              <w:ind w:left="3180"/>
              <w:spacing w:after="0"/>
              <w:rPr>
                <w:sz w:val="20"/>
                <w:szCs w:val="20"/>
                <w:color w:val="auto"/>
              </w:rPr>
            </w:pPr>
            <w:r>
              <w:rPr>
                <w:rFonts w:ascii="Arial" w:cs="Arial" w:eastAsia="Arial" w:hAnsi="Arial"/>
                <w:sz w:val="18"/>
                <w:szCs w:val="18"/>
                <w:color w:val="auto"/>
              </w:rPr>
              <w:t>33,426,983</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33,426,983</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4160" w:type="dxa"/>
            <w:vAlign w:val="bottom"/>
          </w:tcPr>
          <w:p>
            <w:pPr>
              <w:jc w:val="center"/>
              <w:ind w:left="267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75"/>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4160" w:type="dxa"/>
            <w:vAlign w:val="bottom"/>
          </w:tcPr>
          <w:p>
            <w:pPr>
              <w:jc w:val="center"/>
              <w:ind w:left="2670"/>
              <w:spacing w:after="0" w:line="176" w:lineRule="exact"/>
              <w:rPr>
                <w:sz w:val="20"/>
                <w:szCs w:val="20"/>
                <w:color w:val="auto"/>
              </w:rPr>
            </w:pPr>
            <w:r>
              <w:rPr>
                <w:rFonts w:ascii="Arial" w:cs="Arial" w:eastAsia="Arial" w:hAnsi="Arial"/>
                <w:sz w:val="18"/>
                <w:szCs w:val="18"/>
                <w:b w:val="1"/>
                <w:bCs w:val="1"/>
                <w:color w:val="auto"/>
                <w:w w:val="93"/>
              </w:rPr>
              <w:t>Authorized</w:t>
            </w:r>
          </w:p>
        </w:tc>
        <w:tc>
          <w:tcPr>
            <w:tcW w:w="13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vMerge w:val="continue"/>
          </w:tcPr>
          <w:p>
            <w:pPr>
              <w:spacing w:after="0"/>
              <w:rPr>
                <w:sz w:val="19"/>
                <w:szCs w:val="19"/>
                <w:color w:val="auto"/>
              </w:rPr>
            </w:pPr>
          </w:p>
        </w:tc>
        <w:tc>
          <w:tcPr>
            <w:tcW w:w="4160" w:type="dxa"/>
            <w:vAlign w:val="bottom"/>
            <w:tcBorders>
              <w:bottom w:val="single" w:sz="8" w:color="auto"/>
            </w:tcBorders>
          </w:tcPr>
          <w:p>
            <w:pPr>
              <w:jc w:val="center"/>
              <w:ind w:left="2670"/>
              <w:spacing w:after="0"/>
              <w:rPr>
                <w:sz w:val="20"/>
                <w:szCs w:val="20"/>
                <w:color w:val="auto"/>
              </w:rPr>
            </w:pPr>
            <w:r>
              <w:rPr>
                <w:rFonts w:ascii="Arial" w:cs="Arial" w:eastAsia="Arial" w:hAnsi="Arial"/>
                <w:sz w:val="18"/>
                <w:szCs w:val="18"/>
                <w:b w:val="1"/>
                <w:bCs w:val="1"/>
                <w:color w:val="auto"/>
                <w:w w:val="92"/>
              </w:rPr>
              <w:t>Under Plan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Under Plan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Under Plan</w:t>
            </w: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2014 Plan</w:t>
            </w:r>
          </w:p>
        </w:tc>
        <w:tc>
          <w:tcPr>
            <w:tcW w:w="4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54,402,264</w:t>
            </w: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36,557,759</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17,844,505</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the closing of the Business Combination, the 2014 Plan terminated, at which time the outstanding awards previously granted thereunder were assumed by the Corporation, and no new awards are available for grant under the 2014 Plan. Shares that are expired, terminated, surrendered or canceled under the 2014 Plan without having been fully exercised are available for awards under the 2020 Plan. Shares may be issued from authorized but unissued Corporation stock.</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Plans are administered by the Talent and Compensation Committee of the Corporation’s Board of Directors (the “Compensation Committee”). The options are subject to the terms and conditions applicable to options granted under the Plans, as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Corporation typically vest over four or five years. RSU awards are subject to the terms and conditions set forth in the 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common stock for the 90 trading days ending on the date of grant, and such awards typically vest over four years from the grant date. The total estimated fair value is amortized as an expense over the requisite service period as approved by the Compensation Committee.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granted options to purchase 1,937,968 shares of common stock during the nine months ended September 30, 2021. The Corporation recorded stock-based compensation expense for options, RSUs, performance restricted stock units (PRSUs) granted under the Plans and discounts offered in connection with the Corporation’s 2020 Employee Stock Purchase Plan (ESPP) of $46.8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million and $132.5 million during the three and nine months ended September 30, 2021, and such expenses are presented in salaries and benefits in the accompanying Condensed Consolidated Statements of Operations and Comprehensive Loss. Compensation cost presented in salaries and benefits in the accompanying Condensed Consolidated Statements of Operations and Comprehensive Loss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r>
      <w:tr>
        <w:trPr>
          <w:trHeight w:val="181"/>
        </w:trPr>
        <w:tc>
          <w:tcPr>
            <w:tcW w:w="8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r>
      <w:tr>
        <w:trPr>
          <w:trHeight w:val="231"/>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17,396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r>
      <w:tr>
        <w:trPr>
          <w:trHeight w:val="181"/>
        </w:trPr>
        <w:tc>
          <w:tcPr>
            <w:tcW w:w="8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r>
      <w:tr>
        <w:trPr>
          <w:trHeight w:val="231"/>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there was approximately $463.7 million of unrecognized stock-based compensation expense related to unvested stock options, RSUs, PRSUs, and the ESPP, estimated to be recognized over a period of 4.27 years. As of December 31, 2020, there was approximately $14.9 million of unrecognized stock-based compensation expense related to unvested 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that the Corporation used in the Black-Scholes option-pricing model to determine the grant-date fair value of stock options granted for the nine months ended September 30, 2021 and 2020, respectively,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0.84 %</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37.74 %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34.60 %</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3"/>
        </w:trPr>
        <w:tc>
          <w:tcPr>
            <w:tcW w:w="8640" w:type="dxa"/>
            <w:vAlign w:val="bottom"/>
          </w:tcPr>
          <w:p>
            <w:pPr>
              <w:spacing w:after="0"/>
              <w:rPr>
                <w:sz w:val="20"/>
                <w:szCs w:val="20"/>
                <w:color w:val="auto"/>
              </w:rPr>
            </w:pPr>
            <w:r>
              <w:rPr>
                <w:rFonts w:ascii="Arial" w:cs="Arial" w:eastAsia="Arial" w:hAnsi="Arial"/>
                <w:sz w:val="18"/>
                <w:szCs w:val="18"/>
                <w:color w:val="auto"/>
                <w:w w:val="94"/>
              </w:rPr>
              <w:t>A summary of option activity under the 2020 Plan during the nine months ended September 30, 2021 is as follows: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23"/>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2021</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Granted during 2021</w:t>
            </w:r>
          </w:p>
        </w:tc>
        <w:tc>
          <w:tcPr>
            <w:tcW w:w="1260" w:type="dxa"/>
            <w:vAlign w:val="bottom"/>
          </w:tcPr>
          <w:p>
            <w:pPr>
              <w:jc w:val="right"/>
              <w:spacing w:after="0"/>
              <w:rPr>
                <w:sz w:val="20"/>
                <w:szCs w:val="20"/>
                <w:color w:val="auto"/>
              </w:rPr>
            </w:pPr>
            <w:r>
              <w:rPr>
                <w:rFonts w:ascii="Arial" w:cs="Arial" w:eastAsia="Arial" w:hAnsi="Arial"/>
                <w:sz w:val="18"/>
                <w:szCs w:val="18"/>
                <w:color w:val="auto"/>
              </w:rPr>
              <w:t>1,937,968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(154,982)</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Outstanding, September 30, 2021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1,782,986</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864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24</w:t>
            </w: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86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-582295</wp:posOffset>
            </wp:positionV>
            <wp:extent cx="514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-744855</wp:posOffset>
            </wp:positionV>
            <wp:extent cx="51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w w:val="94"/>
              </w:rPr>
              <w:t>A summary of option activity under the 2014 Plan during the nine months ended September 30, 2021 is as follows: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6"/>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23"/>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1, 2021</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36,513,193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Granted during 2021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(3,843,472)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(974,874)</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Outstanding, September 30, 2021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31,694,847</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86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nine months ended September 30, 2021 and 2020 was $3.36 per share and $2.10 per share,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outstanding stock options, substantially all of which are expected to vest, had an aggregate intrinsic value of $160.1 million, and a weighted-average remaining contractual term of 7.03 years. As of September 30, 2021, there were 21,210,565 options exercisable under the Plan, with an aggregate intrinsic value of $109.0 million, a weighted-average exercise price of $2.26 per share, and a weighted-average remaining contractual term of 6.34 years. The total value of stock options exercised during the nine months ended September 30, 2021 and 2020, was $36.4 million and $1.6 million, respectively. Cash received from stock option exercises during the nine months ended September 30, 2021 and 2020, totaled $5.5 million and $1.0 million, respectively.</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terms of the applicable Plan and stock option award agreement, employees may exercise options at any time after grant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RSU activity for the nine months ended September 30, 2021, is presented below:</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21,035,614</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(131,766)</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(35,935)</w:t>
            </w:r>
          </w:p>
        </w:tc>
      </w:tr>
      <w:tr>
        <w:trPr>
          <w:trHeight w:val="248"/>
        </w:trPr>
        <w:tc>
          <w:tcPr>
            <w:tcW w:w="9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September 30,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20,867,913</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the RSUs was $14.77 per underlying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has granted PRSUs which become eligible to vest if prior to the vesting date the average closing price of one share of the Corporation's common stock for ninety consecutive days equals or exceeds a specified price (the "Market PRSUs"). The grant date fair value of the Market PRSUs is recognized as expense over the vesting period under the accelerated attribution method and is not adjusted in future periods for the success or failure to achieve the specified market condition.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grant date fair value of Market PRSUs granted during the nine months ended September 30, 2021, was $9.58 per underlying share. There were no Market PRSUs granted prior to 2021. The grant date fair value of Market PRSUs was determined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using a Monte Carlo simulation model that incorporated multiple valuation assumptions, including the probability of achieving the specified market condition and the following assumptions: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8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40.70 %</w:t>
            </w:r>
          </w:p>
        </w:tc>
      </w:tr>
      <w:tr>
        <w:trPr>
          <w:trHeight w:val="270"/>
        </w:trPr>
        <w:tc>
          <w:tcPr>
            <w:tcW w:w="9800" w:type="dxa"/>
            <w:vAlign w:val="bottom"/>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0.50</w:t>
            </w:r>
          </w:p>
        </w:tc>
      </w:tr>
      <w:tr>
        <w:trPr>
          <w:trHeight w:val="270"/>
        </w:trPr>
        <w:tc>
          <w:tcPr>
            <w:tcW w:w="9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(3)</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43" w:lineRule="exact"/>
        <w:rPr>
          <w:sz w:val="20"/>
          <w:szCs w:val="20"/>
          <w:color w:val="auto"/>
        </w:rPr>
      </w:pPr>
    </w:p>
    <w:p>
      <w:pPr>
        <w:sectPr>
          <w:pgSz w:w="11900" w:h="16838" w:orient="portrait"/>
          <w:cols w:equalWidth="0" w:num="1">
            <w:col w:w="11240"/>
          </w:cols>
          <w:pgMar w:left="320" w:top="773" w:right="339" w:bottom="1440" w:gutter="0" w:footer="0" w:header="0"/>
        </w:sect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Expected volatility is based on a blend of peer group company historical data adjusted for the Corporation's leverage.</w:t>
      </w:r>
    </w:p>
    <w:p>
      <w:pPr>
        <w:ind w:left="160" w:hanging="152"/>
        <w:spacing w:after="0" w:line="211" w:lineRule="auto"/>
        <w:tabs>
          <w:tab w:leader="none" w:pos="16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Risk-free interest rate based on U.S. Treasury yields with a term equal to the remaining Performance Period as of the grant date.</w:t>
      </w:r>
    </w:p>
    <w:p>
      <w:pPr>
        <w:ind w:left="160" w:hanging="152"/>
        <w:spacing w:after="0" w:line="197"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Dividend yield was assumed to be zero as the Corporation does not anticipate paying dividends.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total PRSU activity for the nine months ended September 30, 2021, is presented below:</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at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27,699,171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36830</wp:posOffset>
            </wp:positionV>
            <wp:extent cx="7975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27,699,171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36830</wp:posOffset>
            </wp:positionV>
            <wp:extent cx="7975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7560" cy="825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62230</wp:posOffset>
            </wp:positionV>
            <wp:extent cx="797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640" w:space="720"/>
            <w:col w:w="880"/>
          </w:cols>
          <w:pgMar w:left="320" w:top="773" w:right="339" w:bottom="1440" w:gutter="0" w:footer="0" w:header="0"/>
          <w:type w:val="continuous"/>
        </w:sectPr>
      </w:pP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2021, there was $185.4 million of unrecognized share-based compensation expense related to PRSUs, which is expected to be recognized over a period of 4.27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Employee Stock Purchase Plan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5, 2020, SCH’s board of directors adopted, and on January 6, 2021, stockholders approved the ESPP. The ESPP provides a means by which eligible employees and/or eligible service providers of either the Corporation or designated related corporations and affiliates may be given an opportunity to purchase shares of Class A common stock at a 15.0% discount from the fair market value of the common stock as determined on a specific date at six-month intervals. Subject to adjustments provided in the ESPP, the maximum number of shares of common stock that may be purchased under the ESPP is 2,785,582 shares, and the maximum number of shares that may be purchased on any single purchase date by any one participant is 5,000 shares. As of September 30, 2021, 2,785,582 shares of Class A common stock were available for issuance under the ESPP.</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first day of each fiscal year, beginning with the 2022 fiscal year and ending on (and including) the first day of the 2030 fiscal year, the calculation of the maximum number of ESPP shares shall include automatic increases in an amount equal to the lesser of (i) 1.0% of the total number of shares of Class A common stock outstanding on the last day of the calendar month prior to the date of such automatic increase, and (ii) such number of shares of Class A common stock as determined by the administrator of the ESPP; provided that the maximum number of shares of Class A common stock reserved under the ESPP shall not exceed 10.0% of the total outstanding capital stock of the Corporation (inclusive of the shares reserved under the ESPP) as of January 7, 2021, on an as-converted basis.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initial offering period for the ESPP is five months, commencing on September 1, 2021, and ending on January 31, 2022. As of the date of this report, no shares of the Corporation’s common stock have been purchased or distributed pursuant to the ESPP.</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that the Corporation used in the Black-Scholes option-pricing model to determine the fair value of the purchase rights under the ESPP for the nine months ended September 30, 2021, were as follows: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4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0.06 %</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454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147.42 %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and December 2017, the Corporation issued warrants to purchase 139,629 shares of the Corporation's common stock at an exercise price of $2.61 per share, and 122,052 shares of the Corporation's common stock at an exercise price of $3.45 per share, respectively, as part of payment to certain providers for services provided to the Corporation. These warrants were automatically exercised in connection with the Business Combination. See Note 3 (Business Combination) for additional information.</w:t>
      </w:r>
    </w:p>
    <w:p>
      <w:pPr>
        <w:sectPr>
          <w:pgSz w:w="11900" w:h="16838" w:orient="portrait"/>
          <w:cols w:equalWidth="0" w:num="1">
            <w:col w:w="11240"/>
          </w:cols>
          <w:pgMar w:left="320" w:top="773"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color w:val="auto"/>
        </w:rPr>
        <w:t>The total fair value of warrants vested during the nine months ended September 30, 2021 and 2020, was $0.0 million and $4.0 million, respectively.</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activity relating to the warrants of the service providers during the nine months ended September 30, 2021 and 2020, respectively,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3"/>
              </w:rPr>
              <w:t>warrants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Granted during 2020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September 30,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Outstanding, December 31, 2020</w:t>
            </w:r>
          </w:p>
        </w:tc>
        <w:tc>
          <w:tcPr>
            <w:tcW w:w="1260" w:type="dxa"/>
            <w:vAlign w:val="bottom"/>
          </w:tcPr>
          <w:p>
            <w:pPr>
              <w:jc w:val="right"/>
              <w:spacing w:after="0"/>
              <w:rPr>
                <w:sz w:val="20"/>
                <w:szCs w:val="20"/>
                <w:color w:val="auto"/>
              </w:rPr>
            </w:pPr>
            <w:r>
              <w:rPr>
                <w:rFonts w:ascii="Arial" w:cs="Arial" w:eastAsia="Arial" w:hAnsi="Arial"/>
                <w:sz w:val="18"/>
                <w:szCs w:val="18"/>
                <w:color w:val="auto"/>
              </w:rPr>
              <w:t>261,681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during 2021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(261,681)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40" w:type="dxa"/>
            <w:vAlign w:val="bottom"/>
          </w:tcPr>
          <w:p>
            <w:pPr>
              <w:ind w:left="140"/>
              <w:spacing w:after="0"/>
              <w:rPr>
                <w:sz w:val="20"/>
                <w:szCs w:val="20"/>
                <w:color w:val="auto"/>
              </w:rPr>
            </w:pPr>
            <w:r>
              <w:rPr>
                <w:rFonts w:ascii="Arial" w:cs="Arial" w:eastAsia="Arial" w:hAnsi="Arial"/>
                <w:sz w:val="18"/>
                <w:szCs w:val="18"/>
                <w:color w:val="auto"/>
              </w:rPr>
              <w:t>Outstanding, September 30,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-934085</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effective tax rate of the Corporation for the three months ended September 30, 2021 and 2020, was (0.0%) and (0.0%), respectively. The consolidated effective tax rate of the Corporation for the nine months ended September 30, 2021 and 2020, was (0.0%) and (0.0%), respectively. The Corporation continues to be in a net operating loss and net deferred tax asset position. As a result, and in accordance with accounting standards, the Corporation recorded a valuation allowance to reduce the value of the net deferred tax assets to zero. The Corporation believes that as of September 30, 2021, it had no material uncertain tax positions. Interest and penalties related to unrecognized tax expense (benefits) are recognized in income tax expense, when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liabilities for interest and penalties accrued as of September 30, 2021, and December 31, 2020.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the U.S. to provide certain relief in connection with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The Corporation has determined that neither the CARES Act and Consolidated Appropriations Act nor changes to income tax laws or regulations in other jurisdictions had a significant impact on the Corporation’s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17. Net (Loss) Income Per Share</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b w:val="1"/>
                <w:bCs w:val="1"/>
                <w:i w:val="1"/>
                <w:iCs w:val="1"/>
                <w:color w:val="auto"/>
              </w:rPr>
              <w:t>Net (Loss) Income Per Share</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color w:val="auto"/>
                <w:w w:val="96"/>
              </w:rPr>
              <w:t>Basic and diluted net (loss) income per share attributable to common stockholders was calculated as follows: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380" w:type="dxa"/>
            <w:vAlign w:val="bottom"/>
          </w:tcPr>
          <w:p>
            <w:pPr>
              <w:spacing w:after="0"/>
              <w:rPr>
                <w:sz w:val="24"/>
                <w:szCs w:val="24"/>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Three Months Ended September 30,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9"/>
        </w:trPr>
        <w:tc>
          <w:tcPr>
            <w:tcW w:w="8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jc w:val="right"/>
              <w:ind w:right="290"/>
              <w:spacing w:after="0"/>
              <w:rPr>
                <w:sz w:val="20"/>
                <w:szCs w:val="20"/>
                <w:color w:val="auto"/>
              </w:rPr>
            </w:pPr>
            <w:r>
              <w:rPr>
                <w:rFonts w:ascii="Arial" w:cs="Arial" w:eastAsia="Arial" w:hAnsi="Arial"/>
                <w:sz w:val="14"/>
                <w:szCs w:val="14"/>
                <w:color w:val="auto"/>
                <w:w w:val="94"/>
              </w:rPr>
              <w:t>(in thousands, except per share data)</w:t>
            </w:r>
          </w:p>
        </w:tc>
        <w:tc>
          <w:tcPr>
            <w:tcW w:w="0" w:type="dxa"/>
            <w:vAlign w:val="bottom"/>
          </w:tcPr>
          <w:p>
            <w:pPr>
              <w:spacing w:after="0"/>
              <w:rPr>
                <w:sz w:val="1"/>
                <w:szCs w:val="1"/>
                <w:color w:val="auto"/>
              </w:rPr>
            </w:pPr>
          </w:p>
        </w:tc>
      </w:tr>
      <w:tr>
        <w:trPr>
          <w:trHeight w:val="23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weighted average number of common shares and common share equivalents outstanding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414,572,706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88,863,244</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 xml:space="preserve">Diluted weighted average number of common shares and common share equivalents outstanding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414,572,706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248,133,335</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share attributable to common stockholders—basic</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share attributable to common stockholders—diluted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80" w:type="dxa"/>
            <w:vAlign w:val="bottom"/>
            <w:vMerge w:val="continue"/>
          </w:tcPr>
          <w:p>
            <w:pPr>
              <w:spacing w:after="0"/>
              <w:rPr>
                <w:sz w:val="17"/>
                <w:szCs w:val="17"/>
                <w:color w:val="auto"/>
              </w:rPr>
            </w:pPr>
          </w:p>
        </w:tc>
        <w:tc>
          <w:tcPr>
            <w:tcW w:w="2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 w:lineRule="exact"/>
        <w:rPr>
          <w:sz w:val="20"/>
          <w:szCs w:val="20"/>
          <w:color w:val="auto"/>
        </w:rPr>
      </w:pPr>
    </w:p>
    <w:p>
      <w:pPr>
        <w:ind w:left="20" w:right="80"/>
        <w:spacing w:after="0" w:line="258" w:lineRule="auto"/>
        <w:rPr>
          <w:sz w:val="20"/>
          <w:szCs w:val="20"/>
          <w:color w:val="auto"/>
        </w:rPr>
      </w:pPr>
      <w:r>
        <w:rPr>
          <w:rFonts w:ascii="Arial" w:cs="Arial" w:eastAsia="Arial" w:hAnsi="Arial"/>
          <w:sz w:val="18"/>
          <w:szCs w:val="18"/>
          <w:color w:val="auto"/>
        </w:rPr>
        <w:t>Basic and diluted weighted average number of common shares and common share equivalents outstanding</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Net loss per share attributable to common stockholders—basic and diluted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Nine Months Ended September</w:t>
      </w:r>
    </w:p>
    <w:p>
      <w:pPr>
        <w:jc w:val="center"/>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459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460"/>
        <w:spacing w:after="0"/>
        <w:tabs>
          <w:tab w:leader="none" w:pos="17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459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thousands, except per 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(400,555)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(10,001)</w:t>
            </w:r>
          </w:p>
        </w:tc>
      </w:tr>
      <w:tr>
        <w:trPr>
          <w:trHeight w:val="230"/>
        </w:trPr>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(400,555)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(10,001)</w:t>
            </w:r>
          </w:p>
        </w:tc>
      </w:tr>
      <w:tr>
        <w:trPr>
          <w:trHeight w:val="270"/>
        </w:trPr>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410,417,493</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88,616,116</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ectPr>
          <w:pgSz w:w="11900" w:h="16838" w:orient="portrait"/>
          <w:cols w:equalWidth="0" w:num="2">
            <w:col w:w="7920" w:space="720"/>
            <w:col w:w="2600"/>
          </w:cols>
          <w:pgMar w:left="320" w:top="1228" w:right="339" w:bottom="1440" w:gutter="0" w:footer="0" w:header="0"/>
          <w:type w:val="continuous"/>
        </w:sectPr>
      </w:pPr>
    </w:p>
    <w:p>
      <w:pPr>
        <w:ind w:left="180" w:right="20" w:hanging="172"/>
        <w:spacing w:after="0" w:line="273" w:lineRule="auto"/>
        <w:tabs>
          <w:tab w:leader="none" w:pos="150" w:val="left"/>
        </w:tabs>
        <w:numPr>
          <w:ilvl w:val="0"/>
          <w:numId w:val="19"/>
        </w:numPr>
        <w:rPr>
          <w:rFonts w:ascii="Arial" w:cs="Arial" w:eastAsia="Arial" w:hAnsi="Arial"/>
          <w:sz w:val="9"/>
          <w:szCs w:val="9"/>
          <w:color w:val="auto"/>
        </w:rPr>
      </w:pPr>
      <w:r>
        <w:rPr>
          <w:rFonts w:ascii="Arial" w:cs="Arial" w:eastAsia="Arial" w:hAnsi="Arial"/>
          <w:sz w:val="14"/>
          <w:szCs w:val="14"/>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Because the Corporation had a net loss during the three and nine months ended September 30, 2021, and a net loss during the nine months ended September 30,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Corporation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Three Months Ended September 30,</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840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 xml:space="preserve">Options to purchase common stock </w:t>
            </w:r>
            <w:r>
              <w:rPr>
                <w:rFonts w:ascii="Arial" w:cs="Arial" w:eastAsia="Arial" w:hAnsi="Arial"/>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33,477,833</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5,183,834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RSUs</w:t>
            </w:r>
          </w:p>
        </w:tc>
        <w:tc>
          <w:tcPr>
            <w:tcW w:w="1380" w:type="dxa"/>
            <w:vAlign w:val="bottom"/>
          </w:tcPr>
          <w:p>
            <w:pPr>
              <w:jc w:val="right"/>
              <w:spacing w:after="0"/>
              <w:rPr>
                <w:sz w:val="20"/>
                <w:szCs w:val="20"/>
                <w:color w:val="auto"/>
              </w:rPr>
            </w:pPr>
            <w:r>
              <w:rPr>
                <w:rFonts w:ascii="Arial" w:cs="Arial" w:eastAsia="Arial" w:hAnsi="Arial"/>
                <w:sz w:val="18"/>
                <w:szCs w:val="18"/>
                <w:color w:val="auto"/>
              </w:rPr>
              <w:t>21,106,720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Warrants to purchase common stock (as converted to common stock) </w:t>
            </w:r>
            <w:r>
              <w:rPr>
                <w:rFonts w:ascii="Arial" w:cs="Arial" w:eastAsia="Arial" w:hAnsi="Arial"/>
                <w:sz w:val="23"/>
                <w:szCs w:val="23"/>
                <w:color w:val="auto"/>
                <w:vertAlign w:val="superscript"/>
              </w:rPr>
              <w:t>(1)</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4,342,956</w:t>
            </w:r>
          </w:p>
        </w:tc>
        <w:tc>
          <w:tcPr>
            <w:tcW w:w="0" w:type="dxa"/>
            <w:vAlign w:val="bottom"/>
          </w:tcPr>
          <w:p>
            <w:pPr>
              <w:spacing w:after="0"/>
              <w:rPr>
                <w:sz w:val="1"/>
                <w:szCs w:val="1"/>
                <w:color w:val="auto"/>
              </w:rPr>
            </w:pPr>
          </w:p>
        </w:tc>
      </w:tr>
      <w:tr>
        <w:trPr>
          <w:trHeight w:val="270"/>
        </w:trPr>
        <w:tc>
          <w:tcPr>
            <w:tcW w:w="8400" w:type="dxa"/>
            <w:vAlign w:val="bottom"/>
          </w:tcPr>
          <w:p>
            <w:pPr>
              <w:ind w:left="20"/>
              <w:spacing w:after="0"/>
              <w:rPr>
                <w:sz w:val="20"/>
                <w:szCs w:val="20"/>
                <w:color w:val="auto"/>
              </w:rPr>
            </w:pPr>
            <w:r>
              <w:rPr>
                <w:rFonts w:ascii="Arial" w:cs="Arial" w:eastAsia="Arial" w:hAnsi="Arial"/>
                <w:sz w:val="18"/>
                <w:szCs w:val="18"/>
                <w:color w:val="auto"/>
              </w:rPr>
              <w:t xml:space="preserve">Warrants to purchase convertible preferred stock (as converted to common stock) </w:t>
            </w:r>
            <w:r>
              <w:rPr>
                <w:rFonts w:ascii="Arial" w:cs="Arial" w:eastAsia="Arial" w:hAnsi="Arial"/>
                <w:sz w:val="23"/>
                <w:szCs w:val="23"/>
                <w:color w:val="auto"/>
                <w:vertAlign w:val="superscript"/>
              </w:rPr>
              <w:t>(1)</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2,618,770</w:t>
            </w:r>
          </w:p>
        </w:tc>
        <w:tc>
          <w:tcPr>
            <w:tcW w:w="0" w:type="dxa"/>
            <w:vAlign w:val="bottom"/>
          </w:tcPr>
          <w:p>
            <w:pPr>
              <w:spacing w:after="0"/>
              <w:rPr>
                <w:sz w:val="1"/>
                <w:szCs w:val="1"/>
                <w:color w:val="auto"/>
              </w:rPr>
            </w:pPr>
          </w:p>
        </w:tc>
      </w:tr>
      <w:tr>
        <w:trPr>
          <w:trHeight w:val="248"/>
        </w:trPr>
        <w:tc>
          <w:tcPr>
            <w:tcW w:w="8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anti-dilutive shares excluded from computation of earnings per share</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54,584,553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12,145,560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28</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8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-582295</wp:posOffset>
            </wp:positionV>
            <wp:extent cx="514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-745490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-1405255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33" w:name="page34"/>
    <w:bookmarkEnd w:id="33"/>
    <w:p>
      <w:pPr>
        <w:jc w:val="center"/>
        <w:ind w:left="8620"/>
        <w:spacing w:after="0"/>
        <w:rPr>
          <w:sz w:val="20"/>
          <w:szCs w:val="20"/>
          <w:color w:val="auto"/>
        </w:rPr>
      </w:pPr>
      <w:r>
        <w:rPr>
          <w:rFonts w:ascii="Arial" w:cs="Arial" w:eastAsia="Arial" w:hAnsi="Arial"/>
          <w:sz w:val="17"/>
          <w:szCs w:val="17"/>
          <w:b w:val="1"/>
          <w:bCs w:val="1"/>
          <w:color w:val="auto"/>
        </w:rPr>
        <w:t>Nine Months Ended September</w:t>
      </w:r>
    </w:p>
    <w:p>
      <w:pPr>
        <w:jc w:val="center"/>
        <w:ind w:left="8620"/>
        <w:spacing w:after="0"/>
        <w:rPr>
          <w:sz w:val="20"/>
          <w:szCs w:val="20"/>
          <w:color w:val="auto"/>
        </w:rPr>
      </w:pPr>
      <w:r>
        <w:rPr>
          <w:rFonts w:ascii="Arial" w:cs="Arial" w:eastAsia="Arial" w:hAnsi="Arial"/>
          <w:sz w:val="18"/>
          <w:szCs w:val="18"/>
          <w:b w:val="1"/>
          <w:bCs w:val="1"/>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50"/>
        </w:trPr>
        <w:tc>
          <w:tcPr>
            <w:tcW w:w="86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 xml:space="preserve">Options to purchase common stock </w:t>
            </w:r>
            <w:r>
              <w:rPr>
                <w:rFonts w:ascii="Arial" w:cs="Arial" w:eastAsia="Arial" w:hAnsi="Arial"/>
                <w:sz w:val="23"/>
                <w:szCs w:val="23"/>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33,477,833</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37,296,034</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1260" w:type="dxa"/>
            <w:vAlign w:val="bottom"/>
          </w:tcPr>
          <w:p>
            <w:pPr>
              <w:jc w:val="right"/>
              <w:spacing w:after="0"/>
              <w:rPr>
                <w:sz w:val="20"/>
                <w:szCs w:val="20"/>
                <w:color w:val="auto"/>
              </w:rPr>
            </w:pPr>
            <w:r>
              <w:rPr>
                <w:rFonts w:ascii="Arial" w:cs="Arial" w:eastAsia="Arial" w:hAnsi="Arial"/>
                <w:sz w:val="18"/>
                <w:szCs w:val="18"/>
                <w:color w:val="auto"/>
              </w:rPr>
              <w:t>21,106,720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Convertible preferred stock (as converted to common stock) </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139,444,346</w:t>
            </w:r>
          </w:p>
        </w:tc>
      </w:tr>
      <w:tr>
        <w:trPr>
          <w:trHeight w:val="270"/>
        </w:trPr>
        <w:tc>
          <w:tcPr>
            <w:tcW w:w="8640" w:type="dxa"/>
            <w:vAlign w:val="bottom"/>
          </w:tcPr>
          <w:p>
            <w:pPr>
              <w:ind w:left="20"/>
              <w:spacing w:after="0"/>
              <w:rPr>
                <w:sz w:val="20"/>
                <w:szCs w:val="20"/>
                <w:color w:val="auto"/>
              </w:rPr>
            </w:pPr>
            <w:r>
              <w:rPr>
                <w:rFonts w:ascii="Arial" w:cs="Arial" w:eastAsia="Arial" w:hAnsi="Arial"/>
                <w:sz w:val="18"/>
                <w:szCs w:val="18"/>
                <w:color w:val="auto"/>
              </w:rPr>
              <w:t xml:space="preserve">Warrants to purchase common stock (as converted to common stock) </w:t>
            </w:r>
            <w:r>
              <w:rPr>
                <w:rFonts w:ascii="Arial" w:cs="Arial" w:eastAsia="Arial" w:hAnsi="Arial"/>
                <w:sz w:val="23"/>
                <w:szCs w:val="23"/>
                <w:color w:val="auto"/>
                <w:vertAlign w:val="superscript"/>
              </w:rPr>
              <w:t>(1)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4,884,132</w:t>
            </w:r>
          </w:p>
        </w:tc>
      </w:tr>
      <w:tr>
        <w:trPr>
          <w:trHeight w:val="27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Warrants to purchase convertible preferred stock (as converted to common stock) </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2,618,770</w:t>
            </w:r>
          </w:p>
        </w:tc>
      </w:tr>
      <w:tr>
        <w:trPr>
          <w:trHeight w:val="223"/>
        </w:trPr>
        <w:tc>
          <w:tcPr>
            <w:tcW w:w="8640" w:type="dxa"/>
            <w:vAlign w:val="bottom"/>
          </w:tcPr>
          <w:p>
            <w:pPr>
              <w:ind w:left="140"/>
              <w:spacing w:after="0"/>
              <w:rPr>
                <w:sz w:val="20"/>
                <w:szCs w:val="20"/>
                <w:color w:val="auto"/>
              </w:rPr>
            </w:pPr>
            <w:r>
              <w:rPr>
                <w:rFonts w:ascii="Arial" w:cs="Arial" w:eastAsia="Arial" w:hAnsi="Arial"/>
                <w:sz w:val="18"/>
                <w:szCs w:val="18"/>
                <w:color w:val="auto"/>
              </w:rPr>
              <w:t>Total anti-dilutive shares excluded from computation of earnings per share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54,584,553</w:t>
            </w:r>
          </w:p>
        </w:tc>
        <w:tc>
          <w:tcPr>
            <w:tcW w:w="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184,243,282</w:t>
            </w:r>
          </w:p>
        </w:tc>
      </w:tr>
      <w:tr>
        <w:trPr>
          <w:trHeight w:val="20"/>
        </w:trPr>
        <w:tc>
          <w:tcPr>
            <w:tcW w:w="8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-1019175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ind w:left="180" w:right="20" w:hanging="172"/>
        <w:spacing w:after="0" w:line="217" w:lineRule="auto"/>
        <w:tabs>
          <w:tab w:leader="none" w:pos="169"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Actions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September 30, 2021, and December 31, 2020, respectively, there were no material known contingent liabilities arising outside the normal course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Actions and Derivative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2021, the Corporation and certain of its directors and officers were named as defendants in putative class actions filed in the United States District Court for the Middle District of Tennessee: </w:t>
      </w:r>
      <w:r>
        <w:rPr>
          <w:rFonts w:ascii="Arial" w:cs="Arial" w:eastAsia="Arial" w:hAnsi="Arial"/>
          <w:sz w:val="18"/>
          <w:szCs w:val="18"/>
          <w:i w:val="1"/>
          <w:iCs w:val="1"/>
          <w:color w:val="auto"/>
        </w:rPr>
        <w:t>Bond v. Clover Health Investments, Corp. et al.</w:t>
      </w:r>
      <w:r>
        <w:rPr>
          <w:rFonts w:ascii="Arial" w:cs="Arial" w:eastAsia="Arial" w:hAnsi="Arial"/>
          <w:sz w:val="18"/>
          <w:szCs w:val="18"/>
          <w:color w:val="auto"/>
        </w:rPr>
        <w:t xml:space="preserve">, Case No. 3:21-cv-00096 (M.D. Tenn.); </w:t>
      </w:r>
      <w:r>
        <w:rPr>
          <w:rFonts w:ascii="Arial" w:cs="Arial" w:eastAsia="Arial" w:hAnsi="Arial"/>
          <w:sz w:val="18"/>
          <w:szCs w:val="18"/>
          <w:i w:val="1"/>
          <w:iCs w:val="1"/>
          <w:color w:val="auto"/>
        </w:rPr>
        <w:t>Kaul v. Clover</w:t>
      </w:r>
      <w:r>
        <w:rPr>
          <w:rFonts w:ascii="Arial" w:cs="Arial" w:eastAsia="Arial" w:hAnsi="Arial"/>
          <w:sz w:val="18"/>
          <w:szCs w:val="18"/>
          <w:color w:val="auto"/>
        </w:rPr>
        <w:t xml:space="preserve"> </w:t>
      </w:r>
      <w:r>
        <w:rPr>
          <w:rFonts w:ascii="Arial" w:cs="Arial" w:eastAsia="Arial" w:hAnsi="Arial"/>
          <w:sz w:val="18"/>
          <w:szCs w:val="18"/>
          <w:i w:val="1"/>
          <w:iCs w:val="1"/>
          <w:color w:val="auto"/>
        </w:rPr>
        <w:t>Health Investments, Corp., et al.</w:t>
      </w:r>
      <w:r>
        <w:rPr>
          <w:rFonts w:ascii="Arial" w:cs="Arial" w:eastAsia="Arial" w:hAnsi="Arial"/>
          <w:sz w:val="18"/>
          <w:szCs w:val="18"/>
          <w:color w:val="auto"/>
        </w:rPr>
        <w:t>, Case No. 3:21-cv-00101 (M.D. Tenn.);</w:t>
      </w:r>
      <w:r>
        <w:rPr>
          <w:rFonts w:ascii="Arial" w:cs="Arial" w:eastAsia="Arial" w:hAnsi="Arial"/>
          <w:sz w:val="18"/>
          <w:szCs w:val="18"/>
          <w:i w:val="1"/>
          <w:iCs w:val="1"/>
          <w:color w:val="auto"/>
        </w:rPr>
        <w:t xml:space="preserve"> Yaniv v. Clover Health Investments, Corp., et al.</w:t>
      </w:r>
      <w:r>
        <w:rPr>
          <w:rFonts w:ascii="Arial" w:cs="Arial" w:eastAsia="Arial" w:hAnsi="Arial"/>
          <w:sz w:val="18"/>
          <w:szCs w:val="18"/>
          <w:color w:val="auto"/>
        </w:rPr>
        <w:t>, Case No. 3:21-cv-00109 (M.D.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Tenn.); and </w:t>
      </w:r>
      <w:r>
        <w:rPr>
          <w:rFonts w:ascii="Arial" w:cs="Arial" w:eastAsia="Arial" w:hAnsi="Arial"/>
          <w:sz w:val="18"/>
          <w:szCs w:val="18"/>
          <w:i w:val="1"/>
          <w:iCs w:val="1"/>
          <w:color w:val="auto"/>
        </w:rPr>
        <w:t>Tremblay v. Clover Health Investments, Corp., et al.</w:t>
      </w:r>
      <w:r>
        <w:rPr>
          <w:rFonts w:ascii="Arial" w:cs="Arial" w:eastAsia="Arial" w:hAnsi="Arial"/>
          <w:sz w:val="18"/>
          <w:szCs w:val="18"/>
          <w:color w:val="auto"/>
        </w:rPr>
        <w:t xml:space="preserve">, Case No. 3:21-cv-00138 (M.D. Tenn.). The complaints asserted violations of sections 10(b) and 20(a) of the Exchange Act and Rule 10b-5 promulgated under the Exchange Act. The </w:t>
      </w:r>
      <w:r>
        <w:rPr>
          <w:rFonts w:ascii="Arial" w:cs="Arial" w:eastAsia="Arial" w:hAnsi="Arial"/>
          <w:sz w:val="18"/>
          <w:szCs w:val="18"/>
          <w:i w:val="1"/>
          <w:iCs w:val="1"/>
          <w:color w:val="auto"/>
        </w:rPr>
        <w:t>Kaul</w:t>
      </w:r>
      <w:r>
        <w:rPr>
          <w:rFonts w:ascii="Arial" w:cs="Arial" w:eastAsia="Arial" w:hAnsi="Arial"/>
          <w:sz w:val="18"/>
          <w:szCs w:val="18"/>
          <w:color w:val="auto"/>
        </w:rPr>
        <w:t xml:space="preserve"> action asserted additional claims under sections 11 and 15 of the Securities Act.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complaints generally related to allegations published in an article issued on February 4, 2021, by Hindenburg Research LLC (the “Hindenburg Article”). The complaints sought unspecified damages on behalf of all persons and entities who purchased or acquired Clover securities during the proposed class period (which begins on October 6, 2020, and, depending on the complaint, ends on February 3, 2021, or February 4, 2021), as well as certain other costs.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April 2021, the Middle District of Tennessee class actions described above were consolidated under </w:t>
      </w:r>
      <w:r>
        <w:rPr>
          <w:rFonts w:ascii="Arial" w:cs="Arial" w:eastAsia="Arial" w:hAnsi="Arial"/>
          <w:sz w:val="17"/>
          <w:szCs w:val="17"/>
          <w:i w:val="1"/>
          <w:iCs w:val="1"/>
          <w:color w:val="auto"/>
        </w:rPr>
        <w:t>Bond v. Clover Health Investments, Corp., et al.</w:t>
      </w:r>
      <w:r>
        <w:rPr>
          <w:rFonts w:ascii="Arial" w:cs="Arial" w:eastAsia="Arial" w:hAnsi="Arial"/>
          <w:sz w:val="17"/>
          <w:szCs w:val="17"/>
          <w:color w:val="auto"/>
        </w:rPr>
        <w:t>, Case No. 3:21-cv-00096 (M.D. Tenn.) as lead case. The court appointed a lead plaintiff, approved a lead counsel and a liaison counsel, and approved the parties' proposed schedule for filing an amended complaint and the defendants' responses. In June 2021, the lead plaintiff and a named plaintiff filed the amended complaint, asserting violations of sections 10(b) and 20(a) of the Exchange Act and Rule 10b-5 promulgated under the Exchange Act. The amended complaint names Clover and certain of its officers and directors as defendants and removes certain defendants named in the initial complaints. The amended complaint generally relates to allegations published in the Hindenburg Article and seeks unspecified damages on behalf of all persons and entities other than the defendants who purchased or acquired Clover securities during the proposed class period (which begins on October 6, 2020, and ends on February 3, 2021), as well as certain other costs. The Corporation moved to dismiss the complaint on August 27, 2021, and briefing on that motion is ongoing under the court’s briefing schedule.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Parallel shareholder derivative actions have also been filed, naming Clover as a nominal defendant. The first action was filed in the United States District Court for the District of Delaware and is captioned </w:t>
      </w:r>
      <w:r>
        <w:rPr>
          <w:rFonts w:ascii="Arial" w:cs="Arial" w:eastAsia="Arial" w:hAnsi="Arial"/>
          <w:sz w:val="17"/>
          <w:szCs w:val="17"/>
          <w:i w:val="1"/>
          <w:iCs w:val="1"/>
          <w:color w:val="auto"/>
        </w:rPr>
        <w:t>Furman v. Garipalli, et al.</w:t>
      </w:r>
      <w:r>
        <w:rPr>
          <w:rFonts w:ascii="Arial" w:cs="Arial" w:eastAsia="Arial" w:hAnsi="Arial"/>
          <w:sz w:val="17"/>
          <w:szCs w:val="17"/>
          <w:color w:val="auto"/>
        </w:rPr>
        <w:t xml:space="preserve">, Case No. 1:21-cv-00191 (D. Del.). The complaint asserts violations of sections 10(b) and 21D of the Exchange Act, breach of fiduciary duty, and waste of corporate assets against certain of the Corporation’s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w:t>
      </w:r>
      <w:r>
        <w:rPr>
          <w:rFonts w:ascii="Arial" w:cs="Arial" w:eastAsia="Arial" w:hAnsi="Arial"/>
          <w:sz w:val="17"/>
          <w:szCs w:val="17"/>
          <w:i w:val="1"/>
          <w:iCs w:val="1"/>
          <w:color w:val="auto"/>
        </w:rPr>
        <w:t>Sun v. Garipalli, et al.</w:t>
      </w:r>
      <w:r>
        <w:rPr>
          <w:rFonts w:ascii="Arial" w:cs="Arial" w:eastAsia="Arial" w:hAnsi="Arial"/>
          <w:sz w:val="17"/>
          <w:szCs w:val="17"/>
          <w:color w:val="auto"/>
        </w:rPr>
        <w:t xml:space="preserve">, Case No. 3:21-cv-00311 (M.D. Tenn.), and </w:t>
      </w:r>
      <w:r>
        <w:rPr>
          <w:rFonts w:ascii="Arial" w:cs="Arial" w:eastAsia="Arial" w:hAnsi="Arial"/>
          <w:sz w:val="17"/>
          <w:szCs w:val="17"/>
          <w:i w:val="1"/>
          <w:iCs w:val="1"/>
          <w:color w:val="auto"/>
        </w:rPr>
        <w:t>Luthra v. Garipalli, et al.</w:t>
      </w:r>
      <w:r>
        <w:rPr>
          <w:rFonts w:ascii="Arial" w:cs="Arial" w:eastAsia="Arial" w:hAnsi="Arial"/>
          <w:sz w:val="17"/>
          <w:szCs w:val="17"/>
          <w:color w:val="auto"/>
        </w:rPr>
        <w:t>,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w:t>
      </w:r>
    </w:p>
    <w:p>
      <w:pPr>
        <w:sectPr>
          <w:pgSz w:w="11900" w:h="16838" w:orient="portrait"/>
          <w:cols w:equalWidth="0" w:num="1">
            <w:col w:w="11240"/>
          </w:cols>
          <w:pgMar w:left="320" w:top="1026"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defendants. They seek unspecified damages and an order requiring Clover to take certain actions to enhance Clover's corporate governance policies and procedures.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fourth action was filed in the United States District of Delaware and is captioned </w:t>
      </w:r>
      <w:r>
        <w:rPr>
          <w:rFonts w:ascii="Arial" w:cs="Arial" w:eastAsia="Arial" w:hAnsi="Arial"/>
          <w:sz w:val="17"/>
          <w:szCs w:val="17"/>
          <w:i w:val="1"/>
          <w:iCs w:val="1"/>
          <w:color w:val="auto"/>
        </w:rPr>
        <w:t>Wiegand v. Garipalli, et al.</w:t>
      </w:r>
      <w:r>
        <w:rPr>
          <w:rFonts w:ascii="Arial" w:cs="Arial" w:eastAsia="Arial" w:hAnsi="Arial"/>
          <w:sz w:val="17"/>
          <w:szCs w:val="17"/>
          <w:color w:val="auto"/>
        </w:rPr>
        <w:t xml:space="preserve">, Case No. 1:21-cv-01053 (D. Del.). The complaint asserts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w:t>
      </w:r>
      <w:r>
        <w:rPr>
          <w:rFonts w:ascii="Arial" w:cs="Arial" w:eastAsia="Arial" w:hAnsi="Arial"/>
          <w:sz w:val="17"/>
          <w:szCs w:val="17"/>
          <w:i w:val="1"/>
          <w:iCs w:val="1"/>
          <w:color w:val="auto"/>
        </w:rPr>
        <w:t>Sankaranarayanan v. Palihapitiya, et al.</w:t>
      </w:r>
      <w:r>
        <w:rPr>
          <w:rFonts w:ascii="Arial" w:cs="Arial" w:eastAsia="Arial" w:hAnsi="Arial"/>
          <w:sz w:val="17"/>
          <w:szCs w:val="17"/>
          <w:color w:val="auto"/>
        </w:rPr>
        <w:t>, Index No. 655420/2021 (N.Y. Sup. Ct.). The complaint asserts breach of fiduciary duty and unjust enrichment. The complaint names certain former officers and directors as defendants.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On May 10, 2021, the Middle District of Tennessee shareholder derivative actions described above were consolidated under </w:t>
      </w:r>
      <w:r>
        <w:rPr>
          <w:rFonts w:ascii="Arial" w:cs="Arial" w:eastAsia="Arial" w:hAnsi="Arial"/>
          <w:sz w:val="17"/>
          <w:szCs w:val="17"/>
          <w:i w:val="1"/>
          <w:iCs w:val="1"/>
          <w:color w:val="auto"/>
        </w:rPr>
        <w:t>Sun v. Garipalli, et al.</w:t>
      </w:r>
      <w:r>
        <w:rPr>
          <w:rFonts w:ascii="Arial" w:cs="Arial" w:eastAsia="Arial" w:hAnsi="Arial"/>
          <w:sz w:val="17"/>
          <w:szCs w:val="17"/>
          <w:color w:val="auto"/>
        </w:rPr>
        <w:t xml:space="preserve">, Case No. 3:21-cv-00311 (M.D. Tenn.) as lead case. The court designated co-lead counsel and liaison counsel and ordered the parties to submit a proposed schedule for the initial stage of the case. In June 2021, the parties in the </w:t>
      </w:r>
      <w:r>
        <w:rPr>
          <w:rFonts w:ascii="Arial" w:cs="Arial" w:eastAsia="Arial" w:hAnsi="Arial"/>
          <w:sz w:val="17"/>
          <w:szCs w:val="17"/>
          <w:i w:val="1"/>
          <w:iCs w:val="1"/>
          <w:color w:val="auto"/>
        </w:rPr>
        <w:t>Sun</w:t>
      </w:r>
      <w:r>
        <w:rPr>
          <w:rFonts w:ascii="Arial" w:cs="Arial" w:eastAsia="Arial" w:hAnsi="Arial"/>
          <w:sz w:val="17"/>
          <w:szCs w:val="17"/>
          <w:color w:val="auto"/>
        </w:rPr>
        <w:t xml:space="preserve"> and </w:t>
      </w:r>
      <w:r>
        <w:rPr>
          <w:rFonts w:ascii="Arial" w:cs="Arial" w:eastAsia="Arial" w:hAnsi="Arial"/>
          <w:sz w:val="17"/>
          <w:szCs w:val="17"/>
          <w:i w:val="1"/>
          <w:iCs w:val="1"/>
          <w:color w:val="auto"/>
        </w:rPr>
        <w:t>Furman</w:t>
      </w:r>
      <w:r>
        <w:rPr>
          <w:rFonts w:ascii="Arial" w:cs="Arial" w:eastAsia="Arial" w:hAnsi="Arial"/>
          <w:sz w:val="17"/>
          <w:szCs w:val="17"/>
          <w:color w:val="auto"/>
        </w:rPr>
        <w:t xml:space="preserve"> actions submitted joint stipulations and proposed orders to stay both actions. Soon thereafter, the courts in both actions approved the stipulations, thereby staying all proceedings and deadlines in the </w:t>
      </w:r>
      <w:r>
        <w:rPr>
          <w:rFonts w:ascii="Arial" w:cs="Arial" w:eastAsia="Arial" w:hAnsi="Arial"/>
          <w:sz w:val="17"/>
          <w:szCs w:val="17"/>
          <w:i w:val="1"/>
          <w:iCs w:val="1"/>
          <w:color w:val="auto"/>
        </w:rPr>
        <w:t>Sun</w:t>
      </w:r>
      <w:r>
        <w:rPr>
          <w:rFonts w:ascii="Arial" w:cs="Arial" w:eastAsia="Arial" w:hAnsi="Arial"/>
          <w:sz w:val="17"/>
          <w:szCs w:val="17"/>
          <w:color w:val="auto"/>
        </w:rPr>
        <w:t xml:space="preserve"> and </w:t>
      </w:r>
      <w:r>
        <w:rPr>
          <w:rFonts w:ascii="Arial" w:cs="Arial" w:eastAsia="Arial" w:hAnsi="Arial"/>
          <w:sz w:val="17"/>
          <w:szCs w:val="17"/>
          <w:i w:val="1"/>
          <w:iCs w:val="1"/>
          <w:color w:val="auto"/>
        </w:rPr>
        <w:t>Furman</w:t>
      </w:r>
      <w:r>
        <w:rPr>
          <w:rFonts w:ascii="Arial" w:cs="Arial" w:eastAsia="Arial" w:hAnsi="Arial"/>
          <w:sz w:val="17"/>
          <w:szCs w:val="17"/>
          <w:color w:val="auto"/>
        </w:rPr>
        <w:t xml:space="preserve"> actions pending a final decision on a motion to dismiss in the Middle District of Tennessee class actions consolidated under the </w:t>
      </w:r>
      <w:r>
        <w:rPr>
          <w:rFonts w:ascii="Arial" w:cs="Arial" w:eastAsia="Arial" w:hAnsi="Arial"/>
          <w:sz w:val="17"/>
          <w:szCs w:val="17"/>
          <w:i w:val="1"/>
          <w:iCs w:val="1"/>
          <w:color w:val="auto"/>
        </w:rPr>
        <w:t>Bond</w:t>
      </w:r>
      <w:r>
        <w:rPr>
          <w:rFonts w:ascii="Arial" w:cs="Arial" w:eastAsia="Arial" w:hAnsi="Arial"/>
          <w:sz w:val="17"/>
          <w:szCs w:val="17"/>
          <w:color w:val="auto"/>
        </w:rPr>
        <w:t xml:space="preserve"> action. On September 16, 2021, the two District of Delaware derivative actions were consolidated under In re Clover Health Investments, Corp. Derivative Litigation, Case No. 1:21-cv-00191-LPS (Consolidated). The </w:t>
      </w:r>
      <w:r>
        <w:rPr>
          <w:rFonts w:ascii="Arial" w:cs="Arial" w:eastAsia="Arial" w:hAnsi="Arial"/>
          <w:sz w:val="17"/>
          <w:szCs w:val="17"/>
          <w:i w:val="1"/>
          <w:iCs w:val="1"/>
          <w:color w:val="auto"/>
        </w:rPr>
        <w:t>Furman</w:t>
      </w:r>
      <w:r>
        <w:rPr>
          <w:rFonts w:ascii="Arial" w:cs="Arial" w:eastAsia="Arial" w:hAnsi="Arial"/>
          <w:sz w:val="17"/>
          <w:szCs w:val="17"/>
          <w:color w:val="auto"/>
        </w:rPr>
        <w:t xml:space="preserve"> complaint was deemed the operative complaint. All proceedings and deadlines in that matter are also stayed pending a final decision on a motion to dismiss in the </w:t>
      </w:r>
      <w:r>
        <w:rPr>
          <w:rFonts w:ascii="Arial" w:cs="Arial" w:eastAsia="Arial" w:hAnsi="Arial"/>
          <w:sz w:val="17"/>
          <w:szCs w:val="17"/>
          <w:i w:val="1"/>
          <w:iCs w:val="1"/>
          <w:color w:val="auto"/>
        </w:rPr>
        <w:t>Bond</w:t>
      </w:r>
      <w:r>
        <w:rPr>
          <w:rFonts w:ascii="Arial" w:cs="Arial" w:eastAsia="Arial" w:hAnsi="Arial"/>
          <w:sz w:val="17"/>
          <w:szCs w:val="17"/>
          <w:color w:val="auto"/>
        </w:rPr>
        <w:t xml:space="preserve"> Action.</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these cases remain in the preliminary stages. Given the inherent uncertainty of litigation and the legal standards that must be met, including class certification and success on the merits, the Corporation has determined that it is not probable or estimable that an unfavorable outcome or potential loss will occur. Clover intends to vigorously defend itself against the claims asserted against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Guaranty Assessments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Direct Contracting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2021, the Corporation began participating in the DC Model, which utilizes a structured model intended to reduce expenditures and preserve or enhance quality of care for beneficiaries in Medicare FFS. As a participating entity in the DC Model with a global risk arrangement, the Corporation assumes the responsibility of guaranteeing the performance of its care network. The DC Model is intended to reduce the administrative burden, support a focus on complex, chronically ill patients, and encourage physician organizations that have not typically participated in Medicare FFS to serve beneficiaries in Medicare FFS.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Key components of the financial agreement for Direct Contracting include:</w:t>
      </w:r>
    </w:p>
    <w:p>
      <w:pPr>
        <w:spacing w:after="0" w:line="235" w:lineRule="exact"/>
        <w:rPr>
          <w:sz w:val="20"/>
          <w:szCs w:val="20"/>
          <w:color w:val="auto"/>
        </w:rPr>
      </w:pPr>
    </w:p>
    <w:p>
      <w:pPr>
        <w:jc w:val="both"/>
        <w:ind w:left="660" w:hanging="328"/>
        <w:spacing w:after="0" w:line="22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Performance Year Benchmark </w:t>
      </w:r>
      <w:r>
        <w:rPr>
          <w:rFonts w:ascii="Arial" w:cs="Arial" w:eastAsia="Arial" w:hAnsi="Arial"/>
          <w:sz w:val="18"/>
          <w:szCs w:val="18"/>
          <w:color w:val="auto"/>
        </w:rPr>
        <w:t>The target amount for Medicare expenditures on covered items and services (Medicare Part A and B) furnished</w:t>
      </w:r>
      <w:r>
        <w:rPr>
          <w:rFonts w:ascii="Arial" w:cs="Arial" w:eastAsia="Arial" w:hAnsi="Arial"/>
          <w:sz w:val="18"/>
          <w:szCs w:val="18"/>
          <w:b w:val="1"/>
          <w:bCs w:val="1"/>
          <w:color w:val="auto"/>
        </w:rPr>
        <w:t xml:space="preserve"> </w:t>
      </w:r>
      <w:r>
        <w:rPr>
          <w:rFonts w:ascii="Arial" w:cs="Arial" w:eastAsia="Arial" w:hAnsi="Arial"/>
          <w:sz w:val="18"/>
          <w:szCs w:val="18"/>
          <w:color w:val="auto"/>
        </w:rPr>
        <w:t>to a DCE’s aligned beneficiaries during a performance year. The Performance Year Benchmark will be compared to the DCE’s performance year expenditures. This comparison will be used to calculate shared savings and shared losses. The Performance Year Benchmark is established at the beginning of the performance year utilizing prospective trend estimates and is subject to retrospective trend adjustments, if warranted, before the Financial Reconciliation.</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Performance Year </w:t>
      </w:r>
      <w:r>
        <w:rPr>
          <w:rFonts w:ascii="Arial" w:cs="Arial" w:eastAsia="Arial" w:hAnsi="Arial"/>
          <w:sz w:val="17"/>
          <w:szCs w:val="17"/>
          <w:color w:val="auto"/>
        </w:rPr>
        <w:t>A calendar year except for the commencement year, which began on April 1, 2021, and will end on December 31, 2021.</w:t>
      </w:r>
    </w:p>
    <w:p>
      <w:pPr>
        <w:spacing w:after="0" w:line="236"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Risk-Sharing Arrangements </w:t>
      </w:r>
      <w:r>
        <w:rPr>
          <w:rFonts w:ascii="Arial" w:cs="Arial" w:eastAsia="Arial" w:hAnsi="Arial"/>
          <w:sz w:val="18"/>
          <w:szCs w:val="18"/>
          <w:color w:val="auto"/>
        </w:rPr>
        <w:t>Used in determining the percent of savings and losses that DCEs are eligible to receive as shared savings or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repay as shared losses.</w:t>
      </w:r>
    </w:p>
    <w:p>
      <w:pPr>
        <w:spacing w:after="0" w:line="189" w:lineRule="exact"/>
        <w:rPr>
          <w:rFonts w:ascii="Arial" w:cs="Arial" w:eastAsia="Arial" w:hAnsi="Arial"/>
          <w:sz w:val="18"/>
          <w:szCs w:val="18"/>
          <w:b w:val="1"/>
          <w:bCs w:val="1"/>
          <w:color w:val="auto"/>
        </w:rPr>
      </w:pPr>
    </w:p>
    <w:p>
      <w:pPr>
        <w:jc w:val="both"/>
        <w:ind w:left="660" w:hanging="328"/>
        <w:spacing w:after="0" w:line="23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Financial Reconciliation </w:t>
      </w:r>
      <w:r>
        <w:rPr>
          <w:rFonts w:ascii="Arial" w:cs="Arial" w:eastAsia="Arial" w:hAnsi="Arial"/>
          <w:sz w:val="18"/>
          <w:szCs w:val="18"/>
          <w:color w:val="auto"/>
        </w:rPr>
        <w:t>The process by which CMS determines shared savings or shared losses by comparing the calculated total benchmark</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 for a given DCE’s aligned population to the actual expenditures of that DCE’s aligned beneficiaries over the course of a performance year that includes various risk-mitigation options such as stop-loss reinsurance and risk corridors.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jc w:val="both"/>
        <w:ind w:left="660" w:hanging="328"/>
        <w:spacing w:after="0" w:line="247"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Risk-Mitigation Options </w:t>
      </w:r>
      <w:r>
        <w:rPr>
          <w:rFonts w:ascii="Arial" w:cs="Arial" w:eastAsia="Arial" w:hAnsi="Arial"/>
          <w:sz w:val="17"/>
          <w:szCs w:val="17"/>
          <w:color w:val="auto"/>
        </w:rPr>
        <w:t>DCEs may elect a “stop-loss arrangement” each performance year, which is designed to reduce the financial uncertainty</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high-cost expenditures of individual beneficiaries. The Corporation has elected participation in the program for the current performance year. Additionally, CMS has created a mandatory risk corridor program that allocates the DCE’s shared savings and losses in bands of percentage thresholds, after a deviation of greater than 25.0% of the Performance Year Benchmark.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the Corporation’s arrangements with third-party providers require it to guarantee the performance of its care network to CMS, which if not obtained, could potentially result in payment to CMS during the financial reconciliation period. As a result of the DC agreement, the Corporation determined that there was a performance guarantee with the providers of DCE Beneficiaries that should be recognized in the financial statements. The Direct Contracting performance year obligation and receivable were initially measured as the target amount for Medicare expenditures on covered items and services. The obligation and receivable were subsequently amortized on a straight-line basis for the amount that represented the completed performance. The DCE is entitled to all of the consideration under the arrangement for all aligned beneficiaries and in the performance year in which the DCE is a participant, the final consideration due to the DCE by CMS (shared savings) or the consideration due to CMS by the DCE (shared loss) is reconciled in the subsequent years following the performance year. The shared savings or loss is measured periodically and will be applied to the Direct Contracting performance obligation if the Corporation is in a probable loss position. The Corporation is unable to estimate the maximum potential amount of future payments under the guarantee. This is attributable to the stop-loss arrangement and the corridors (tiered levels) in the arrangement. A certain percentage of these arrangements will still be the responsibility of the Corporation in addition to a number of variables that are not reasonable for the Corporation to estimate such as, but not limited to, risk ratings and benchmark trends that have an inestimable impact on the estimate of future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include the financial statement impacts of the performance guarantee: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b w:val="1"/>
                <w:bCs w:val="1"/>
                <w:color w:val="auto"/>
              </w:rPr>
              <w:t>September 30, 2021</w:t>
            </w:r>
          </w:p>
        </w:tc>
      </w:tr>
      <w:tr>
        <w:trPr>
          <w:trHeight w:val="179"/>
        </w:trPr>
        <w:tc>
          <w:tcPr>
            <w:tcW w:w="7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40" w:type="dxa"/>
            <w:vAlign w:val="bottom"/>
          </w:tcPr>
          <w:p>
            <w:pPr>
              <w:jc w:val="right"/>
              <w:ind w:right="1315"/>
              <w:spacing w:after="0"/>
              <w:rPr>
                <w:sz w:val="20"/>
                <w:szCs w:val="20"/>
                <w:color w:val="auto"/>
              </w:rPr>
            </w:pPr>
            <w:r>
              <w:rPr>
                <w:rFonts w:ascii="Arial" w:cs="Arial" w:eastAsia="Arial" w:hAnsi="Arial"/>
                <w:sz w:val="14"/>
                <w:szCs w:val="14"/>
                <w:color w:val="auto"/>
              </w:rPr>
              <w:t>(in thousands)</w:t>
            </w:r>
          </w:p>
        </w:tc>
      </w:tr>
      <w:tr>
        <w:trPr>
          <w:trHeight w:val="23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Contracting performance year receivable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220,738</w:t>
            </w:r>
          </w:p>
        </w:tc>
      </w:tr>
      <w:tr>
        <w:trPr>
          <w:trHeight w:val="227"/>
        </w:trPr>
        <w:tc>
          <w:tcPr>
            <w:tcW w:w="762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Direct Contracting performance year obligation </w:t>
            </w:r>
            <w:r>
              <w:rPr>
                <w:rFonts w:ascii="Arial" w:cs="Arial" w:eastAsia="Arial" w:hAnsi="Arial"/>
                <w:sz w:val="23"/>
                <w:szCs w:val="23"/>
                <w:color w:val="auto"/>
                <w:vertAlign w:val="superscript"/>
              </w:rPr>
              <w:t>(1)</w:t>
            </w:r>
          </w:p>
        </w:tc>
        <w:tc>
          <w:tcPr>
            <w:tcW w:w="58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244,599</w:t>
            </w:r>
          </w:p>
        </w:tc>
      </w:tr>
    </w:tbl>
    <w:p>
      <w:pPr>
        <w:ind w:left="180" w:hanging="154"/>
        <w:spacing w:after="0" w:line="207" w:lineRule="auto"/>
        <w:tabs>
          <w:tab w:leader="none" w:pos="18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This obligation represents the consideration due to providers, net of the shared savings or loss for the period and amortization of the liability.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jc w:val="center"/>
              <w:ind w:right="213"/>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193"/>
              <w:spacing w:after="0"/>
              <w:rPr>
                <w:sz w:val="20"/>
                <w:szCs w:val="20"/>
                <w:color w:val="auto"/>
              </w:rPr>
            </w:pPr>
            <w:r>
              <w:rPr>
                <w:rFonts w:ascii="Arial" w:cs="Arial" w:eastAsia="Arial" w:hAnsi="Arial"/>
                <w:sz w:val="18"/>
                <w:szCs w:val="18"/>
                <w:b w:val="1"/>
                <w:bCs w:val="1"/>
                <w:color w:val="auto"/>
                <w:w w:val="89"/>
              </w:rPr>
              <w:t>September 30, 2021</w:t>
            </w: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September 30, 2021</w:t>
            </w:r>
          </w:p>
        </w:tc>
      </w:tr>
      <w:tr>
        <w:trPr>
          <w:trHeight w:val="179"/>
        </w:trPr>
        <w:tc>
          <w:tcPr>
            <w:tcW w:w="6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Arial" w:cs="Arial" w:eastAsia="Arial" w:hAnsi="Arial"/>
                <w:sz w:val="14"/>
                <w:szCs w:val="14"/>
                <w:color w:val="auto"/>
              </w:rPr>
              <w:t>(in thousands)</w:t>
            </w:r>
          </w:p>
        </w:tc>
        <w:tc>
          <w:tcPr>
            <w:tcW w:w="1920" w:type="dxa"/>
            <w:vAlign w:val="bottom"/>
          </w:tcPr>
          <w:p>
            <w:pPr>
              <w:spacing w:after="0"/>
              <w:rPr>
                <w:sz w:val="15"/>
                <w:szCs w:val="15"/>
                <w:color w:val="auto"/>
              </w:rPr>
            </w:pPr>
          </w:p>
        </w:tc>
      </w:tr>
      <w:tr>
        <w:trPr>
          <w:trHeight w:val="23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the Direct Contracting performance year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center"/>
              <w:ind w:left="1113"/>
              <w:spacing w:after="0"/>
              <w:rPr>
                <w:sz w:val="20"/>
                <w:szCs w:val="20"/>
                <w:color w:val="auto"/>
              </w:rPr>
            </w:pPr>
            <w:r>
              <w:rPr>
                <w:rFonts w:ascii="Arial" w:cs="Arial" w:eastAsia="Arial" w:hAnsi="Arial"/>
                <w:sz w:val="18"/>
                <w:szCs w:val="18"/>
                <w:color w:val="auto"/>
                <w:w w:val="90"/>
              </w:rPr>
              <w:t>(223,309)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3"/>
              </w:rPr>
              <w:t>(441,476)</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Amortization of the Direct Contracting performance year obligation</w:t>
            </w:r>
          </w:p>
        </w:tc>
        <w:tc>
          <w:tcPr>
            <w:tcW w:w="200" w:type="dxa"/>
            <w:vAlign w:val="bottom"/>
          </w:tcPr>
          <w:p>
            <w:pPr>
              <w:spacing w:after="0"/>
              <w:rPr>
                <w:sz w:val="19"/>
                <w:szCs w:val="19"/>
                <w:color w:val="auto"/>
              </w:rPr>
            </w:pPr>
          </w:p>
        </w:tc>
        <w:tc>
          <w:tcPr>
            <w:tcW w:w="2140" w:type="dxa"/>
            <w:vAlign w:val="bottom"/>
          </w:tcPr>
          <w:p>
            <w:pPr>
              <w:jc w:val="center"/>
              <w:ind w:left="1133"/>
              <w:spacing w:after="0"/>
              <w:rPr>
                <w:sz w:val="20"/>
                <w:szCs w:val="20"/>
                <w:color w:val="auto"/>
              </w:rPr>
            </w:pPr>
            <w:r>
              <w:rPr>
                <w:rFonts w:ascii="Arial" w:cs="Arial" w:eastAsia="Arial" w:hAnsi="Arial"/>
                <w:sz w:val="18"/>
                <w:szCs w:val="18"/>
                <w:color w:val="auto"/>
                <w:w w:val="92"/>
              </w:rPr>
              <w:t>223,309</w:t>
            </w:r>
          </w:p>
        </w:tc>
        <w:tc>
          <w:tcPr>
            <w:tcW w:w="440" w:type="dxa"/>
            <w:vAlign w:val="bottom"/>
          </w:tcPr>
          <w:p>
            <w:pPr>
              <w:spacing w:after="0"/>
              <w:rPr>
                <w:sz w:val="19"/>
                <w:szCs w:val="19"/>
                <w:color w:val="auto"/>
              </w:rPr>
            </w:pPr>
          </w:p>
        </w:tc>
        <w:tc>
          <w:tcPr>
            <w:tcW w:w="1920" w:type="dxa"/>
            <w:vAlign w:val="bottom"/>
          </w:tcPr>
          <w:p>
            <w:pPr>
              <w:jc w:val="center"/>
              <w:ind w:left="1090"/>
              <w:spacing w:after="0"/>
              <w:rPr>
                <w:sz w:val="20"/>
                <w:szCs w:val="20"/>
                <w:color w:val="auto"/>
              </w:rPr>
            </w:pPr>
            <w:r>
              <w:rPr>
                <w:rFonts w:ascii="Arial" w:cs="Arial" w:eastAsia="Arial" w:hAnsi="Arial"/>
                <w:sz w:val="18"/>
                <w:szCs w:val="18"/>
                <w:color w:val="auto"/>
                <w:w w:val="89"/>
              </w:rPr>
              <w:t>441,476</w:t>
            </w:r>
          </w:p>
        </w:tc>
      </w:tr>
      <w:tr>
        <w:trPr>
          <w:trHeight w:val="108"/>
        </w:trPr>
        <w:tc>
          <w:tcPr>
            <w:tcW w:w="6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Direct Contracting revenue</w:t>
            </w:r>
          </w:p>
        </w:tc>
        <w:tc>
          <w:tcPr>
            <w:tcW w:w="200" w:type="dxa"/>
            <w:vAlign w:val="bottom"/>
          </w:tcPr>
          <w:p>
            <w:pPr>
              <w:spacing w:after="0"/>
              <w:rPr>
                <w:sz w:val="20"/>
                <w:szCs w:val="20"/>
                <w:color w:val="auto"/>
              </w:rPr>
            </w:pPr>
          </w:p>
        </w:tc>
        <w:tc>
          <w:tcPr>
            <w:tcW w:w="2140" w:type="dxa"/>
            <w:vAlign w:val="bottom"/>
          </w:tcPr>
          <w:p>
            <w:pPr>
              <w:jc w:val="center"/>
              <w:ind w:left="1133"/>
              <w:spacing w:after="0"/>
              <w:rPr>
                <w:sz w:val="20"/>
                <w:szCs w:val="20"/>
                <w:color w:val="auto"/>
              </w:rPr>
            </w:pPr>
            <w:r>
              <w:rPr>
                <w:rFonts w:ascii="Arial" w:cs="Arial" w:eastAsia="Arial" w:hAnsi="Arial"/>
                <w:sz w:val="18"/>
                <w:szCs w:val="18"/>
                <w:color w:val="auto"/>
                <w:w w:val="92"/>
              </w:rPr>
              <w:t>222,647</w:t>
            </w:r>
          </w:p>
        </w:tc>
        <w:tc>
          <w:tcPr>
            <w:tcW w:w="440" w:type="dxa"/>
            <w:vAlign w:val="bottom"/>
          </w:tcPr>
          <w:p>
            <w:pPr>
              <w:spacing w:after="0"/>
              <w:rPr>
                <w:sz w:val="20"/>
                <w:szCs w:val="20"/>
                <w:color w:val="auto"/>
              </w:rPr>
            </w:pPr>
          </w:p>
        </w:tc>
        <w:tc>
          <w:tcPr>
            <w:tcW w:w="1920" w:type="dxa"/>
            <w:vAlign w:val="bottom"/>
          </w:tcPr>
          <w:p>
            <w:pPr>
              <w:jc w:val="center"/>
              <w:ind w:left="1090"/>
              <w:spacing w:after="0"/>
              <w:rPr>
                <w:sz w:val="20"/>
                <w:szCs w:val="20"/>
                <w:color w:val="auto"/>
              </w:rPr>
            </w:pPr>
            <w:r>
              <w:rPr>
                <w:rFonts w:ascii="Arial" w:cs="Arial" w:eastAsia="Arial" w:hAnsi="Arial"/>
                <w:sz w:val="18"/>
                <w:szCs w:val="18"/>
                <w:color w:val="auto"/>
                <w:w w:val="89"/>
              </w:rPr>
              <w:t>439,020</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Operating Segments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Corporation manages operations based on two reportable segments: Medicare Advantage and Direct Contracting. The reportable segments are distinguished based on the healthcare delivery business model. Its Medicare Advantage segment is an insurance business model that focuses on leveraging the Clover Assistant at the point of care. Its Direct Contracting segment is similar to a cost management and care coordination model accounted for as a performance guarantee, where Clover is responsible for coordinating care, managing costs, and providing support to providers and their DCE Beneficiaries through the use of Clover Assistant. These segment groupings are consistent with information used by the Chief Executive Officer, the Corporation’s chief operating decision maker, to assess performance and allocate resources. There are certain revenues and expenses that are attributable to clinical services and corporate overhead; these amounts are reported separately from reportable segments in the tables presenting segment results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operations of the Corporation are organized into the following segments:</w:t>
      </w:r>
    </w:p>
    <w:p>
      <w:pPr>
        <w:spacing w:after="0" w:line="248" w:lineRule="exact"/>
        <w:rPr>
          <w:sz w:val="20"/>
          <w:szCs w:val="20"/>
          <w:color w:val="auto"/>
        </w:rPr>
      </w:pPr>
    </w:p>
    <w:p>
      <w:pPr>
        <w:ind w:left="660" w:hanging="328"/>
        <w:spacing w:after="0" w:line="28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Medicare Advantage Segment </w:t>
      </w:r>
      <w:r>
        <w:rPr>
          <w:rFonts w:ascii="Arial" w:cs="Arial" w:eastAsia="Arial" w:hAnsi="Arial"/>
          <w:sz w:val="18"/>
          <w:szCs w:val="18"/>
          <w:color w:val="auto"/>
        </w:rPr>
        <w:t>includes operations related to our MA plans, which generally provide access to a wide network of primary care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specialists, and hospitals.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6" w:name="page37"/>
    <w:bookmarkEnd w:id="36"/>
    <w:p>
      <w:pPr>
        <w:ind w:left="660" w:hanging="328"/>
        <w:spacing w:after="0" w:line="28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Direct Contracting Segment </w:t>
      </w:r>
      <w:r>
        <w:rPr>
          <w:rFonts w:ascii="Arial" w:cs="Arial" w:eastAsia="Arial" w:hAnsi="Arial"/>
          <w:sz w:val="18"/>
          <w:szCs w:val="18"/>
          <w:color w:val="auto"/>
        </w:rPr>
        <w:t>includes our operations relating to CMS’s DC Model, which provides options aimed at reducing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preserving or enhancing quality of care for beneficiaries.</w:t>
      </w:r>
    </w:p>
    <w:p>
      <w:pPr>
        <w:spacing w:after="0" w:line="188"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Corporate/Other </w:t>
      </w:r>
      <w:r>
        <w:rPr>
          <w:rFonts w:ascii="Arial" w:cs="Arial" w:eastAsia="Arial" w:hAnsi="Arial"/>
          <w:sz w:val="18"/>
          <w:szCs w:val="18"/>
          <w:color w:val="auto"/>
        </w:rPr>
        <w:t>includes other clinical services not included in Medicare Advantage and Direct Contracting and all other corporate overhead.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services is comprised of Clover Home Care and other clinical services that are offered to eligible beneficiaries.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Corporation’s results by operating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Medicare</w:t>
            </w:r>
          </w:p>
        </w:tc>
        <w:tc>
          <w:tcPr>
            <w:tcW w:w="16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Direct</w:t>
            </w: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Corporate/Other</w:t>
            </w:r>
          </w:p>
        </w:tc>
        <w:tc>
          <w:tcPr>
            <w:tcW w:w="140" w:type="dxa"/>
            <w:vAlign w:val="bottom"/>
          </w:tcPr>
          <w:p>
            <w:pPr>
              <w:spacing w:after="0"/>
              <w:rPr>
                <w:sz w:val="17"/>
                <w:szCs w:val="1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0"/>
        </w:trPr>
        <w:tc>
          <w:tcPr>
            <w:tcW w:w="3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Advantage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Contracting</w:t>
            </w:r>
          </w:p>
        </w:tc>
        <w:tc>
          <w:tcPr>
            <w:tcW w:w="1500" w:type="dxa"/>
            <w:vAlign w:val="bottom"/>
            <w:tcBorders>
              <w:bottom w:val="single" w:sz="8" w:color="auto"/>
            </w:tcBorders>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Premiums earned, net (Net of ceded premiums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203,657</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203,657</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Direct Contracting revenue</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222,647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222,647</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9,375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228,060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436,422</w:t>
            </w:r>
          </w:p>
        </w:tc>
        <w:tc>
          <w:tcPr>
            <w:tcW w:w="0" w:type="dxa"/>
            <w:vAlign w:val="bottom"/>
          </w:tcPr>
          <w:p>
            <w:pPr>
              <w:spacing w:after="0"/>
              <w:rPr>
                <w:sz w:val="1"/>
                <w:szCs w:val="1"/>
                <w:color w:val="auto"/>
              </w:rPr>
            </w:pP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Gross (loss)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32,089</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347,535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260,142</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887,089</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952,478</w:t>
            </w:r>
          </w:p>
        </w:tc>
        <w:tc>
          <w:tcPr>
            <w:tcW w:w="0" w:type="dxa"/>
            <w:vAlign w:val="bottom"/>
          </w:tcPr>
          <w:p>
            <w:pPr>
              <w:spacing w:after="0"/>
              <w:rPr>
                <w:sz w:val="1"/>
                <w:szCs w:val="1"/>
                <w:color w:val="auto"/>
              </w:rPr>
            </w:pPr>
          </w:p>
        </w:tc>
      </w:tr>
      <w:tr>
        <w:trPr>
          <w:trHeight w:val="358"/>
        </w:trPr>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Medicare</w:t>
            </w:r>
          </w:p>
        </w:tc>
        <w:tc>
          <w:tcPr>
            <w:tcW w:w="16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Direct</w:t>
            </w: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Corporate/Other</w:t>
            </w:r>
          </w:p>
        </w:tc>
        <w:tc>
          <w:tcPr>
            <w:tcW w:w="140" w:type="dxa"/>
            <w:vAlign w:val="bottom"/>
          </w:tcPr>
          <w:p>
            <w:pPr>
              <w:spacing w:after="0"/>
              <w:rPr>
                <w:sz w:val="24"/>
                <w:szCs w:val="2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9"/>
        </w:trPr>
        <w:tc>
          <w:tcPr>
            <w:tcW w:w="4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Advantage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Contracting</w:t>
            </w:r>
          </w:p>
        </w:tc>
        <w:tc>
          <w:tcPr>
            <w:tcW w:w="1500" w:type="dxa"/>
            <w:vAlign w:val="bottom"/>
            <w:tcBorders>
              <w:bottom w:val="single" w:sz="8" w:color="auto"/>
            </w:tcBorders>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Premiums earned, net (Net of ceded premiums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598,390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598,390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Direct Contracting revenue</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439,020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439,020</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1,109,375</w:t>
            </w:r>
          </w:p>
        </w:tc>
        <w:tc>
          <w:tcPr>
            <w:tcW w:w="0" w:type="dxa"/>
            <w:vAlign w:val="bottom"/>
          </w:tcPr>
          <w:p>
            <w:pPr>
              <w:spacing w:after="0"/>
              <w:rPr>
                <w:sz w:val="1"/>
                <w:szCs w:val="1"/>
                <w:color w:val="auto"/>
              </w:rPr>
            </w:pP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Gross (loss)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(30,952)</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94,847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(69,415)</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347,535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260,142</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887,089</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952,478</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reportable segments’ gross loss to the net loss included in the Condensed Consolidated Statements of Operations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for the three and nine months ended September 30, 2021,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8"/>
                <w:szCs w:val="18"/>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w w:val="92"/>
              </w:rPr>
              <w:t>Nine Months Ended</w:t>
            </w:r>
          </w:p>
        </w:tc>
      </w:tr>
      <w:tr>
        <w:trPr>
          <w:trHeight w:val="230"/>
        </w:trPr>
        <w:tc>
          <w:tcPr>
            <w:tcW w:w="6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2021</w:t>
            </w:r>
          </w:p>
        </w:tc>
        <w:tc>
          <w:tcPr>
            <w:tcW w:w="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1"/>
              </w:rPr>
              <w:t>September 30, 2021</w:t>
            </w:r>
          </w:p>
        </w:tc>
      </w:tr>
      <w:tr>
        <w:trPr>
          <w:trHeight w:val="179"/>
        </w:trPr>
        <w:tc>
          <w:tcPr>
            <w:tcW w:w="6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2000" w:type="dxa"/>
            <w:vAlign w:val="bottom"/>
          </w:tcPr>
          <w:p>
            <w:pPr>
              <w:spacing w:after="0"/>
              <w:rPr>
                <w:sz w:val="15"/>
                <w:szCs w:val="15"/>
                <w:color w:val="auto"/>
              </w:rPr>
            </w:pPr>
          </w:p>
        </w:tc>
      </w:tr>
      <w:tr>
        <w:trPr>
          <w:trHeight w:val="233"/>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(69,415)</w:t>
            </w:r>
          </w:p>
        </w:tc>
      </w:tr>
      <w:tr>
        <w:trPr>
          <w:trHeight w:val="257"/>
        </w:trPr>
        <w:tc>
          <w:tcPr>
            <w:tcW w:w="6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201,555</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45,749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129,983</w:t>
            </w:r>
          </w:p>
        </w:tc>
      </w:tr>
      <w:tr>
        <w:trPr>
          <w:trHeight w:val="23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Premium deficiency reserve (benefit)</w:t>
            </w: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48,661</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3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2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(115,152)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(66,146)</w:t>
            </w:r>
          </w:p>
        </w:tc>
      </w:tr>
      <w:tr>
        <w:trPr>
          <w:trHeight w:val="23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30"/>
        </w:trPr>
        <w:tc>
          <w:tcPr>
            <w:tcW w:w="6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r>
      <w:tr>
        <w:trPr>
          <w:trHeight w:val="248"/>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(400,555)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21. Dividend Restrictions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including obtaining prior approval by the New Jersey Department of Banking and Insurance. As of September 30, 2021, and December 31, 2020, neither of the regulated insurance subsidiaries had paid any dividends.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Condensed Consolidated Financial Statements and notes thereto for the three and nine months ended September 30, 2021, contained in this Quarterly Report on Form 10-Q (the "Form 10-Q") and the Consolidated Financial Statements and notes thereto for the year ended December 31, 2020, contained in Exhibit 99.5 of Amendment No. 1 to the Current Report on Form 8-K filed with the Securities and Exchange Commission (the "SEC") on April 1, 2021 (the "Form 8-K/A"). This discussion contains forward-looking statements and involves numerous risks and uncertainties, including, but not limited to, those described in the "Risk Factors" section of this document. Actual results may differ materially from those contained in any forward-looking statements. Unless the context otherwise requires, references in this "Management’s Discussion and Analysis of Financial Condition and Results of Operations” to "we," "us,” "our," "Clover," the “Company,” and the “Corporation" are intended to mean the business and operations of Clover Health Investments, Corp. and its consolidated subsidiaries subsequent to the closing of the Business Combination (as defined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We leverage our flagship software platform, the Clover Assistant, to help America’s seniors receive better care at lower costs. By empowering physicians with data-driven, personalized insights at the point of care through our software, we believe we can improve clinical decision making.</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operate Preferred Provider Organization (PPO) and Health Maintenance Organization (HMO) Medicare Advantage (MA) plans that are the obvious choice for Medicare-eligible consumers. We call our plans "Obvious" because we believe they are highly affordable—offering most of our MA members (the “members”) the lowest average out-of-pocket costs for primary care provider co-pays, specialist co-pays, drug deductibles and drug costs in their markets—and provide wide network access and the same cost-sharing (co-pays and deductibles) for primary care providers who are in- and out-of-network. We believe the use of the Clover Assistant and related data insights allow us to viably offer these “Obvious” plans at scale, through an asset-light approach.</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initially launched our MA offering in 2013, scaling to our first nine MA markets, or counties, by 2016 with approximately 15,000 members. As of September 30, 2021, we operated in 108 MA markets across eight states with 67,281 Medicare Advantage members. As of September 30, 2021, our PPO plans were licensed in 45 states and the District of Columbia and were not licensed in Michigan, New Hampshire, New York, North Carolina and Vermont, and our HMO was licensed in New Jersey and Texas.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1, 2021, our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Our DCE assumes full risk (i.e., 100.0% shared savings and shared losses) for the total cost of care of aligned Original Medicare beneficiaries (the “DCE Beneficiaries” and, collectively with the members, “Lives under Clover Management” or the “beneficiaries”). We operate our Direct Contracting (DC) operations through Health Partners, which focuses on our technology platform, the Clover Assistant, to enhance healthcare delivery, reduce expenditures, and improve care for DCE Beneficiaries. As of September 30, 2021, we had approximately 850 contracted participating providers who manage primary care for our DCE Beneficiaries. Additionally, as of September 30, 2021, we had approximately 865 preferred providers and preferred facilities in our DCE network. Our participation in the DC Model has enabled us to moved beyond the MA market and target the Medicare fee-for-service (FFS) market, which is the largest segment of Medicare. We believe that expanding into the FFS market is not only a strategic milestone for Clover but also demonstrates the scalability of the Clover Assistant. Additionally, on June 9, 2021, we announced our plans to scale our in-home primary care program, Clover Home Care, through our DC operations. Clover Home Care was designed to better identify and care for our most medically complex members, with a focus on health outcomes improvement and medical expense reduction rather than risk adjustment.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we were partnering with providers to care for 129,099 Lives under Clover Management, which included 67,281 Medicare Advantage members and 61,818 aligned DCE Beneficiaries. The number of Lives under Clover Management as of September 30, 2021, was nearly double the number of Lives under Clover Management as of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Expansion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making our MA plans available in an additional 101 counties and an additional state beginning in 2022. The expansion will make our MA plans available in a total of 209 counties across nine states. Together, these markets represent approximately 5.2 million available Medicare lives as of August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Redemption</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14, 2021, we issued a press release announcing the results of the completed redemption of all of our outstanding public warrants (the “Public Warrants”) and private placements warrants (the “Private Placement Warrants” and, together with the Public Warrants, the “Warrants”) to purchase shares of our common stock that were issued under the Warrant Agreement, dated as of April 21, 2020, by and between the Corporation (f/k/a Social Capital Hedosophia Holdings Corp. III) and Continental Stock Transfer &amp; Trust Company, as warrant agent. Prior to the redemption date, 33,932 Public Warrants were exercised for cash at an exercise price of $11.50 per share of common stock, and 26,716,041 were exercised on a cashless basis in exchange for an aggregate of 6,685,865 shares of Class A common stock, in each case in accordance with the terms of the Warrant Agreement, representing 96.9% of the Public Warrants. The remaining unexercised 849,965 Public Warrants were redeemed by the Corporation for $0.1 million. In addition, all of the Private Placement Warrants were exercised on a cashless basis in exchange for an aggregate of 2,722,399 shares of Class A common stock, in accordance with the terms of the Warrant Agreement. Total cash proceeds generated from exercises of the Warrants were $0.4 million. In connection with the redemption, the Public Warrants were delisted, and no Warrants were outstanding at September 30,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CMS Stars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8, 2021, we announced that CMS assigned Clover’s PPO plan 3.5 stars on the Medicare Star Ratings for its MA plans for the 2020 measurement year. Over 90% of our MA membership is served through our PPO plan. The higher rating could positively impact the reimbursement rate for our PPO plan beginning in 2023 as well as potentially positively impact the plan’s image in the market. Higher-rated plans may offer enhanced benefits and additional enrollment opportunities compared to lower-rated plans. CMS assigns plans ratings each year, and the Star Ratings system is subject to change annually by CMS, and there is no guarantee that we will be able to improve or maintain our plans’ current Star Ratings.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7, 2021, we consummated the previously announced domestication and mergers (the "Business Combination") pursuant to that certain Agreement and Plan of Merger, dated October 5, 2020 (the "Merger Agreement"), by and among Social Capital Hedosophia Holdings Corp III, a Cayman Islands exempted company (SCH), Asclepius Merger Sub Inc., a Delaware corporation and a direct wholly owned subsidiary of SCH, and Clover Health Investments, Inc., a corporation originally incorporated on July 17, 2014, in the state of Delaware (Legacy Clover), and us. Additionally, in connection with the Business Combination, we issued and sold to certain investors an aggregate of 40,000,000 shares of our Class A Common Stock for an aggregate purchase price equal to $400.0 million (the "PIPE Investment") concurrently with the completion of the Business Combination. For more information, see Note 3 (Business Combination) to Financial Statements in this report.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was accounted for as a reverse recapitalization in accordance with accounting principles generally accepted in the United States of America (GAAP). Under the guidance in Accounting Standards Codification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are disclosed in our periodic reports filed with the SEC.</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Business Combination has had a significant impact on our reported financial position and results as a consequence of the reverse recapitalization. The most significant change in our reported financial position and results is an estimated net increase in cash (as compared to our consolidated balance sheet at December 31, 2020) of approximately $670.0 million, which includes approximately $400.0 million in proceeds from the PIPE Investment, offset by additional transaction costs incurred in connection with the Business Combination. The estimated transaction costs for the Business Combination were approximately $61.0 million, of which $29.0 million represented deferred underwriter fees related to the initial public offering of SCH.</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Business Combination, we became the successor to a public company, which required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For additional information regarding the impacts of the Business Combination, see Note 3 (Business Combination), Note 9 (Notes and Securities Payable), Note 10 (Warrants Payable), and Note 14 (Convertible Preferred Stock) to Financial Statements in this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societal and economic impact of the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 Current uncertainties relating to the COVID-19 pandemic that could impact our future results include the development of new COVID-19 variants, such as the “Delta” variant, and the potential for further deferrals of elective or preventive care due to additional COVID-19 outbreaks and resulting stay-at-home orders, which in turn could result in exacerbated health conditions, higher future medical costs, and/or a reduction in risk adjustments and benchmarks against which future CMS bids will be assessed.</w:t>
      </w:r>
    </w:p>
    <w:p>
      <w:pPr>
        <w:spacing w:after="0" w:line="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refocused our clinical operations in mid-March 2020 and fully adopted the CMS COVID-19 emergency policy changes, including multiple summary guidances issued over a 12-week period, from March 2020 to June 2020. We implemented many changes to provide continued care to members, including reorienting our in-home primary care program (Clover Home Care) to provide care remotely, pivoting our post-hospital discharge program to video and telephonic encounters, and helping members receive their prescription medications at home.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rapidly enhanced our Clover Assistant platform to focus on video and telephonic visits to ensure that our members received appropriate levels of care despite their inability to physically visit a provider’s office. In total, we pivoted from 100.0% in-person Clover Assistant visits before the COVID-19 pandemic to 82.0% and 64.0% virtual Clover Assistant visits during the months of April and May 2020, respectively.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ensure the safety of our members, we have implemented multi-channel member communications to support COVID-19 vaccination access and availability, provider network support for telehealth adoption by Clover Home Care practices and, most recently, the provision of in-home COVID-19 vaccinations for our most vulnerable members.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continuing to monitor the ongoing financial impact of COVID-19 on our business and operations and are making adjustments accordingly. A large portion of our membership is elderly and generally in the high-risk category for COVID-19, and we have worked closely with our network of providers to ensure that members are receiving necessary care. During the three months ended September 30, 2021, we incurred elevated costs as compared to the prior-year period to care for those members who have contracted the virus. While the direct costs of testing and treatment related to COVID-19 have declined in recent months, the indirect costs attributable to the COVID-19 pandemic have increased. Deferral of services and increased costs related to conditions that were exacerbated by a lack of diagnoses and treatment in the earlier periods of the pandemic have contributed to increased utilization during the three months ended September 30, 2021. We will continue to monitor the pandemic’s impact on our members.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Medicare is allowing documentation prepared during video visits with patients to serve as support for CMS risk adjustments. While we intend to leverage Clover Assistant to increase the video visits for our members and document their health conditions on a timely basis, given the disruption caused by COVID-19, we may be unable to document the health conditions of our members as comprehensively as we did in previous years, which may adversely impact the accuracy of our risk adjustment factors and revenue in future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The quarterly information presented in the following table illustrates the financial results for our MA segment operations as impacted by COVID-19:</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September 30, 2021</w:t>
      </w:r>
    </w:p>
    <w:p>
      <w:pPr>
        <w:spacing w:after="0" w:line="26" w:lineRule="exact"/>
        <w:rPr>
          <w:sz w:val="20"/>
          <w:szCs w:val="20"/>
          <w:color w:val="auto"/>
        </w:rPr>
      </w:pPr>
    </w:p>
    <w:tbl>
      <w:tblPr>
        <w:tblLayout w:type="fixed"/>
        <w:tblInd w:w="960" w:type="dxa"/>
        <w:tblCellMar>
          <w:top w:w="0" w:type="dxa"/>
          <w:left w:w="0" w:type="dxa"/>
          <w:bottom w:w="0" w:type="dxa"/>
          <w:right w:w="0" w:type="dxa"/>
        </w:tblCellMar>
      </w:tblPr>
      <w:tr>
        <w:trPr>
          <w:trHeight w:val="131"/>
        </w:trPr>
        <w:tc>
          <w:tcPr>
            <w:tcW w:w="720" w:type="dxa"/>
            <w:vAlign w:val="bottom"/>
            <w:tcBorders>
              <w:top w:val="single" w:sz="8" w:color="auto"/>
            </w:tcBorders>
            <w:vMerge w:val="restart"/>
          </w:tcPr>
          <w:p>
            <w:pPr>
              <w:ind w:left="240"/>
              <w:spacing w:after="0"/>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tcBorders>
          </w:tcPr>
          <w:p>
            <w:pPr>
              <w:jc w:val="center"/>
              <w:ind w:left="68"/>
              <w:spacing w:after="0" w:line="131" w:lineRule="exact"/>
              <w:rPr>
                <w:sz w:val="20"/>
                <w:szCs w:val="20"/>
                <w:color w:val="auto"/>
              </w:rPr>
            </w:pPr>
            <w:r>
              <w:rPr>
                <w:rFonts w:ascii="Arial" w:cs="Arial" w:eastAsia="Arial" w:hAnsi="Arial"/>
                <w:sz w:val="13"/>
                <w:szCs w:val="13"/>
                <w:b w:val="1"/>
                <w:bCs w:val="1"/>
                <w:color w:val="auto"/>
              </w:rPr>
              <w:t>PMPM</w:t>
            </w:r>
          </w:p>
        </w:tc>
        <w:tc>
          <w:tcPr>
            <w:tcW w:w="0" w:type="dxa"/>
            <w:vAlign w:val="bottom"/>
          </w:tcPr>
          <w:p>
            <w:pPr>
              <w:spacing w:after="0"/>
              <w:rPr>
                <w:sz w:val="1"/>
                <w:szCs w:val="1"/>
                <w:color w:val="auto"/>
              </w:rPr>
            </w:pPr>
          </w:p>
        </w:tc>
      </w:tr>
      <w:tr>
        <w:trPr>
          <w:trHeight w:val="105"/>
        </w:trPr>
        <w:tc>
          <w:tcPr>
            <w:tcW w:w="720" w:type="dxa"/>
            <w:vAlign w:val="bottom"/>
            <w:vMerge w:val="continue"/>
          </w:tcPr>
          <w:p>
            <w:pPr>
              <w:spacing w:after="0"/>
              <w:rPr>
                <w:sz w:val="9"/>
                <w:szCs w:val="9"/>
                <w:color w:val="auto"/>
              </w:rPr>
            </w:pPr>
          </w:p>
        </w:tc>
        <w:tc>
          <w:tcPr>
            <w:tcW w:w="640" w:type="dxa"/>
            <w:vAlign w:val="bottom"/>
          </w:tcPr>
          <w:p>
            <w:pPr>
              <w:jc w:val="right"/>
              <w:ind w:right="168"/>
              <w:spacing w:after="0"/>
              <w:rPr>
                <w:sz w:val="20"/>
                <w:szCs w:val="20"/>
                <w:color w:val="auto"/>
              </w:rPr>
            </w:pP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3040"/>
        <w:spacing w:after="0"/>
        <w:rPr>
          <w:sz w:val="20"/>
          <w:szCs w:val="20"/>
          <w:color w:val="auto"/>
        </w:rPr>
      </w:pPr>
      <w:r>
        <w:rPr>
          <w:rFonts w:ascii="Arial" w:cs="Arial" w:eastAsia="Arial" w:hAnsi="Arial"/>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60" w:type="dxa"/>
            <w:vAlign w:val="bottom"/>
            <w:gridSpan w:val="3"/>
          </w:tcPr>
          <w:p>
            <w:pPr>
              <w:ind w:left="320"/>
              <w:spacing w:after="0"/>
              <w:rPr>
                <w:sz w:val="20"/>
                <w:szCs w:val="20"/>
                <w:color w:val="auto"/>
              </w:rPr>
            </w:pPr>
            <w:r>
              <w:rPr>
                <w:rFonts w:ascii="Arial" w:cs="Arial" w:eastAsia="Arial" w:hAnsi="Arial"/>
                <w:sz w:val="13"/>
                <w:szCs w:val="13"/>
                <w:b w:val="1"/>
                <w:bCs w:val="1"/>
                <w:color w:val="auto"/>
              </w:rPr>
              <w:t>June 30, 2021</w:t>
            </w:r>
          </w:p>
        </w:tc>
        <w:tc>
          <w:tcPr>
            <w:tcW w:w="1500" w:type="dxa"/>
            <w:vAlign w:val="bottom"/>
            <w:gridSpan w:val="3"/>
          </w:tcPr>
          <w:p>
            <w:pPr>
              <w:ind w:left="300"/>
              <w:spacing w:after="0"/>
              <w:rPr>
                <w:sz w:val="20"/>
                <w:szCs w:val="20"/>
                <w:color w:val="auto"/>
              </w:rPr>
            </w:pPr>
            <w:r>
              <w:rPr>
                <w:rFonts w:ascii="Arial" w:cs="Arial" w:eastAsia="Arial" w:hAnsi="Arial"/>
                <w:sz w:val="13"/>
                <w:szCs w:val="13"/>
                <w:b w:val="1"/>
                <w:bCs w:val="1"/>
                <w:color w:val="auto"/>
              </w:rPr>
              <w:t>March 31, 2021</w:t>
            </w:r>
          </w:p>
        </w:tc>
        <w:tc>
          <w:tcPr>
            <w:tcW w:w="1500" w:type="dxa"/>
            <w:vAlign w:val="bottom"/>
            <w:gridSpan w:val="3"/>
          </w:tcPr>
          <w:p>
            <w:pPr>
              <w:ind w:left="200"/>
              <w:spacing w:after="0"/>
              <w:rPr>
                <w:sz w:val="20"/>
                <w:szCs w:val="20"/>
                <w:color w:val="auto"/>
              </w:rPr>
            </w:pPr>
            <w:r>
              <w:rPr>
                <w:rFonts w:ascii="Arial" w:cs="Arial" w:eastAsia="Arial" w:hAnsi="Arial"/>
                <w:sz w:val="13"/>
                <w:szCs w:val="13"/>
                <w:b w:val="1"/>
                <w:bCs w:val="1"/>
                <w:color w:val="auto"/>
              </w:rPr>
              <w:t>December 31, 2020</w:t>
            </w:r>
          </w:p>
        </w:tc>
        <w:tc>
          <w:tcPr>
            <w:tcW w:w="1480" w:type="dxa"/>
            <w:vAlign w:val="bottom"/>
            <w:gridSpan w:val="3"/>
          </w:tcPr>
          <w:p>
            <w:pPr>
              <w:ind w:left="160"/>
              <w:spacing w:after="0"/>
              <w:rPr>
                <w:sz w:val="20"/>
                <w:szCs w:val="20"/>
                <w:color w:val="auto"/>
              </w:rPr>
            </w:pPr>
            <w:r>
              <w:rPr>
                <w:rFonts w:ascii="Arial" w:cs="Arial" w:eastAsia="Arial" w:hAnsi="Arial"/>
                <w:sz w:val="13"/>
                <w:szCs w:val="13"/>
                <w:b w:val="1"/>
                <w:bCs w:val="1"/>
                <w:color w:val="auto"/>
              </w:rPr>
              <w:t>September 30, 2020</w:t>
            </w:r>
          </w:p>
        </w:tc>
        <w:tc>
          <w:tcPr>
            <w:tcW w:w="1540" w:type="dxa"/>
            <w:vAlign w:val="bottom"/>
            <w:gridSpan w:val="2"/>
          </w:tcPr>
          <w:p>
            <w:pPr>
              <w:ind w:left="340"/>
              <w:spacing w:after="0"/>
              <w:rPr>
                <w:sz w:val="20"/>
                <w:szCs w:val="20"/>
                <w:color w:val="auto"/>
              </w:rPr>
            </w:pPr>
            <w:r>
              <w:rPr>
                <w:rFonts w:ascii="Arial" w:cs="Arial" w:eastAsia="Arial" w:hAnsi="Arial"/>
                <w:sz w:val="13"/>
                <w:szCs w:val="13"/>
                <w:b w:val="1"/>
                <w:bCs w:val="1"/>
                <w:color w:val="auto"/>
              </w:rPr>
              <w:t>June 30, 2020</w:t>
            </w:r>
          </w:p>
        </w:tc>
        <w:tc>
          <w:tcPr>
            <w:tcW w:w="1360" w:type="dxa"/>
            <w:vAlign w:val="bottom"/>
            <w:gridSpan w:val="2"/>
          </w:tcPr>
          <w:p>
            <w:pPr>
              <w:ind w:left="24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22"/>
        </w:trPr>
        <w:tc>
          <w:tcPr>
            <w:tcW w:w="720" w:type="dxa"/>
            <w:vAlign w:val="bottom"/>
            <w:tcBorders>
              <w:top w:val="single" w:sz="8" w:color="auto"/>
            </w:tcBorders>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660" w:type="dxa"/>
            <w:vAlign w:val="bottom"/>
            <w:tcBorders>
              <w:top w:val="single" w:sz="8" w:color="auto"/>
            </w:tcBorders>
          </w:tcPr>
          <w:p>
            <w:pPr>
              <w:jc w:val="center"/>
              <w:ind w:left="88"/>
              <w:spacing w:after="0" w:line="122" w:lineRule="exact"/>
              <w:rPr>
                <w:sz w:val="20"/>
                <w:szCs w:val="20"/>
                <w:color w:val="auto"/>
              </w:rPr>
            </w:pPr>
            <w:r>
              <w:rPr>
                <w:rFonts w:ascii="Arial" w:cs="Arial" w:eastAsia="Arial" w:hAnsi="Arial"/>
                <w:sz w:val="13"/>
                <w:szCs w:val="13"/>
                <w:b w:val="1"/>
                <w:bCs w:val="1"/>
                <w:color w:val="auto"/>
              </w:rPr>
              <w:t>PMPM</w:t>
            </w:r>
          </w:p>
        </w:tc>
        <w:tc>
          <w:tcPr>
            <w:tcW w:w="80" w:type="dxa"/>
            <w:vAlign w:val="bottom"/>
          </w:tcPr>
          <w:p>
            <w:pPr>
              <w:spacing w:after="0"/>
              <w:rPr>
                <w:sz w:val="10"/>
                <w:szCs w:val="10"/>
                <w:color w:val="auto"/>
              </w:rPr>
            </w:pPr>
          </w:p>
        </w:tc>
        <w:tc>
          <w:tcPr>
            <w:tcW w:w="760" w:type="dxa"/>
            <w:vAlign w:val="bottom"/>
            <w:tcBorders>
              <w:top w:val="single" w:sz="8" w:color="auto"/>
            </w:tcBorders>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660" w:type="dxa"/>
            <w:vAlign w:val="bottom"/>
            <w:tcBorders>
              <w:top w:val="single" w:sz="8" w:color="auto"/>
            </w:tcBorders>
          </w:tcPr>
          <w:p>
            <w:pPr>
              <w:jc w:val="center"/>
              <w:ind w:left="88"/>
              <w:spacing w:after="0" w:line="122" w:lineRule="exact"/>
              <w:rPr>
                <w:sz w:val="20"/>
                <w:szCs w:val="20"/>
                <w:color w:val="auto"/>
              </w:rPr>
            </w:pPr>
            <w:r>
              <w:rPr>
                <w:rFonts w:ascii="Arial" w:cs="Arial" w:eastAsia="Arial" w:hAnsi="Arial"/>
                <w:sz w:val="13"/>
                <w:szCs w:val="13"/>
                <w:b w:val="1"/>
                <w:bCs w:val="1"/>
                <w:color w:val="auto"/>
              </w:rPr>
              <w:t>PMPM</w:t>
            </w:r>
          </w:p>
        </w:tc>
        <w:tc>
          <w:tcPr>
            <w:tcW w:w="80" w:type="dxa"/>
            <w:vAlign w:val="bottom"/>
          </w:tcPr>
          <w:p>
            <w:pPr>
              <w:spacing w:after="0"/>
              <w:rPr>
                <w:sz w:val="10"/>
                <w:szCs w:val="10"/>
                <w:color w:val="auto"/>
              </w:rPr>
            </w:pPr>
          </w:p>
        </w:tc>
        <w:tc>
          <w:tcPr>
            <w:tcW w:w="740" w:type="dxa"/>
            <w:vAlign w:val="bottom"/>
            <w:tcBorders>
              <w:top w:val="single" w:sz="8" w:color="auto"/>
            </w:tcBorders>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680" w:type="dxa"/>
            <w:vAlign w:val="bottom"/>
            <w:tcBorders>
              <w:top w:val="single" w:sz="8" w:color="auto"/>
            </w:tcBorders>
          </w:tcPr>
          <w:p>
            <w:pPr>
              <w:jc w:val="center"/>
              <w:ind w:left="88"/>
              <w:spacing w:after="0" w:line="122" w:lineRule="exact"/>
              <w:rPr>
                <w:sz w:val="20"/>
                <w:szCs w:val="20"/>
                <w:color w:val="auto"/>
              </w:rPr>
            </w:pPr>
            <w:r>
              <w:rPr>
                <w:rFonts w:ascii="Arial" w:cs="Arial" w:eastAsia="Arial" w:hAnsi="Arial"/>
                <w:sz w:val="13"/>
                <w:szCs w:val="13"/>
                <w:b w:val="1"/>
                <w:bCs w:val="1"/>
                <w:color w:val="auto"/>
                <w:w w:val="97"/>
              </w:rPr>
              <w:t>PMPM</w:t>
            </w:r>
          </w:p>
        </w:tc>
        <w:tc>
          <w:tcPr>
            <w:tcW w:w="80" w:type="dxa"/>
            <w:vAlign w:val="bottom"/>
          </w:tcPr>
          <w:p>
            <w:pPr>
              <w:spacing w:after="0"/>
              <w:rPr>
                <w:sz w:val="10"/>
                <w:szCs w:val="10"/>
                <w:color w:val="auto"/>
              </w:rPr>
            </w:pPr>
          </w:p>
        </w:tc>
        <w:tc>
          <w:tcPr>
            <w:tcW w:w="740" w:type="dxa"/>
            <w:vAlign w:val="bottom"/>
            <w:tcBorders>
              <w:top w:val="single" w:sz="8" w:color="auto"/>
            </w:tcBorders>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660" w:type="dxa"/>
            <w:vAlign w:val="bottom"/>
            <w:tcBorders>
              <w:top w:val="single" w:sz="8" w:color="auto"/>
            </w:tcBorders>
          </w:tcPr>
          <w:p>
            <w:pPr>
              <w:jc w:val="center"/>
              <w:ind w:left="68"/>
              <w:spacing w:after="0" w:line="122" w:lineRule="exact"/>
              <w:rPr>
                <w:sz w:val="20"/>
                <w:szCs w:val="20"/>
                <w:color w:val="auto"/>
              </w:rPr>
            </w:pPr>
            <w:r>
              <w:rPr>
                <w:rFonts w:ascii="Arial" w:cs="Arial" w:eastAsia="Arial" w:hAnsi="Arial"/>
                <w:sz w:val="13"/>
                <w:szCs w:val="13"/>
                <w:b w:val="1"/>
                <w:bCs w:val="1"/>
                <w:color w:val="auto"/>
                <w:w w:val="97"/>
              </w:rPr>
              <w:t>PMPM</w:t>
            </w:r>
          </w:p>
        </w:tc>
        <w:tc>
          <w:tcPr>
            <w:tcW w:w="80" w:type="dxa"/>
            <w:vAlign w:val="bottom"/>
          </w:tcPr>
          <w:p>
            <w:pPr>
              <w:spacing w:after="0"/>
              <w:rPr>
                <w:sz w:val="10"/>
                <w:szCs w:val="10"/>
                <w:color w:val="auto"/>
              </w:rPr>
            </w:pPr>
          </w:p>
        </w:tc>
        <w:tc>
          <w:tcPr>
            <w:tcW w:w="740" w:type="dxa"/>
            <w:vAlign w:val="bottom"/>
            <w:tcBorders>
              <w:top w:val="single" w:sz="8" w:color="auto"/>
            </w:tcBorders>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rPr>
              <w:t>PMPM</w:t>
            </w:r>
          </w:p>
        </w:tc>
        <w:tc>
          <w:tcPr>
            <w:tcW w:w="680" w:type="dxa"/>
            <w:vAlign w:val="bottom"/>
            <w:tcBorders>
              <w:top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680" w:type="dxa"/>
            <w:vAlign w:val="bottom"/>
            <w:tcBorders>
              <w:top w:val="single" w:sz="8" w:color="auto"/>
            </w:tcBorders>
          </w:tcPr>
          <w:p>
            <w:pPr>
              <w:jc w:val="center"/>
              <w:ind w:left="88"/>
              <w:spacing w:after="0" w:line="122" w:lineRule="exact"/>
              <w:rPr>
                <w:sz w:val="20"/>
                <w:szCs w:val="20"/>
                <w:color w:val="auto"/>
              </w:rPr>
            </w:pPr>
            <w:r>
              <w:rPr>
                <w:rFonts w:ascii="Arial" w:cs="Arial" w:eastAsia="Arial" w:hAnsi="Arial"/>
                <w:sz w:val="13"/>
                <w:szCs w:val="13"/>
                <w:b w:val="1"/>
                <w:bCs w:val="1"/>
                <w:color w:val="auto"/>
                <w:w w:val="97"/>
              </w:rPr>
              <w:t>PMPM</w:t>
            </w:r>
          </w:p>
        </w:tc>
        <w:tc>
          <w:tcPr>
            <w:tcW w:w="0" w:type="dxa"/>
            <w:vAlign w:val="bottom"/>
          </w:tcPr>
          <w:p>
            <w:pPr>
              <w:spacing w:after="0"/>
              <w:rPr>
                <w:sz w:val="1"/>
                <w:szCs w:val="1"/>
                <w:color w:val="auto"/>
              </w:rPr>
            </w:pPr>
          </w:p>
        </w:tc>
      </w:tr>
      <w:tr>
        <w:trPr>
          <w:trHeight w:val="105"/>
        </w:trPr>
        <w:tc>
          <w:tcPr>
            <w:tcW w:w="720" w:type="dxa"/>
            <w:vAlign w:val="bottom"/>
            <w:vMerge w:val="continue"/>
          </w:tcPr>
          <w:p>
            <w:pPr>
              <w:spacing w:after="0"/>
              <w:rPr>
                <w:sz w:val="9"/>
                <w:szCs w:val="9"/>
                <w:color w:val="auto"/>
              </w:rPr>
            </w:pPr>
          </w:p>
        </w:tc>
        <w:tc>
          <w:tcPr>
            <w:tcW w:w="660" w:type="dxa"/>
            <w:vAlign w:val="bottom"/>
          </w:tcPr>
          <w:p>
            <w:pPr>
              <w:jc w:val="right"/>
              <w:ind w:right="14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tcPr>
          <w:p>
            <w:pPr>
              <w:jc w:val="right"/>
              <w:ind w:right="14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tcPr>
          <w:p>
            <w:pPr>
              <w:jc w:val="right"/>
              <w:ind w:right="16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60" w:type="dxa"/>
            <w:vAlign w:val="bottom"/>
          </w:tcPr>
          <w:p>
            <w:pPr>
              <w:jc w:val="right"/>
              <w:ind w:right="168"/>
              <w:spacing w:after="0"/>
              <w:rPr>
                <w:sz w:val="20"/>
                <w:szCs w:val="20"/>
                <w:color w:val="auto"/>
              </w:rPr>
            </w:pP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tcPr>
          <w:p>
            <w:pPr>
              <w:jc w:val="right"/>
              <w:ind w:right="308"/>
              <w:spacing w:after="0"/>
              <w:rPr>
                <w:sz w:val="20"/>
                <w:szCs w:val="20"/>
                <w:color w:val="auto"/>
              </w:rPr>
            </w:pPr>
            <w:r>
              <w:rPr>
                <w:rFonts w:ascii="Arial" w:cs="Arial" w:eastAsia="Arial" w:hAnsi="Arial"/>
                <w:sz w:val="8"/>
                <w:szCs w:val="8"/>
                <w:b w:val="1"/>
                <w:bCs w:val="1"/>
                <w:color w:val="auto"/>
              </w:rPr>
              <w:t>(1)</w:t>
            </w:r>
          </w:p>
        </w:tc>
        <w:tc>
          <w:tcPr>
            <w:tcW w:w="680" w:type="dxa"/>
            <w:vAlign w:val="bottom"/>
            <w:vMerge w:val="continue"/>
          </w:tcPr>
          <w:p>
            <w:pPr>
              <w:spacing w:after="0"/>
              <w:rPr>
                <w:sz w:val="9"/>
                <w:szCs w:val="9"/>
                <w:color w:val="auto"/>
              </w:rPr>
            </w:pPr>
          </w:p>
        </w:tc>
        <w:tc>
          <w:tcPr>
            <w:tcW w:w="680" w:type="dxa"/>
            <w:vAlign w:val="bottom"/>
          </w:tcPr>
          <w:p>
            <w:pPr>
              <w:jc w:val="right"/>
              <w:ind w:right="168"/>
              <w:spacing w:after="0"/>
              <w:rPr>
                <w:sz w:val="20"/>
                <w:szCs w:val="20"/>
                <w:color w:val="auto"/>
              </w:rPr>
            </w:pP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38" w:orient="portrait"/>
          <w:cols w:equalWidth="0" w:num="2">
            <w:col w:w="2320" w:space="80"/>
            <w:col w:w="8840"/>
          </w:cols>
          <w:pgMar w:left="320" w:top="989"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5"/>
          </w:tcPr>
          <w:p>
            <w:pPr>
              <w:jc w:val="right"/>
              <w:ind w:right="137"/>
              <w:spacing w:after="0"/>
              <w:rPr>
                <w:sz w:val="20"/>
                <w:szCs w:val="20"/>
                <w:color w:val="auto"/>
              </w:rPr>
            </w:pPr>
            <w:r>
              <w:rPr>
                <w:rFonts w:ascii="Arial" w:cs="Arial" w:eastAsia="Arial" w:hAnsi="Arial"/>
                <w:sz w:val="13"/>
                <w:szCs w:val="13"/>
                <w:b w:val="1"/>
                <w:bCs w:val="1"/>
                <w:color w:val="auto"/>
                <w:w w:val="97"/>
              </w:rPr>
              <w:t>(dollars in thousands, except PMPM amounts)</w:t>
            </w: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9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86"/>
              </w:rPr>
              <w:t>Premiums earned,</w:t>
            </w:r>
          </w:p>
        </w:tc>
        <w:tc>
          <w:tcPr>
            <w:tcW w:w="8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w w:val="94"/>
              </w:rPr>
              <w:t>$  203,657</w:t>
            </w: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  1,012</w:t>
            </w:r>
          </w:p>
        </w:tc>
        <w:tc>
          <w:tcPr>
            <w:tcW w:w="8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  195,357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980</w:t>
            </w:r>
          </w:p>
        </w:tc>
        <w:tc>
          <w:tcPr>
            <w:tcW w:w="90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  199,376</w:t>
            </w: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  1,005</w:t>
            </w:r>
          </w:p>
        </w:tc>
        <w:tc>
          <w:tcPr>
            <w:tcW w:w="9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  164,598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950</w:t>
            </w:r>
          </w:p>
        </w:tc>
        <w:tc>
          <w:tcPr>
            <w:tcW w:w="8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  167,075</w:t>
            </w:r>
          </w:p>
        </w:tc>
        <w:tc>
          <w:tcPr>
            <w:tcW w:w="2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972</w:t>
            </w:r>
          </w:p>
        </w:tc>
        <w:tc>
          <w:tcPr>
            <w:tcW w:w="90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rPr>
              <w:t>$  170,315</w:t>
            </w: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  1,000</w:t>
            </w:r>
          </w:p>
        </w:tc>
        <w:tc>
          <w:tcPr>
            <w:tcW w:w="90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  163,710</w:t>
            </w:r>
          </w:p>
        </w:tc>
        <w:tc>
          <w:tcPr>
            <w:tcW w:w="2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0" w:type="dxa"/>
            <w:vAlign w:val="bottom"/>
          </w:tcPr>
          <w:p>
            <w:pPr>
              <w:spacing w:after="0"/>
              <w:rPr>
                <w:sz w:val="1"/>
                <w:szCs w:val="1"/>
                <w:color w:val="auto"/>
              </w:rPr>
            </w:pPr>
          </w:p>
        </w:tc>
      </w:tr>
      <w:tr>
        <w:trPr>
          <w:trHeight w:val="175"/>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0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20"/>
              <w:spacing w:after="0" w:line="122" w:lineRule="exact"/>
              <w:rPr>
                <w:sz w:val="20"/>
                <w:szCs w:val="20"/>
                <w:color w:val="auto"/>
              </w:rPr>
            </w:pPr>
            <w:r>
              <w:rPr>
                <w:rFonts w:ascii="Arial" w:cs="Arial" w:eastAsia="Arial" w:hAnsi="Arial"/>
                <w:sz w:val="13"/>
                <w:szCs w:val="13"/>
                <w:color w:val="auto"/>
              </w:rPr>
              <w:t>Net medical</w:t>
            </w: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208,661</w:t>
            </w: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1,037</w:t>
            </w:r>
          </w:p>
        </w:tc>
        <w:tc>
          <w:tcPr>
            <w:tcW w:w="880" w:type="dxa"/>
            <w:vAlign w:val="bottom"/>
            <w:vMerge w:val="restart"/>
          </w:tcPr>
          <w:p>
            <w:pPr>
              <w:jc w:val="right"/>
              <w:ind w:right="137"/>
              <w:spacing w:after="0"/>
              <w:rPr>
                <w:sz w:val="20"/>
                <w:szCs w:val="20"/>
                <w:color w:val="auto"/>
              </w:rPr>
            </w:pPr>
            <w:r>
              <w:rPr>
                <w:rFonts w:ascii="Arial" w:cs="Arial" w:eastAsia="Arial" w:hAnsi="Arial"/>
                <w:sz w:val="13"/>
                <w:szCs w:val="13"/>
                <w:color w:val="auto"/>
              </w:rPr>
              <w:t>216,785</w:t>
            </w:r>
          </w:p>
        </w:tc>
        <w:tc>
          <w:tcPr>
            <w:tcW w:w="180" w:type="dxa"/>
            <w:vAlign w:val="bottom"/>
          </w:tcPr>
          <w:p>
            <w:pPr>
              <w:spacing w:after="0"/>
              <w:rPr>
                <w:sz w:val="10"/>
                <w:szCs w:val="10"/>
                <w:color w:val="auto"/>
              </w:rPr>
            </w:pPr>
          </w:p>
        </w:tc>
        <w:tc>
          <w:tcPr>
            <w:tcW w:w="400" w:type="dxa"/>
            <w:vAlign w:val="bottom"/>
            <w:vMerge w:val="restart"/>
          </w:tcPr>
          <w:p>
            <w:pPr>
              <w:jc w:val="right"/>
              <w:ind w:right="17"/>
              <w:spacing w:after="0"/>
              <w:rPr>
                <w:sz w:val="20"/>
                <w:szCs w:val="20"/>
                <w:color w:val="auto"/>
              </w:rPr>
            </w:pPr>
            <w:r>
              <w:rPr>
                <w:rFonts w:ascii="Arial" w:cs="Arial" w:eastAsia="Arial" w:hAnsi="Arial"/>
                <w:sz w:val="13"/>
                <w:szCs w:val="13"/>
                <w:color w:val="auto"/>
                <w:w w:val="92"/>
              </w:rPr>
              <w:t>1,087</w:t>
            </w:r>
          </w:p>
        </w:tc>
        <w:tc>
          <w:tcPr>
            <w:tcW w:w="900" w:type="dxa"/>
            <w:vAlign w:val="bottom"/>
            <w:vMerge w:val="restart"/>
          </w:tcPr>
          <w:p>
            <w:pPr>
              <w:jc w:val="right"/>
              <w:ind w:right="157"/>
              <w:spacing w:after="0"/>
              <w:rPr>
                <w:sz w:val="20"/>
                <w:szCs w:val="20"/>
                <w:color w:val="auto"/>
              </w:rPr>
            </w:pPr>
            <w:r>
              <w:rPr>
                <w:rFonts w:ascii="Arial" w:cs="Arial" w:eastAsia="Arial" w:hAnsi="Arial"/>
                <w:sz w:val="13"/>
                <w:szCs w:val="13"/>
                <w:color w:val="auto"/>
              </w:rPr>
              <w:t>214,432</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1,081</w:t>
            </w:r>
          </w:p>
        </w:tc>
        <w:tc>
          <w:tcPr>
            <w:tcW w:w="900" w:type="dxa"/>
            <w:vAlign w:val="bottom"/>
            <w:vMerge w:val="restart"/>
          </w:tcPr>
          <w:p>
            <w:pPr>
              <w:jc w:val="right"/>
              <w:ind w:right="137"/>
              <w:spacing w:after="0"/>
              <w:rPr>
                <w:sz w:val="20"/>
                <w:szCs w:val="20"/>
                <w:color w:val="auto"/>
              </w:rPr>
            </w:pPr>
            <w:r>
              <w:rPr>
                <w:rFonts w:ascii="Arial" w:cs="Arial" w:eastAsia="Arial" w:hAnsi="Arial"/>
                <w:sz w:val="13"/>
                <w:szCs w:val="13"/>
                <w:color w:val="auto"/>
              </w:rPr>
              <w:t>179,928</w:t>
            </w:r>
          </w:p>
        </w:tc>
        <w:tc>
          <w:tcPr>
            <w:tcW w:w="180" w:type="dxa"/>
            <w:vAlign w:val="bottom"/>
          </w:tcPr>
          <w:p>
            <w:pPr>
              <w:spacing w:after="0"/>
              <w:rPr>
                <w:sz w:val="10"/>
                <w:szCs w:val="10"/>
                <w:color w:val="auto"/>
              </w:rPr>
            </w:pPr>
          </w:p>
        </w:tc>
        <w:tc>
          <w:tcPr>
            <w:tcW w:w="420" w:type="dxa"/>
            <w:vAlign w:val="bottom"/>
            <w:vMerge w:val="restart"/>
          </w:tcPr>
          <w:p>
            <w:pPr>
              <w:jc w:val="right"/>
              <w:ind w:right="17"/>
              <w:spacing w:after="0"/>
              <w:rPr>
                <w:sz w:val="20"/>
                <w:szCs w:val="20"/>
                <w:color w:val="auto"/>
              </w:rPr>
            </w:pPr>
            <w:r>
              <w:rPr>
                <w:rFonts w:ascii="Arial" w:cs="Arial" w:eastAsia="Arial" w:hAnsi="Arial"/>
                <w:sz w:val="13"/>
                <w:szCs w:val="13"/>
                <w:color w:val="auto"/>
                <w:w w:val="98"/>
              </w:rPr>
              <w:t>1,034</w:t>
            </w:r>
          </w:p>
        </w:tc>
        <w:tc>
          <w:tcPr>
            <w:tcW w:w="880" w:type="dxa"/>
            <w:vAlign w:val="bottom"/>
            <w:vMerge w:val="restart"/>
          </w:tcPr>
          <w:p>
            <w:pPr>
              <w:jc w:val="right"/>
              <w:ind w:right="137"/>
              <w:spacing w:after="0"/>
              <w:rPr>
                <w:sz w:val="20"/>
                <w:szCs w:val="20"/>
                <w:color w:val="auto"/>
              </w:rPr>
            </w:pPr>
            <w:r>
              <w:rPr>
                <w:rFonts w:ascii="Arial" w:cs="Arial" w:eastAsia="Arial" w:hAnsi="Arial"/>
                <w:sz w:val="13"/>
                <w:szCs w:val="13"/>
                <w:color w:val="auto"/>
              </w:rPr>
              <w:t>144,846</w:t>
            </w:r>
          </w:p>
        </w:tc>
        <w:tc>
          <w:tcPr>
            <w:tcW w:w="240" w:type="dxa"/>
            <w:vAlign w:val="bottom"/>
          </w:tcPr>
          <w:p>
            <w:pPr>
              <w:spacing w:after="0"/>
              <w:rPr>
                <w:sz w:val="10"/>
                <w:szCs w:val="10"/>
                <w:color w:val="auto"/>
              </w:rPr>
            </w:pPr>
          </w:p>
        </w:tc>
        <w:tc>
          <w:tcPr>
            <w:tcW w:w="360" w:type="dxa"/>
            <w:vAlign w:val="bottom"/>
            <w:vMerge w:val="restart"/>
          </w:tcPr>
          <w:p>
            <w:pPr>
              <w:jc w:val="right"/>
              <w:ind w:right="17"/>
              <w:spacing w:after="0"/>
              <w:rPr>
                <w:sz w:val="20"/>
                <w:szCs w:val="20"/>
                <w:color w:val="auto"/>
              </w:rPr>
            </w:pPr>
            <w:r>
              <w:rPr>
                <w:rFonts w:ascii="Arial" w:cs="Arial" w:eastAsia="Arial" w:hAnsi="Arial"/>
                <w:sz w:val="13"/>
                <w:szCs w:val="13"/>
                <w:color w:val="auto"/>
              </w:rPr>
              <w:t>842</w:t>
            </w:r>
          </w:p>
        </w:tc>
        <w:tc>
          <w:tcPr>
            <w:tcW w:w="900" w:type="dxa"/>
            <w:vAlign w:val="bottom"/>
            <w:vMerge w:val="restart"/>
          </w:tcPr>
          <w:p>
            <w:pPr>
              <w:jc w:val="right"/>
              <w:ind w:right="157"/>
              <w:spacing w:after="0"/>
              <w:rPr>
                <w:sz w:val="20"/>
                <w:szCs w:val="20"/>
                <w:color w:val="auto"/>
              </w:rPr>
            </w:pPr>
            <w:r>
              <w:rPr>
                <w:rFonts w:ascii="Arial" w:cs="Arial" w:eastAsia="Arial" w:hAnsi="Arial"/>
                <w:sz w:val="13"/>
                <w:szCs w:val="13"/>
                <w:color w:val="auto"/>
              </w:rPr>
              <w:t>119,366</w:t>
            </w: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701</w:t>
            </w:r>
          </w:p>
        </w:tc>
        <w:tc>
          <w:tcPr>
            <w:tcW w:w="900" w:type="dxa"/>
            <w:vAlign w:val="bottom"/>
            <w:vMerge w:val="restart"/>
          </w:tcPr>
          <w:p>
            <w:pPr>
              <w:jc w:val="right"/>
              <w:ind w:right="137"/>
              <w:spacing w:after="0"/>
              <w:rPr>
                <w:sz w:val="20"/>
                <w:szCs w:val="20"/>
                <w:color w:val="auto"/>
              </w:rPr>
            </w:pPr>
            <w:r>
              <w:rPr>
                <w:rFonts w:ascii="Arial" w:cs="Arial" w:eastAsia="Arial" w:hAnsi="Arial"/>
                <w:sz w:val="13"/>
                <w:szCs w:val="13"/>
                <w:color w:val="auto"/>
              </w:rPr>
              <w:t>146,328</w:t>
            </w:r>
          </w:p>
        </w:tc>
        <w:tc>
          <w:tcPr>
            <w:tcW w:w="22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176"/>
        </w:trPr>
        <w:tc>
          <w:tcPr>
            <w:tcW w:w="960" w:type="dxa"/>
            <w:vAlign w:val="bottom"/>
          </w:tcPr>
          <w:p>
            <w:pPr>
              <w:ind w:left="20"/>
              <w:spacing w:after="0" w:line="175" w:lineRule="exact"/>
              <w:rPr>
                <w:sz w:val="20"/>
                <w:szCs w:val="20"/>
                <w:color w:val="auto"/>
              </w:rPr>
            </w:pPr>
            <w:r>
              <w:rPr>
                <w:rFonts w:ascii="Arial" w:cs="Arial" w:eastAsia="Arial" w:hAnsi="Arial"/>
                <w:sz w:val="13"/>
                <w:szCs w:val="13"/>
                <w:color w:val="auto"/>
                <w:w w:val="88"/>
              </w:rPr>
              <w:t xml:space="preserve">claims incurred </w:t>
            </w:r>
            <w:r>
              <w:rPr>
                <w:rFonts w:ascii="Arial" w:cs="Arial" w:eastAsia="Arial" w:hAnsi="Arial"/>
                <w:sz w:val="16"/>
                <w:szCs w:val="16"/>
                <w:color w:val="auto"/>
                <w:w w:val="88"/>
                <w:vertAlign w:val="superscript"/>
              </w:rPr>
              <w:t>(2)</w:t>
            </w:r>
          </w:p>
        </w:tc>
        <w:tc>
          <w:tcPr>
            <w:tcW w:w="8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Medical care</w:t>
            </w:r>
          </w:p>
        </w:tc>
        <w:tc>
          <w:tcPr>
            <w:tcW w:w="8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9"/>
              </w:rPr>
              <w:t>ratio, net (MCR)</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102.5 %</w:t>
            </w: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111.0 %</w:t>
            </w:r>
          </w:p>
        </w:tc>
        <w:tc>
          <w:tcPr>
            <w:tcW w:w="1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107.6 %</w:t>
            </w: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109.3 %</w:t>
            </w:r>
          </w:p>
        </w:tc>
        <w:tc>
          <w:tcPr>
            <w:tcW w:w="1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86.7 %</w:t>
            </w:r>
          </w:p>
        </w:tc>
        <w:tc>
          <w:tcPr>
            <w:tcW w:w="2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70.1 %</w:t>
            </w: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89.4 %</w:t>
            </w:r>
          </w:p>
        </w:tc>
        <w:tc>
          <w:tcPr>
            <w:tcW w:w="22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960" w:type="dxa"/>
            <w:vAlign w:val="bottom"/>
            <w:shd w:val="clear" w:color="auto" w:fill="CCEEFF"/>
          </w:tcPr>
          <w:p>
            <w:pPr>
              <w:ind w:left="20"/>
              <w:spacing w:after="0"/>
              <w:rPr>
                <w:sz w:val="20"/>
                <w:szCs w:val="20"/>
                <w:color w:val="auto"/>
              </w:rPr>
            </w:pPr>
            <w:r>
              <w:rPr>
                <w:rFonts w:ascii="Arial" w:cs="Arial" w:eastAsia="Arial" w:hAnsi="Arial"/>
                <w:sz w:val="8"/>
                <w:szCs w:val="8"/>
                <w:color w:val="auto"/>
              </w:rPr>
              <w:t>(3)</w:t>
            </w:r>
          </w:p>
        </w:tc>
        <w:tc>
          <w:tcPr>
            <w:tcW w:w="80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80" w:right="20" w:hanging="172"/>
        <w:spacing w:after="0" w:line="217" w:lineRule="auto"/>
        <w:tabs>
          <w:tab w:leader="none" w:pos="177"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10"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Net medical claims incurred related to MA only.</w:t>
      </w:r>
    </w:p>
    <w:p>
      <w:pPr>
        <w:spacing w:after="0" w:line="45"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Defined as our total net medical claims incurred divided by premiums earned, net.</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Beginning in late March and early April 2020, the COVID-19 pandemic caused an increase in our inpatient hospital costs as members started to experience admissions caused by the virus. The increase in hospital costs was ultimately more than fully offset by a reduction in outpatient and office-based utilization during the second quarter of 2020. In second quarter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Since fourth quarter 2020, we have continued to incur medical claims related to COVID-19, while seeing increased utilization related to services that were deferred and increased costs related to conditions that were exacerbated by a lack of diagnoses and treatment in the earlier periods of the pandemic.</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speed with which the COVID-19 situation is developing, the global breadth of its spread and the range of governmental and community reactions thereto, there remains uncertainty around its duration and ultimate impact, and the related financial impact on our business could change and cannot be accurately predicted at this time. For additional information regarding the risks to our business and results of operations related to the COVID-19 pandemic, see the section entitled "Risk Factors—Risks Related to Clover’s Business and Industry—We are subject to risks associated with the COVID-19 pandemic, which could have a material adverse effect on our business, results of operations, financial condition and financial performance" in Part II, Item IA of this document.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 of Our Operating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manage our business with two reportable segments: Medicare Advantage and Direct Contracting. The reportable segments are distinguished based on the healthcare delivery business model. Our MA segment is an insurance business model that focuses on leveraging the Clover Assistant at the point of care. Our DC segment is similar to a cost management and care coordination model accounted for as a performance guarantee, where Clover is responsible for coordinating care, managing costs, and providing support to providers and their DCE Beneficiaries through the use of Clover Assistant.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segment groupings are consistent with information used by our Chief Executive Officer, the Corporation’s chief operating decision maker, to assess performance and allocate resources. The Medicare Advantage segment consists of MA plans that generally provide access to a wide network of primary care providers, specialists and hospitals. The Direct Contracting segment consists of our operations in connection with the DC Model, which provides options aimed at reducing expenditures and preserving or enhancing quality of care for DCE Beneficiaries.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Medicare Advantage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its MA operating segment, the Corporation provides PPO and HMO plans that generally provide access to a wide network of primary care providers, specialists and hospitals. We seek to improve care and lower costs by empowering physicians with data-driven, personalized insights at the point of care through our software platform, the Clover Assistant.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4"/>
              </w:rPr>
              <w:t>2021</w:t>
            </w: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4"/>
              </w:rPr>
              <w:t>2020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Medicare Advantage Data: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PMPM</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PMPM</w:t>
            </w:r>
          </w:p>
        </w:tc>
        <w:tc>
          <w:tcPr>
            <w:tcW w:w="0" w:type="dxa"/>
            <w:vAlign w:val="bottom"/>
          </w:tcPr>
          <w:p>
            <w:pPr>
              <w:spacing w:after="0"/>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gridSpan w:val="7"/>
          </w:tcPr>
          <w:p>
            <w:pPr>
              <w:ind w:left="400"/>
              <w:spacing w:after="0"/>
              <w:rPr>
                <w:sz w:val="20"/>
                <w:szCs w:val="20"/>
                <w:color w:val="auto"/>
              </w:rPr>
            </w:pPr>
            <w:r>
              <w:rPr>
                <w:rFonts w:ascii="Arial" w:cs="Arial" w:eastAsia="Arial" w:hAnsi="Arial"/>
                <w:sz w:val="14"/>
                <w:szCs w:val="14"/>
                <w:color w:val="auto"/>
              </w:rPr>
              <w:t>(Premium and expense amounts in thousands, except PMPM amounts)</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Members as of period end (#)</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67,281</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57,503</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Premiums earned, gross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598,760</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501,483</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66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Premiums earned, net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598,390</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501,100</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Medical claim expense incurred, gross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641,300</w:t>
            </w:r>
          </w:p>
        </w:tc>
        <w:tc>
          <w:tcPr>
            <w:tcW w:w="5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411,243</w:t>
            </w:r>
          </w:p>
        </w:tc>
        <w:tc>
          <w:tcPr>
            <w:tcW w:w="520" w:type="dxa"/>
            <w:vAlign w:val="bottom"/>
          </w:tcPr>
          <w:p>
            <w:pPr>
              <w:spacing w:after="0"/>
              <w:rPr>
                <w:sz w:val="19"/>
                <w:szCs w:val="19"/>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medical claims incurred</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410,540</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Medical care ratio, gross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107.1 %</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82.0 %</w:t>
            </w:r>
          </w:p>
        </w:tc>
        <w:tc>
          <w:tcPr>
            <w:tcW w:w="1000" w:type="dxa"/>
            <w:vAlign w:val="bottom"/>
          </w:tcPr>
          <w:p>
            <w:pPr>
              <w:ind w:left="6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Medical care ratio, net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-1165225</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-1165225</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2"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Defined as our total gross medical claims incurred divided by premiums earned, gross.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Membership and Associated Premiums Earned and Medical Claim Expenses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MA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Gross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 (ACA).</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CMS.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Medical Claims Incurred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medical claims incurred excludes the effects of medical claims and associated costs ceded to reinsurers, and therefore should not be used as a substitute for net claims incurred, total expenses or any other measure presented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 (Medicare Advantage)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medical claims incurred are our medical expenses and consists of the costs of claims, including the costs incurred for claims net of amounts ceded to reinsurers. We enter into reinsurance contracts to limit our exposure to potential losses as well as to provide additional capacity for growth. These expenses generally vary based on the total number of members and their utilization rate of our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Care Ratio, Gross and Net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calculate our medical care ratio by dividing total net medical claim expenses incurred by premiums earned, in each case on a gross or net basis, as the case may be, in a given period. We believe our MCR is an indicator of our gross margin for our MA plans and the ability of our Clover Assistant platform to capture and analyze data over time to generate actionable insights for returning members to improve care and reduce medical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DC segment consists of operations in connection with the DC Model. provides a variety of programs aimed at reducing expenditures and preserving or enhancing quality of care for DCE Beneficiaries. We measure Direct Contracting revenue and medical claims on a per-beneficiary per-month (PBPM) basis. In the aggregate, we view these as important metrics to assess our financial performance, including our ability to reduce expenditures and preserve or enhance quality of care for DCE Beneficiaries.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Nine Months Ended September 30, 2021</w:t>
            </w:r>
          </w:p>
        </w:tc>
        <w:tc>
          <w:tcPr>
            <w:tcW w:w="0" w:type="dxa"/>
            <w:vAlign w:val="bottom"/>
          </w:tcPr>
          <w:p>
            <w:pPr>
              <w:spacing w:after="0"/>
              <w:rPr>
                <w:sz w:val="1"/>
                <w:szCs w:val="1"/>
                <w:color w:val="auto"/>
              </w:rPr>
            </w:pPr>
          </w:p>
        </w:tc>
      </w:tr>
      <w:tr>
        <w:trPr>
          <w:trHeight w:val="223"/>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Direct Contracting Data</w:t>
            </w:r>
            <w:r>
              <w:rPr>
                <w:rFonts w:ascii="Arial" w:cs="Arial" w:eastAsia="Arial" w:hAnsi="Arial"/>
                <w:sz w:val="23"/>
                <w:szCs w:val="23"/>
                <w:b w:val="1"/>
                <w:b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1133"/>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PBPM</w:t>
            </w: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960" w:type="dxa"/>
            <w:vAlign w:val="bottom"/>
            <w:gridSpan w:val="3"/>
          </w:tcPr>
          <w:p>
            <w:pPr>
              <w:jc w:val="right"/>
              <w:ind w:right="630"/>
              <w:spacing w:after="0"/>
              <w:rPr>
                <w:sz w:val="20"/>
                <w:szCs w:val="20"/>
                <w:color w:val="auto"/>
              </w:rPr>
            </w:pPr>
            <w:r>
              <w:rPr>
                <w:rFonts w:ascii="Arial" w:cs="Arial" w:eastAsia="Arial" w:hAnsi="Arial"/>
                <w:sz w:val="14"/>
                <w:szCs w:val="14"/>
                <w:color w:val="auto"/>
                <w:w w:val="98"/>
              </w:rPr>
              <w:t>(Revenue and claims amounts in thousands, except PBPM amounts)</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Beneficiaries as of period end (#)</w:t>
            </w:r>
          </w:p>
        </w:tc>
        <w:tc>
          <w:tcPr>
            <w:tcW w:w="4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61,818</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Direct Contracting 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340" w:type="dxa"/>
            <w:vAlign w:val="bottom"/>
          </w:tcPr>
          <w:p>
            <w:pPr>
              <w:jc w:val="right"/>
              <w:ind w:right="193"/>
              <w:spacing w:after="0"/>
              <w:rPr>
                <w:sz w:val="20"/>
                <w:szCs w:val="20"/>
                <w:color w:val="auto"/>
              </w:rPr>
            </w:pPr>
            <w:r>
              <w:rPr>
                <w:rFonts w:ascii="Arial" w:cs="Arial" w:eastAsia="Arial" w:hAnsi="Arial"/>
                <w:sz w:val="18"/>
                <w:szCs w:val="18"/>
                <w:color w:val="auto"/>
              </w:rPr>
              <w:t>439,020</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medical claims incurred</w:t>
            </w:r>
          </w:p>
        </w:tc>
        <w:tc>
          <w:tcPr>
            <w:tcW w:w="420" w:type="dxa"/>
            <w:vAlign w:val="bottom"/>
            <w:shd w:val="clear" w:color="auto" w:fill="CCEEFF"/>
          </w:tcPr>
          <w:p>
            <w:pPr>
              <w:spacing w:after="0"/>
              <w:rPr>
                <w:sz w:val="19"/>
                <w:szCs w:val="19"/>
                <w:color w:val="auto"/>
              </w:rPr>
            </w:pPr>
          </w:p>
        </w:tc>
        <w:tc>
          <w:tcPr>
            <w:tcW w:w="23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469,972</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304"/>
        </w:trPr>
        <w:tc>
          <w:tcPr>
            <w:tcW w:w="5860" w:type="dxa"/>
            <w:vAlign w:val="bottom"/>
          </w:tcPr>
          <w:p>
            <w:pPr>
              <w:ind w:left="140"/>
              <w:spacing w:after="0"/>
              <w:rPr>
                <w:sz w:val="20"/>
                <w:szCs w:val="20"/>
                <w:color w:val="auto"/>
              </w:rPr>
            </w:pPr>
            <w:r>
              <w:rPr>
                <w:rFonts w:ascii="Arial" w:cs="Arial" w:eastAsia="Arial" w:hAnsi="Arial"/>
                <w:sz w:val="18"/>
                <w:szCs w:val="18"/>
                <w:color w:val="auto"/>
              </w:rPr>
              <w:t>Direct Contracting margin</w:t>
            </w:r>
            <w:r>
              <w:rPr>
                <w:rFonts w:ascii="Arial" w:cs="Arial" w:eastAsia="Arial" w:hAnsi="Arial"/>
                <w:sz w:val="23"/>
                <w:szCs w:val="23"/>
                <w:color w:val="auto"/>
                <w:vertAlign w:val="superscript"/>
              </w:rPr>
              <w:t>(2)</w:t>
            </w:r>
          </w:p>
        </w:tc>
        <w:tc>
          <w:tcPr>
            <w:tcW w:w="4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107.1 %</w:t>
            </w:r>
          </w:p>
        </w:tc>
        <w:tc>
          <w:tcPr>
            <w:tcW w:w="6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We began participating in Direct Contracting in April 2021.</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Defined as net medical claims incurred divided by Direct Contracting revenue.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beneficiary is defined as an eligible Original Medicare covered life that has been aligned to our DCE, Health Partners, via attribution to a DCE-participating provider through alignment based on claims data or by beneficiary election through voluntary alignment. A beneficiary alignment is effective as of the first of the month, for the full calendar month, regardless of whether eligibility is lost during the course of the month.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 Revenue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Contracting revenue represents CMS’s total expense incurred for medical services provided on behalf of DCE Beneficiaries during months in which they were alignment eligible during the performance year. Direct Contracting revenue is calculated by taking the sum of the capitation payments made to us for services within the scope of our capitation arrangement and FFS payments made to providers directly from CMS. Direct Contracting revenue is also known in the DC Model as performance year expenditures and is the primary component used to calculate shared savings or shared loss versus the performance year benchmark. Direct Contracting revenue includes a direct reduction or increase of shared savings or loss, as applicable. Premiums and recoupments incurred in direct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relation to the DC Model are recognized as a reduction or increase in Direct Contracting revenue, as applicable. We believe Direct Contracting revenue provides useful insight into the gross economic benefit generated by our business operations and allows us to evaluate our performance without regard to changes in our underlying reinsurance 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 (Direct Contracting)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medical claims incurred consists of the total incurred expense that CMS and we will remit for medical services provided on behalf of DCE Beneficiaries during the months in which they are alignment eligible and aligned to the DCE. Additionally, net medical claims incurred is inclusive of fees paid to providers for Clover Assistant usage, care coordination, and any shared savings or shared loss agreements with providers. Net medical claims incurred is presented on our Condensed Consolidated Statements of Operations and Comprehensive Loss in accordance with GAAP.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 Margin (DCM)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our DCM by dividing net medical claims incurred by Direct Contracting revenue in a given period. We believe our DCM is an indicator of our gross profitability and the ability to capture and analyze data over time to generate actionable insights for returning beneficiaries to improve care and reduce medical expenses.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components described below, additional components of our results of operations include Premiums Earned, net, Direct Contracting revenue and Net Medical Claims Incurred, which are described in the “Key Performance Measures of Our Operating Segments” section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income primarily consists of income earned from rental agreements with third parties for subleases of our leased office facilities In addition, other income includes income generated from ceded allowances under reinsurance agreements, which are amounts paid by the reinsurers to help cover certain expenses incurred by the ceding party in relation to the ceded contracts, and an immaterial amount of other income from commissions related to premiums ceded under our reinsurance agreements. Commissions from premiums ceded under reinsurance agreements are earned when ceded to reinsurers over the period of policies. The amount of commissions we earn is dependent upon the terms of our reinsurance contracts and the amount of premiums ceded.</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income also includes interest earned from fixed-maturity securities, short-term securities and other investments, the gains or losses on sales and maturities of investments. Our cash and invested assets primarily consist of fixed-maturity securities, and may also include cash and cash equivalents, equity securities, and short-term investments. The principal factors that influence net investment income are the size of our investment portfolio and the yield on that portfolio. As measured by amortized cost (which excludes changes in fair value, such as changes in interest rates), the size of our investment portfolio is mainly a function of our invested equity capital along with premiums we receive less amounts paid in costs of care.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Salaries and benefits consist of salaries, sales commissions, stock-based compensation expense, employee benefit costs, severance costs and payroll taxes for employees.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expenses for salaries and benefits as a result of expanding our headcount to support our increased compliance requirements associated with operating as a public company or otherwise and the growth of our business. As a result, we expect that our salaries and benefits will increase in absolute dollars in future periods and vary from period-to-period as a percentage of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 consists of legal, accounting, tax and other professional fees, consulting fees, hardware and software costs, payments to our third-party cloud infrastructure providers for hosting our software, travel expenses, recruiting fees, certain tax, license and insurance-related expenses, including industry assessments, advertising and marketing costs, membership-driven administrative costs, lease and occupancy costs, statutory and other fees and other overhead costs. Membership-driven administrative costs consist of enrollment-related costs, broker commissions and call center expenses.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the ACA, which established insurance industry assessments, including an annual health insurance industry fee. The annual health insurance industry fee was suspended in 2019. In 2020, the fee incurred and paid by the Corporation was approximately $8.0 million. The fee has been permanently repealed beginning in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general and administrative expenses as a result of operating as a public company, including expenses related to compliance with the rules and regulations of the SEC and the listing standards of Nasdaq, additional corporate, director and officer insurance expenses, greater investor relations expenses and increased professional service fees. As a result, we expect that our general and administrative expenses will increase in absolute dollars in future periods and vary from period-to-period as a percentage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Expense (Benefit)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Premium deficiency reserves are established to the extent that the sum of expected future costs, claim adjustment expenses, and maintenance costs exceeds related future premiums. We assess the profitability of our contracts with CMS to identify those contracts where current operating results or forecasts indicate probable future losses. Premium deficiency reserve expense (benefit) is recognized in the period in which the losses are identified. Premium deficiency reserves are then amortized over the period in which losses were expected to occur. The amortization is expected to have an offsetting impact to the operating losses in that period. We may identify and recognize additional premium deficiency reserves depending on the rates that are paid to us by CMS based on our actuarial bids and the utilization of healthcare services by our members.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consists of all depreciation and amortization expenses associated with our property and equipment. Depreciation includes expenses associated with property and equipment. Amortization includes expenses associated with leasehold improvements.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expense consists primarily of debt issuance costs incurred in connection with the issuance of an aggregate of $373.8 million initial principal amount of convertible securities (Convertible Securities) in February, March, May, and August 2019. The Convertible Securities were converted into shares of the Corporation's Class B common stock upon the completion of the Business Combination on January 7,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 in fair value of warrants payable is related to a mark-to-market adjustment associated with warrants to purchase our capital stock. In connection with the Closing, the warrants of Legacy Clover automatically converted into shares of Class B Common Stock, and we are no longer required to re-measure the value of those warrants. Change in fair value of warrants payable for our Public Warrants and Private Placement Warrants assumed in connection with the Business Combination reflects the mark-to-market adjustment associated with warrants to purchase our Class A Common Stock from January 7, 2021, through the end of the reporting period. The change in fair value of warrants payable is inclusive of the warrant amortization expense associated with the warrants payable in each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consists mostly of interest expense associated with our previously outstanding non-convertible notes (Term Loan Notes) under a term loan facility entered into by the Corporation on March 21, 2017, for an aggregate principal amount of $60.0 million (the “Loan Facility”). All remaining principal and accrued interest under the Loan Facility was voluntarily paid, and the facility was terminated, as of June 29,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notes and securities discounts consists of amortization of the debt discount associated with the Convertible Securities, warrants and debt issuance costs associated with the Term Loan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(Gain) loss on derivative consisted of (gain) loss on embedded derivatives contained in the Convertible Securities. The embedded derivatives related to the conversion features of the Convertible Securities, which reflected a premium above the principal and accrued interest thereon.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gain or loss on derivative based on changes in fair value of the embedded derivatives contained in the Convertible Securities. The carrying amounts of these embedded derivatives were recorded at fair value at issuance, marked-to-market as of each balance sheet date, and changes in fair value were reported as either income or expense during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To estimate the fair value attributable to these features, we estimated the value of the Convertible Securities (i) with the embedded derivatives and</w:t>
      </w:r>
    </w:p>
    <w:p>
      <w:pPr>
        <w:spacing w:after="0" w:line="35" w:lineRule="exact"/>
        <w:rPr>
          <w:sz w:val="20"/>
          <w:szCs w:val="20"/>
          <w:color w:val="auto"/>
        </w:rPr>
      </w:pPr>
    </w:p>
    <w:p>
      <w:pPr>
        <w:ind w:left="5540" w:right="2880" w:hanging="5532"/>
        <w:spacing w:after="0" w:line="761" w:lineRule="auto"/>
        <w:tabs>
          <w:tab w:leader="none" w:pos="2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without the embedded derivatives. The incremental difference between the two values was then used to estimate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the fair value of the embedded derivatives. A probability-weighted present value of expected future returns model was then used to estimate the value of the conversion features under various probable scenarios. The assumptions used to arrive at the estimated fair value generally included the stock price, strike price, volatility, risk-free rate, and time to maturity, among others.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7, 2021, in connection with the Closing, the Convertible Securities converted to shares of the Corporation's common stock and the associated derivative liability was eliminated.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three months ended September 30, 2021 and 2020. The period-to-period comparison of results is not necessarily indicative of results for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7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Three Months Ended September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8"/>
                <w:szCs w:val="18"/>
                <w:b w:val="1"/>
                <w:bCs w:val="1"/>
                <w:color w:val="auto"/>
                <w:w w:val="95"/>
              </w:rPr>
              <w:t>30,</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Change</w:t>
            </w: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9"/>
        </w:trPr>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center"/>
              <w:ind w:left="511"/>
              <w:spacing w:after="0"/>
              <w:rPr>
                <w:sz w:val="20"/>
                <w:szCs w:val="20"/>
                <w:color w:val="auto"/>
              </w:rPr>
            </w:pPr>
            <w:r>
              <w:rPr>
                <w:rFonts w:ascii="Arial" w:cs="Arial" w:eastAsia="Arial" w:hAnsi="Arial"/>
                <w:sz w:val="14"/>
                <w:szCs w:val="14"/>
                <w:color w:val="auto"/>
                <w:w w:val="92"/>
              </w:rPr>
              <w:t>(in thousands)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80"/>
              <w:spacing w:after="0" w:line="176" w:lineRule="exact"/>
              <w:rPr>
                <w:sz w:val="20"/>
                <w:szCs w:val="20"/>
                <w:color w:val="auto"/>
              </w:rPr>
            </w:pPr>
            <w:r>
              <w:rPr>
                <w:rFonts w:ascii="Arial" w:cs="Arial" w:eastAsia="Arial" w:hAnsi="Arial"/>
                <w:sz w:val="18"/>
                <w:szCs w:val="18"/>
                <w:color w:val="auto"/>
                <w:w w:val="94"/>
              </w:rPr>
              <w:t>Premiums earned, net (Net of ceded premiums of $120 and $126 for the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203,657</w:t>
            </w:r>
          </w:p>
        </w:tc>
        <w:tc>
          <w:tcPr>
            <w:tcW w:w="12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167,075</w:t>
            </w:r>
          </w:p>
        </w:tc>
        <w:tc>
          <w:tcPr>
            <w:tcW w:w="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36,582</w:t>
            </w:r>
          </w:p>
        </w:tc>
        <w:tc>
          <w:tcPr>
            <w:tcW w:w="1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three months ended September 30, 2021 and 2020, respectively)</w:t>
            </w: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 Contracting revenue</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222,647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222,647</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169,069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258,094</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medical claims incurred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291,576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0"/>
        </w:trPr>
        <w:tc>
          <w:tcPr>
            <w:tcW w:w="5740" w:type="dxa"/>
            <w:vAlign w:val="bottom"/>
          </w:tcPr>
          <w:p>
            <w:pPr>
              <w:ind w:left="28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73,364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16,628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56,736</w:t>
            </w:r>
          </w:p>
        </w:tc>
        <w:tc>
          <w:tcPr>
            <w:tcW w:w="12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Premium deficiency reserve expense (benefit)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21,533</w:t>
            </w:r>
          </w:p>
        </w:tc>
        <w:tc>
          <w:tcPr>
            <w:tcW w:w="1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2789.2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190,687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385,729</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 in fair value of warrants payable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(8,855)</w:t>
            </w:r>
          </w:p>
        </w:tc>
        <w:tc>
          <w:tcPr>
            <w:tcW w:w="1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notes and securities discount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Gain on derivative</w:t>
            </w:r>
          </w:p>
        </w:tc>
        <w:tc>
          <w:tcPr>
            <w:tcW w:w="2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68,081</w:t>
            </w:r>
          </w:p>
        </w:tc>
        <w:tc>
          <w:tcPr>
            <w:tcW w:w="1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514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857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714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-1019175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-1019175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-1019175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-2228215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-2228215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-2228215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-3102610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3" w:lineRule="exact"/>
        <w:rPr>
          <w:sz w:val="20"/>
          <w:szCs w:val="20"/>
          <w:color w:val="auto"/>
        </w:rPr>
      </w:pPr>
    </w:p>
    <w:p>
      <w:pPr>
        <w:ind w:firstLine="8"/>
        <w:spacing w:after="0" w:line="275" w:lineRule="auto"/>
        <w:tabs>
          <w:tab w:leader="none" w:pos="131" w:val="left"/>
        </w:tabs>
        <w:numPr>
          <w:ilvl w:val="0"/>
          <w:numId w:val="30"/>
        </w:numPr>
        <w:rPr>
          <w:rFonts w:ascii="Arial" w:cs="Arial" w:eastAsia="Arial" w:hAnsi="Arial"/>
          <w:sz w:val="16"/>
          <w:szCs w:val="16"/>
          <w:color w:val="auto"/>
        </w:rPr>
      </w:pPr>
      <w:r>
        <w:rPr>
          <w:rFonts w:ascii="Arial" w:cs="Arial" w:eastAsia="Arial" w:hAnsi="Arial"/>
          <w:sz w:val="16"/>
          <w:szCs w:val="16"/>
          <w:color w:val="auto"/>
        </w:rPr>
        <w:t>= Not presented because the prior period amount is zero or the amount for the line item changed from a gain to a loss (or vice versa) and thus yields a result that is not meaningful.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increased $36.6 million, or 21.9%, to $203.7 million for the three months ended September 30, 2021, compared to the three months ended September 30, 2020. The increase was mostly due to membership growth of 17.0% from 57,503 Medicare Advantage members at September 30, 2020, to 67,281 Medicare Advantage members at September 30, 2021. Additional risk adjustment revenue of $4.6 million was recognized during the three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participation in Direct Contracting launched in April 2021. Revenue related to Direct Contracting was $222.6 million for the three months ended September 30, 2021. This revenue was attributable to the alignment of Original Medicare beneficiaries to our DCE, which numbered 61,818 at September 30, 2021.</w:t>
      </w:r>
    </w:p>
    <w:p>
      <w:pPr>
        <w:sectPr>
          <w:pgSz w:w="11900" w:h="16838" w:orient="portrait"/>
          <w:cols w:equalWidth="0" w:num="1">
            <w:col w:w="11240"/>
          </w:cols>
          <w:pgMar w:left="320" w:top="98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decreased $1.1 million, or 56.9%, to $0.9 million for the three months ended September 30, 2021, compared to the three months ended September 30, 2020. The decrease was primarily due to lower net investment income of $0.6 million and decreased rental income of $0.2 million in the three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medical claims incurred increased $291.6 million, or 201.3%, to $436.4 million for the three months ended September 30, 2021, compared to the three months ended September 30, 2020. The increase was primarily due to the launch of Direct Contracting in April 2021, MA membership growth, and the impact from the COVID-19 pandemic. Notably, in third quarter 2020, our non-COVID-19 utilization of healthcare services was below historical benchmarks. Utilization was higher during the three months ended September 30, 2021, as compared to the three months ended September 30, 2020, due to deferral of services and increased costs related to conditions that were exacerbated by a lack of diagnoses and treatment in the earlier periods of the pandemic. See also "—Impact of COVID-19"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Salaries and benefits increased $56.7 million, or 341.2%, to $73.4 million for the three months ended September 30, 2021, compared to the three months ended September 30, 2020. The increase was primarily driven by higher stock-based compensation expense of $45.3 million due to increased headcount and additional awards issued in connection with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increased $15.9 million, or 53.3%, to $45.7 million for the three months ended September 30, 2021, compared to the three months ended September 30, 2020. The increase was driven in part by increases in professional fees to support our growth and additional costs related to operating as a public company. Software application expense also increased due to the continued development of platform and information technology capabilities within the organization. For the three months ended September 30, 2021, we also recognized $1.1 million in amortization expense related to deferred acquisition costs. There was no amortization expense related to deferred acquisition costs recognized for the three months ended September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Expense (Benefit)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$20.8 million premium deficiency reserve expense was recorded for the three months ended September 30, 2021, which includes amortization associated with a previously recorded reserve and a reserve deemed necessary for the remainder of 2021. For the three months ended September 30, 2020, there was a benefit of $0.8 million related to amortization associated with a reserve deemed necessary as of the end of fiscal year 2019 for fiscal year 2020. The change was primarily due to management’s assessment of actual and anticipated experience related to the profitability of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an increase of $115.2 million on the change in fair value of warrants payable for the three months ended September 30, 2021, compared to a decrease of $20.0 million for the three months ended September 30, 2020. The increase was due to the mark-to-market adjustment in the three months ended September 30, 2021, of the Public Warrants and Private Placement Warrants. The decrease for the three months ended September 30, 2020, was related to an increase in the valuation of the legacy warrants during the period. For additional information, see Note 5 (Fair Value Measurements) and Note 10 (Warrants Payable) to Financial Statements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$8.9 million, or 95.5%, to $0.4 million for the three months ended September 30, 2021, compared to the three months ended September 30, 2020, primarily related to the conversion of the Convertible Securities to shares of the Corporation’s common stock in connection with the completion of the Business Combination on January 7,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of notes and securities discounts decreased $4.4 million, or 99.7%, to an immaterial amount for the three months ended September 30, 2021, compared to the three months ended September 30, 2020. The decrease related to the completion of the Business Combination on January 7, 2021, whereby the unamortized discount associated with the August 2019 tranche of the Convertible Securities was accelerated.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Gain on Derivative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gain on derivative for the three months ended September 30, 2021, compared to a $68.1 million gain on derivative for the three months ended September 30, 2020. The change related to the capital contribution treatment of the elimination of the derivative associated with the Convertible Securities upon completion of the Business Combination on January 7,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consolidated results of operations for the nine months ended September 30, 2021 and 2020. The period-to-period comparison of results is not necessarily indicative of results for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7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8"/>
                <w:szCs w:val="18"/>
                <w:b w:val="1"/>
                <w:bCs w:val="1"/>
                <w:color w:val="auto"/>
                <w:w w:val="95"/>
              </w:rPr>
              <w:t>30,</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Change</w:t>
            </w: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9"/>
        </w:trPr>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center"/>
              <w:ind w:left="511"/>
              <w:spacing w:after="0"/>
              <w:rPr>
                <w:sz w:val="20"/>
                <w:szCs w:val="20"/>
                <w:color w:val="auto"/>
              </w:rPr>
            </w:pPr>
            <w:r>
              <w:rPr>
                <w:rFonts w:ascii="Arial" w:cs="Arial" w:eastAsia="Arial" w:hAnsi="Arial"/>
                <w:sz w:val="14"/>
                <w:szCs w:val="14"/>
                <w:color w:val="auto"/>
                <w:w w:val="92"/>
              </w:rPr>
              <w:t>(in thousands)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280"/>
              <w:spacing w:after="0" w:line="176" w:lineRule="exact"/>
              <w:rPr>
                <w:sz w:val="20"/>
                <w:szCs w:val="20"/>
                <w:color w:val="auto"/>
              </w:rPr>
            </w:pPr>
            <w:r>
              <w:rPr>
                <w:rFonts w:ascii="Arial" w:cs="Arial" w:eastAsia="Arial" w:hAnsi="Arial"/>
                <w:sz w:val="18"/>
                <w:szCs w:val="18"/>
                <w:color w:val="auto"/>
                <w:w w:val="94"/>
              </w:rPr>
              <w:t>Premiums earned, net (Net of ceded premiums of $370 and $383 for the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598,390</w:t>
            </w:r>
          </w:p>
        </w:tc>
        <w:tc>
          <w:tcPr>
            <w:tcW w:w="12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501,100</w:t>
            </w:r>
          </w:p>
        </w:tc>
        <w:tc>
          <w:tcPr>
            <w:tcW w:w="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97,290</w:t>
            </w:r>
          </w:p>
        </w:tc>
        <w:tc>
          <w:tcPr>
            <w:tcW w:w="1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nine months ended September 30, 2021 and 2020, respectively</w:t>
            </w: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Direct Contracting revenue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439,020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12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1,039,960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533,305</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medical claims incurred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698,835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70"/>
        </w:trPr>
        <w:tc>
          <w:tcPr>
            <w:tcW w:w="5740" w:type="dxa"/>
            <w:vAlign w:val="bottom"/>
          </w:tcPr>
          <w:p>
            <w:pPr>
              <w:ind w:left="28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201,555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57,339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144,216</w:t>
            </w:r>
          </w:p>
        </w:tc>
        <w:tc>
          <w:tcPr>
            <w:tcW w:w="120" w:type="dxa"/>
            <w:vAlign w:val="bottom"/>
          </w:tcPr>
          <w:p>
            <w:pPr>
              <w:spacing w:after="0"/>
              <w:rPr>
                <w:sz w:val="23"/>
                <w:szCs w:val="23"/>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9"/>
        </w:trPr>
        <w:tc>
          <w:tcPr>
            <w:tcW w:w="5740" w:type="dxa"/>
            <w:vAlign w:val="bottom"/>
          </w:tcPr>
          <w:p>
            <w:pPr>
              <w:ind w:left="280"/>
              <w:spacing w:after="0"/>
              <w:rPr>
                <w:sz w:val="20"/>
                <w:szCs w:val="20"/>
                <w:color w:val="auto"/>
              </w:rPr>
            </w:pPr>
            <w:r>
              <w:rPr>
                <w:rFonts w:ascii="Arial" w:cs="Arial" w:eastAsia="Arial" w:hAnsi="Arial"/>
                <w:sz w:val="18"/>
                <w:szCs w:val="18"/>
                <w:color w:val="auto"/>
              </w:rPr>
              <w:t>Premium deficiency reserve expense (benefit)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65,018</w:t>
            </w:r>
          </w:p>
        </w:tc>
        <w:tc>
          <w:tcPr>
            <w:tcW w:w="1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1,490,163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958,430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(450,203)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(425,125)</w:t>
            </w:r>
          </w:p>
        </w:tc>
        <w:tc>
          <w:tcPr>
            <w:tcW w:w="1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1,695.2</w:t>
            </w:r>
          </w:p>
        </w:tc>
        <w:tc>
          <w:tcPr>
            <w:tcW w:w="0" w:type="dxa"/>
            <w:vAlign w:val="bottom"/>
          </w:tcPr>
          <w:p>
            <w:pPr>
              <w:spacing w:after="0"/>
              <w:rPr>
                <w:sz w:val="1"/>
                <w:szCs w:val="1"/>
                <w:color w:val="auto"/>
              </w:rPr>
            </w:pPr>
          </w:p>
        </w:tc>
      </w:tr>
      <w:tr>
        <w:trPr>
          <w:trHeight w:val="108"/>
        </w:trPr>
        <w:tc>
          <w:tcPr>
            <w:tcW w:w="57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Change in fair value of warrants payable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(98,049)</w:t>
            </w:r>
          </w:p>
        </w:tc>
        <w:tc>
          <w:tcPr>
            <w:tcW w:w="1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5740" w:type="dxa"/>
            <w:vAlign w:val="bottom"/>
          </w:tcPr>
          <w:p>
            <w:pPr>
              <w:ind w:left="280"/>
              <w:spacing w:after="0"/>
              <w:rPr>
                <w:sz w:val="20"/>
                <w:szCs w:val="20"/>
                <w:color w:val="auto"/>
              </w:rPr>
            </w:pPr>
            <w:r>
              <w:rPr>
                <w:rFonts w:ascii="Arial" w:cs="Arial" w:eastAsia="Arial" w:hAnsi="Arial"/>
                <w:sz w:val="18"/>
                <w:szCs w:val="18"/>
                <w:color w:val="auto"/>
              </w:rPr>
              <w:t>Amortization of notes and securities discount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on derivative</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(400,555)</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(390,554)</w:t>
            </w:r>
          </w:p>
        </w:tc>
        <w:tc>
          <w:tcPr>
            <w:tcW w:w="1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3,905.1 %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-1148080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-1148080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-1148080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-2348230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-2348230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-2348230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-3196590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3" w:lineRule="exact"/>
        <w:rPr>
          <w:sz w:val="20"/>
          <w:szCs w:val="20"/>
          <w:color w:val="auto"/>
        </w:rPr>
      </w:pPr>
    </w:p>
    <w:p>
      <w:pPr>
        <w:ind w:firstLine="8"/>
        <w:spacing w:after="0" w:line="275" w:lineRule="auto"/>
        <w:tabs>
          <w:tab w:leader="none" w:pos="131" w:val="left"/>
        </w:tabs>
        <w:numPr>
          <w:ilvl w:val="0"/>
          <w:numId w:val="31"/>
        </w:numPr>
        <w:rPr>
          <w:rFonts w:ascii="Arial" w:cs="Arial" w:eastAsia="Arial" w:hAnsi="Arial"/>
          <w:sz w:val="16"/>
          <w:szCs w:val="16"/>
          <w:color w:val="auto"/>
        </w:rPr>
      </w:pPr>
      <w:r>
        <w:rPr>
          <w:rFonts w:ascii="Arial" w:cs="Arial" w:eastAsia="Arial" w:hAnsi="Arial"/>
          <w:sz w:val="16"/>
          <w:szCs w:val="16"/>
          <w:color w:val="auto"/>
        </w:rPr>
        <w:t>= Not presented because the prior period amount is zero or the amount for the line item changed from a gain to a loss (or vice versa) and thus yields a result that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increased $97.3 million, or 19.4%, to $598.4 million for the nine months ended September 30, 2021, compared to the nine months ended September 30, 2020. The increase was primarily due to membership growth of 17.0% from 57,503 Medicare Advantage members at September 30, 2020, to 67,281 Medicare Advantage members at September 30, 2021. Additional risk adjustment revenue of $7.7 million was recognized during the nine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participation in Direct Contracting launched in April 2021. Revenue related to Direct Contracting was $439.0 million for the nine months ended September 30, 2021. This revenue was attributable to the alignment of Original Medicare beneficiaries to our DCE, which numbered 61,818 at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decreased $3.0 million, or 54.1%, to $2.6 million for the nine months ended September 30, 2021, compared to the nine months ended September 30, 2020. The decrease was primarily due to lower net investment income of $1.9 million and decreased</w:t>
      </w:r>
    </w:p>
    <w:p>
      <w:pPr>
        <w:sectPr>
          <w:pgSz w:w="11900" w:h="16838" w:orient="portrait"/>
          <w:cols w:equalWidth="0" w:num="1">
            <w:col w:w="11240"/>
          </w:cols>
          <w:pgMar w:left="320" w:top="989"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rental income of $0.4 million during the nine months ended September 30, 2021, and the receipt of a $0.5 million state subsidy during the nine months ended September 30, 2020, that was not received in the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medical claims incurred increased $698.8 million, or 170.2%, to $1,109.4 million for the nine months ended September 30, 2021, compared to the nine months ended September 30, 2020. The increase was primarily due to the launch of Direct Contracting in April 2021, MA membership growth, and the impact from the COVID-19 pandemic as discussed in further detail immediately below.</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background, beginning in late March and early April 2020, the COVID-19 pandemic caused an increase in our inpatient hospital costs as members started to experience admissions related to the virus. The increase in hospital costs was ultimately more than fully offset by a reduction in outpatient and office-based utilization during the second quarter of 2020. In second quarter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Deferral of services and increased costs related to conditions that were exacerbated by a lack of diagnoses and treatment in the earlier periods of the pandemic contributed to increased utilization during the nine months ended September 30,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Salaries and benefits increased $144.2 million, or 251.5%, to $201.6 million for the nine months ended September 30, 2021, compared to the nine months ended September 30, 2020. The increase was primarily driven by higher year-over-year stock-based compensation expense of $127.6 million due to increased headcount and additional awards issued in connection with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increased $50.2 million, or 62.9%, to $130.0 million for the nine months ended September 30, 2021, compared to the nine months ended September 30, 2020. The increase was driven in part by increases in professional fees to support our growth and additional costs related to operating as a public company. Software application expense also increased due to the continued development of platform and information technology capabilities within the organization. For the nine months ended September 30, 2021, we also recognized $9.6 million in amortization expense related to deferred acquisition costs. There was no amortization expense related to deferred acquisition costs recognized for the nine months ended September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Expense (Benefit)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$48.7 million premium deficiency reserve expense was recorded for the nine months ended September 30, 2021. This expense includes amortization associated with a previously recorded reserve and a reserve deemed necessary for the remainder of 2021. For the nine months ended September 30, 2020, there was a benefit of $16.4 million related to amortization associated with a reserve deemed necessary as of the end of fiscal year 2019 for fiscal year 2020. The change was primarily due to management’s assessment of actual and anticipated experience related to the profitability of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reported an increase of $66.1 million on the change in fair value of warrants payable for the nine months ended September 30, 2021, compared to a decrease of $31.9 million for the nine months ended September 30, 2020. The increase for the nine months ended September 30, 2021, was due to the mark-to-market adjustment of the Public Warrants and Private Placement Warrants as of September 30, 2021, compared to the initial measurement value as of January 7, 2021. The decrease for the nine months ended September 30, 2020, was related to an increase in the valuation of the legacy warrants during the period. For additional information, see Note 5 (Fair Value Measurements) and Note 10 (Warrants Payable) to Financial Statements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$22.7 million, or 89.0%, to $2.8 million for the nine months ended September 30, 2021, compared to the nine months ended September 30, 2020, primarily related to the conversion of the Convertible Securities to shares of the Corporation’s common stock in connection with the completion of the Business Combination on January 7,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Amortization of notes and securities discounts decreased $1.3 million, or 8.4%, to $13.7 million for the nine months ended September 30, 2021, compared to the nine months ended September 30, 2020. The decrease primarily relates to the completion of the Business Combination on January 7, 2021, whereby the unamortized discount associated with the August 2019 tranche of the Convertible Securities was accelerated. The decrease was also driven by $0.6 million of amortization of debt discount associated with the Convertible Securities during the period from January 1, 2021, to January 7, 2021.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Gain on Derivative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gain on derivative for the nine months ended September 30, 2021, as compared to a $87.5 million gain on derivative for the nine months ended September 30, 2020. This change relates to the capital contribution treatment of the elimination of the derivative associated with the convertible securities upon completion of the Business Combination on January 7,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had cash, cash equivalents, and short-term investments of $420.7 million. Additionally, as of September 30, 2021, we had $168.0 million of available-for-sale and held-to-maturity investment securities, an outstanding balance of $21.6 million on convertible notes issued by an indirect, wholly-owned subsidiary, and no outstanding balance on our Term Loan Notes. Our cash equivalents, short-term investments, and investment securities consist primarily of money market funds and U.S. government debt securities.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inception, we have financed our operations primarily from the proceeds we received through private sales of equity securities, issuances of convertible notes, premiums earned under our MA plans, borrowings under our term loan facility and, most recently, with our Direct Contracting revenues. We expect that our cash, cash equivalents,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operating subsidiaries. Cash, cash equivalents, and short-term investments at the parent company were $236.0 million and $5.4 million as of September 30, 2021, and December 31, 2020, respectively. This increase at the parent company primarily reflects proceeds from the Business Combination offset by capital contributions made to insurance subsidiaries, operating expenses, and repayment of debt. Our unregulated subsidiaries held $38.0 million and $44.6 million of cash, cash equivalents, and short-term investments as of September 30, 2021, and December 31, 2020, respectively. Our regulated insurance subsidiaries held $146.7 million and $46.4 million of cash, cash equivalents, and short-term investments as of September 30, 2021, and December 31, 2020, respectively. Additionally, our regulated insurance subsidiaries held $98.2 million and $54.7 million of available-for-sale and held-to-maturity investment securities as of September 30, 2021, and December 31, 2020, respectively. Our use of operating cash derived from our non-insurance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For additional information, please refer to the parent company financial statements and accompanying notes in Schedule II—Parent Company Financial Information contained in our Consolidated Financial Statements included in the Form 8-K/A.</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detailed discussion of our regulatory requirements, including aggregate statutory capital and surplus as well as dividends paid from the subsidiaries to the parent, please refer to Notes 22, 23, and 24 to our Consolidated Financial Statements included in the Form 8-K/A.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cash flows for the nine months ended September 30, 2021 and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38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2020</w:t>
            </w:r>
          </w:p>
        </w:tc>
        <w:tc>
          <w:tcPr>
            <w:tcW w:w="440" w:type="dxa"/>
            <w:vAlign w:val="bottom"/>
          </w:tcPr>
          <w:p>
            <w:pPr>
              <w:spacing w:after="0"/>
              <w:rPr>
                <w:sz w:val="20"/>
                <w:szCs w:val="20"/>
                <w:color w:val="auto"/>
              </w:rPr>
            </w:pPr>
          </w:p>
        </w:tc>
      </w:tr>
      <w:tr>
        <w:trPr>
          <w:trHeight w:val="181"/>
        </w:trPr>
        <w:tc>
          <w:tcPr>
            <w:tcW w:w="4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31"/>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38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114"/>
              <w:spacing w:after="0"/>
              <w:rPr>
                <w:sz w:val="20"/>
                <w:szCs w:val="20"/>
                <w:color w:val="auto"/>
              </w:rPr>
            </w:pPr>
            <w:r>
              <w:rPr>
                <w:rFonts w:ascii="Arial" w:cs="Arial" w:eastAsia="Arial" w:hAnsi="Arial"/>
                <w:sz w:val="18"/>
                <w:szCs w:val="18"/>
                <w:color w:val="auto"/>
                <w:w w:val="90"/>
              </w:rPr>
              <w:t>(202,150)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70"/>
              <w:spacing w:after="0"/>
              <w:rPr>
                <w:sz w:val="20"/>
                <w:szCs w:val="20"/>
                <w:color w:val="auto"/>
              </w:rPr>
            </w:pPr>
            <w:r>
              <w:rPr>
                <w:rFonts w:ascii="Arial" w:cs="Arial" w:eastAsia="Arial" w:hAnsi="Arial"/>
                <w:sz w:val="18"/>
                <w:szCs w:val="18"/>
                <w:color w:val="auto"/>
                <w:w w:val="89"/>
              </w:rPr>
              <w:t>(58,594)</w:t>
            </w:r>
          </w:p>
        </w:tc>
        <w:tc>
          <w:tcPr>
            <w:tcW w:w="440" w:type="dxa"/>
            <w:vAlign w:val="bottom"/>
          </w:tcPr>
          <w:p>
            <w:pPr>
              <w:spacing w:after="0"/>
              <w:rPr>
                <w:sz w:val="19"/>
                <w:szCs w:val="19"/>
                <w:color w:val="auto"/>
              </w:rPr>
            </w:pPr>
          </w:p>
        </w:tc>
      </w:tr>
      <w:tr>
        <w:trPr>
          <w:trHeight w:val="23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880" w:type="dxa"/>
            <w:vAlign w:val="bottom"/>
            <w:shd w:val="clear" w:color="auto" w:fill="CFF0FC"/>
          </w:tcPr>
          <w:p>
            <w:pPr>
              <w:spacing w:after="0"/>
              <w:rPr>
                <w:sz w:val="19"/>
                <w:szCs w:val="19"/>
                <w:color w:val="auto"/>
              </w:rPr>
            </w:pPr>
          </w:p>
        </w:tc>
        <w:tc>
          <w:tcPr>
            <w:tcW w:w="1020" w:type="dxa"/>
            <w:vAlign w:val="bottom"/>
            <w:shd w:val="clear" w:color="auto" w:fill="CFF0FC"/>
          </w:tcPr>
          <w:p>
            <w:pPr>
              <w:jc w:val="center"/>
              <w:ind w:left="114"/>
              <w:spacing w:after="0"/>
              <w:rPr>
                <w:sz w:val="20"/>
                <w:szCs w:val="20"/>
                <w:color w:val="auto"/>
              </w:rPr>
            </w:pPr>
            <w:r>
              <w:rPr>
                <w:rFonts w:ascii="Arial" w:cs="Arial" w:eastAsia="Arial" w:hAnsi="Arial"/>
                <w:sz w:val="18"/>
                <w:szCs w:val="18"/>
                <w:color w:val="auto"/>
                <w:w w:val="90"/>
              </w:rPr>
              <w:t>(328,956)</w:t>
            </w: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center"/>
              <w:ind w:left="90"/>
              <w:spacing w:after="0"/>
              <w:rPr>
                <w:sz w:val="20"/>
                <w:szCs w:val="20"/>
                <w:color w:val="auto"/>
              </w:rPr>
            </w:pPr>
            <w:r>
              <w:rPr>
                <w:rFonts w:ascii="Arial" w:cs="Arial" w:eastAsia="Arial" w:hAnsi="Arial"/>
                <w:sz w:val="18"/>
                <w:szCs w:val="18"/>
                <w:color w:val="auto"/>
                <w:w w:val="90"/>
              </w:rPr>
              <w:t>69,847</w:t>
            </w:r>
          </w:p>
        </w:tc>
        <w:tc>
          <w:tcPr>
            <w:tcW w:w="440" w:type="dxa"/>
            <w:vAlign w:val="bottom"/>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80" w:type="dxa"/>
            <w:vAlign w:val="bottom"/>
          </w:tcPr>
          <w:p>
            <w:pPr>
              <w:spacing w:after="0"/>
              <w:rPr>
                <w:sz w:val="20"/>
                <w:szCs w:val="20"/>
                <w:color w:val="auto"/>
              </w:rPr>
            </w:pPr>
          </w:p>
        </w:tc>
        <w:tc>
          <w:tcPr>
            <w:tcW w:w="1020" w:type="dxa"/>
            <w:vAlign w:val="bottom"/>
          </w:tcPr>
          <w:p>
            <w:pPr>
              <w:jc w:val="center"/>
              <w:ind w:left="134"/>
              <w:spacing w:after="0"/>
              <w:rPr>
                <w:sz w:val="20"/>
                <w:szCs w:val="20"/>
                <w:color w:val="auto"/>
              </w:rPr>
            </w:pPr>
            <w:r>
              <w:rPr>
                <w:rFonts w:ascii="Arial" w:cs="Arial" w:eastAsia="Arial" w:hAnsi="Arial"/>
                <w:sz w:val="18"/>
                <w:szCs w:val="18"/>
                <w:color w:val="auto"/>
                <w:w w:val="92"/>
              </w:rPr>
              <w:t>641,022</w:t>
            </w:r>
          </w:p>
        </w:tc>
        <w:tc>
          <w:tcPr>
            <w:tcW w:w="480" w:type="dxa"/>
            <w:vAlign w:val="bottom"/>
          </w:tcPr>
          <w:p>
            <w:pPr>
              <w:spacing w:after="0"/>
              <w:rPr>
                <w:sz w:val="20"/>
                <w:szCs w:val="20"/>
                <w:color w:val="auto"/>
              </w:rPr>
            </w:pPr>
          </w:p>
        </w:tc>
        <w:tc>
          <w:tcPr>
            <w:tcW w:w="840" w:type="dxa"/>
            <w:vAlign w:val="bottom"/>
          </w:tcPr>
          <w:p>
            <w:pPr>
              <w:jc w:val="center"/>
              <w:ind w:left="90"/>
              <w:spacing w:after="0"/>
              <w:rPr>
                <w:sz w:val="20"/>
                <w:szCs w:val="20"/>
                <w:color w:val="auto"/>
              </w:rPr>
            </w:pPr>
            <w:r>
              <w:rPr>
                <w:rFonts w:ascii="Arial" w:cs="Arial" w:eastAsia="Arial" w:hAnsi="Arial"/>
                <w:sz w:val="18"/>
                <w:szCs w:val="18"/>
                <w:color w:val="auto"/>
                <w:w w:val="90"/>
              </w:rPr>
              <w:t>10,881</w:t>
            </w:r>
          </w:p>
        </w:tc>
        <w:tc>
          <w:tcPr>
            <w:tcW w:w="440" w:type="dxa"/>
            <w:vAlign w:val="bottom"/>
          </w:tcPr>
          <w:p>
            <w:pPr>
              <w:spacing w:after="0"/>
              <w:rPr>
                <w:sz w:val="20"/>
                <w:szCs w:val="20"/>
                <w:color w:val="auto"/>
              </w:rPr>
            </w:pPr>
          </w:p>
        </w:tc>
      </w:tr>
      <w:tr>
        <w:trPr>
          <w:trHeight w:val="742"/>
        </w:trPr>
        <w:tc>
          <w:tcPr>
            <w:tcW w:w="4580" w:type="dxa"/>
            <w:vAlign w:val="bottom"/>
          </w:tcPr>
          <w:p>
            <w:pPr>
              <w:spacing w:after="0"/>
              <w:rPr>
                <w:sz w:val="24"/>
                <w:szCs w:val="24"/>
                <w:color w:val="auto"/>
              </w:rPr>
            </w:pPr>
          </w:p>
        </w:tc>
        <w:tc>
          <w:tcPr>
            <w:tcW w:w="3880" w:type="dxa"/>
            <w:vAlign w:val="bottom"/>
          </w:tcPr>
          <w:p>
            <w:pPr>
              <w:jc w:val="right"/>
              <w:ind w:right="2650"/>
              <w:spacing w:after="0"/>
              <w:rPr>
                <w:sz w:val="20"/>
                <w:szCs w:val="20"/>
                <w:color w:val="auto"/>
              </w:rPr>
            </w:pPr>
            <w:r>
              <w:rPr>
                <w:rFonts w:ascii="Arial" w:cs="Arial" w:eastAsia="Arial" w:hAnsi="Arial"/>
                <w:sz w:val="18"/>
                <w:szCs w:val="18"/>
                <w:color w:val="auto"/>
              </w:rPr>
              <w:t>46</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largest source of operating cash flows is capitated payments from CMS. Our primary uses of cash from operating activities are payments for medical benefits.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2021, net cash used in operating activities was $202.2 million, which included net loss of $400.6 million. Non-cash activities included a $66.1 million gain as a result of the change in fair value of warrants payable and a $132.5 million charge to stock-based compensation expense. Changes to our working capital included a $48.7 million charge to our premium deficiency reserve and an increase of $13.2 million in surety bonds and deposits related to Direct Contracting.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2020, net cash used in operating activities was $58.6 million, which included a net loss of $10.0 million. Non-cash activities primarily consisted of a $87.5 million gain on derivative, $14.9 million in amortization of notes and securities discount, a $31.9 million loss on the change in fair value of warrants payable, and $4.9 million of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2021, of $329.0 million was primarily due to $705.6 million used to purchase investment securities, offset by $377.1 million provided from the sale and maturity of investment securities.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for the nine months ended September 30, 2020, of $69.8 million was primarily due to $222.7 million provided from the sale and maturity of investment securities, partially offset by $152.2 million used to purchase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2021, of $641.0 million was the result of $666.2 million in proceeds from the reverse recapitalization in connection with the Business Combination, net of transaction costs, partially offset by $30.9 million in principal payments on our outstanding Term Loan Notes.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2020, of $10.9 million was primarily the result of $20.0 million in proceeds from the issuance of the Convertible Securities and $3.9 million from the acquisition of our noncontrolling interest, partially offset by $13.9 million in principal payments on our outstanding Term Loan Notes.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Notes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 loan and security agreement with a commercial lender in March 2017, which provided for term loans in an aggregate principal amount of up to $60.0 million. At that time, we borrowed $40.0 million as a term loan under the agreement which was subject to an interest rate of 11.0%, payable monthly, and had a maturity date of March 1, 2022. In October 2017, we borrowed the remaining $20.0 million as a term loan under the agreement which was subject to an interest rate of 11.25%, payable monthly, and had a maturity date of October 1, 2022. Each loan was payable in monthly installments of interest only for the first 24 months, and thereafter interest and principal were payable in 36 equal monthly installments. The loans were secured by substantially all of our assets, including our intellectual property, and equity interests in our unregulated subsidiaries.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29, 2021, the Corporation voluntarily paid the remaining principal of $20.7 million and interest of $0.2 million, thereby terminating the Loan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Securities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entered into a convertible securities purchase agreement with qualified institutional buyers, including entities affiliated with our Chief Executive Officer and other holders of more than 5.0% of our common stock, for an aggregate principal amount of up to $500.0 million. In February, March, May, and August 2019, we issued an aggregate of $373.8 million initial principal amount of convertible securities, or the Convertible Securities, under the agreement.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and upon the closing of the Business Combination, the Convertible Securities mandatorily converted into 74,694,107 shares of the Corporation's Class B Common Stock. For additional information about the Convertible Securities and the conversion of the Convertible Securities upon the closing of the Business Combination, see Note 9 (Notes and Securities Payable) to Financial Statements in this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funds from future operating cash flows, cash and investments will be sufficient for future operations and commitments, and for capital acquisitions and other strategic transactions.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Material changes to our contractual obligations and commitments as of September 30, 2021, as compared to the amounts disclosed as of December 31, 2020, in the Form 8-K/A included: (1) the recognition of a performance guarantee of $244.6 million in connection with the Corporation’s participation in the DC Model, (2) the impact of the exercise and redemption of all of our Public Warrants and Private Placement Warrants in the third quarter of 2021, which reduced our warrants payable from $97.8 million at December 31, 2020, to none at September 9, 2021, (3) the voluntary payment of the remaining principal of $20.7 million and interest of $0.2 million under the Loan Facility on June 29, 2021, and (4) the conversion of $373.8 million of Convertible Securities into common stock of the Corporation, effective as of the completion of the Business Combination. These developments are described in Note 19 (Direct Contracting), Note 10 (Warrants Payable), Note 9 (Notes and Securities Payable), and Note 3 (Business Combination) to Financial Statements in this report, respectively. There were no other material changes to our contractual obligations and commitments as compared to those disclosed in the Form 8-K/A. For additional information regarding our remaining estimated contractual obligations and commitments, see Note 9 (Notes and Securities Payable), Note 11 (Derivative Liabilities), Note 18 (Commitments and Contingencies) and Note 19 (Direct Contracting) to Financial Statements in this report.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physicians and other parties with respect to certain matters, including, but not limited to, claims that our platform and products infringe the intellectual property rights of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on an ongoing basis, our significant accounting estimates, which include, but are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impacting our reported results of operations and financial condition.</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the accounting policies and estimates described below involve a significant degree of judgment and complexity. Accordingly, we believe these are the most critical to aid in fully understanding and evaluating our Condensed Consolidated Financial Condition and Results of Operations. For further information, see Note 2 (Summary of Significant Accounting Policies) to the Financial Statements in the Form 8-K/A.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Net Medical Claims Incurred - MA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medical claims incurred is recognized in the period in which services are provided and includes paid claims and an estimate of the cost of services which have been incurred but not yet reported (IBNR) and certain other unpaid claims and adjustments. IBNR represents a substantial portion of our unpaid claims, as reflected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r>
      <w:tr>
        <w:trPr>
          <w:trHeight w:val="223"/>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9"/>
                <w:szCs w:val="19"/>
                <w:color w:val="auto"/>
              </w:rPr>
            </w:pPr>
          </w:p>
        </w:tc>
      </w:tr>
      <w:tr>
        <w:trPr>
          <w:trHeight w:val="223"/>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r>
      <w:tr>
        <w:trPr>
          <w:trHeight w:val="179"/>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60" w:type="dxa"/>
            <w:vAlign w:val="bottom"/>
            <w:gridSpan w:val="4"/>
          </w:tcPr>
          <w:p>
            <w:pPr>
              <w:jc w:val="right"/>
              <w:ind w:right="1110"/>
              <w:spacing w:after="0"/>
              <w:rPr>
                <w:sz w:val="20"/>
                <w:szCs w:val="20"/>
                <w:color w:val="auto"/>
              </w:rPr>
            </w:pPr>
            <w:r>
              <w:rPr>
                <w:rFonts w:ascii="Arial" w:cs="Arial" w:eastAsia="Arial" w:hAnsi="Arial"/>
                <w:sz w:val="14"/>
                <w:szCs w:val="14"/>
                <w:color w:val="auto"/>
              </w:rPr>
              <w:t>(dollars in thousands)</w:t>
            </w:r>
          </w:p>
        </w:tc>
        <w:tc>
          <w:tcPr>
            <w:tcW w:w="980" w:type="dxa"/>
            <w:vAlign w:val="bottom"/>
          </w:tcPr>
          <w:p>
            <w:pPr>
              <w:spacing w:after="0"/>
              <w:rPr>
                <w:sz w:val="15"/>
                <w:szCs w:val="15"/>
                <w:color w:val="auto"/>
              </w:rPr>
            </w:pPr>
          </w:p>
        </w:tc>
      </w:tr>
      <w:tr>
        <w:trPr>
          <w:trHeight w:val="23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IBNR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121,870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90.5 %</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83,497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89.2 %</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Other unpaid claims</w:t>
            </w:r>
          </w:p>
        </w:tc>
        <w:tc>
          <w:tcPr>
            <w:tcW w:w="28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7,953</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6,778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adjustment expense</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4,875</w:t>
            </w: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3,340</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unpaid claims and claims adjustment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134,698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93,615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determines the unpaid claims and claims adjustment expense with a supplemental perspective provided by a third-party actuarial firm. We estimate our unpaid claims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These factors are used to determine our lag-dependent completion factors, which represent the average percentage of total incurred claims that have been paid through a given date after being incurred. Completion factors are applied to claims paid through the period-end date to estimate the ultimate claim expense incurred for the period.</w:t>
      </w:r>
    </w:p>
    <w:p>
      <w:pPr>
        <w:spacing w:after="0" w:line="20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completion factors are the most significant factor impacting the IBNR estimate. 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 actuarial standards, there is a reasonable possibility that variances between actual completion factors and those assumed in our September 30, 2021 and 2020, unpaid claim estimates would fall around the middle of the ranges previously presented in our completion factor sensitivity table.</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Actuarial standards require the use of assumptions based on moderately adverse experience, and as such, a provision for adverse deviation (PAD) is recognized on current reserves and released on prior reserves. For further discussion of our reserving methodology, including our use of completion factors to estimate IBNR, refer to Note 2 (Summary of Significant Accounting Policies) within the Financial Statements in the Form 8-K/A.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 - DCE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medical claims incurred for the DCE is recognized in the period in which services are provided and includes paid claims and an estimate of the cost of services which have been incurred but not yet reported and certain other unpaid claims and adjustments. IBNR represents a substantial portion of our unpaid claims, as reflected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45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8"/>
                <w:szCs w:val="18"/>
                <w:b w:val="1"/>
                <w:bCs w:val="1"/>
                <w:color w:val="auto"/>
              </w:rPr>
              <w:t>Nine Months Ended September 30, 2021</w:t>
            </w:r>
          </w:p>
        </w:tc>
        <w:tc>
          <w:tcPr>
            <w:tcW w:w="92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19"/>
                <w:szCs w:val="19"/>
                <w:color w:val="auto"/>
              </w:rPr>
            </w:pPr>
          </w:p>
        </w:tc>
      </w:tr>
      <w:tr>
        <w:trPr>
          <w:trHeight w:val="179"/>
        </w:trPr>
        <w:tc>
          <w:tcPr>
            <w:tcW w:w="57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760" w:type="dxa"/>
            <w:vAlign w:val="bottom"/>
          </w:tcPr>
          <w:p>
            <w:pPr>
              <w:jc w:val="right"/>
              <w:ind w:right="1113"/>
              <w:spacing w:after="0"/>
              <w:rPr>
                <w:sz w:val="20"/>
                <w:szCs w:val="20"/>
                <w:color w:val="auto"/>
              </w:rPr>
            </w:pPr>
            <w:r>
              <w:rPr>
                <w:rFonts w:ascii="Arial" w:cs="Arial" w:eastAsia="Arial" w:hAnsi="Arial"/>
                <w:sz w:val="14"/>
                <w:szCs w:val="14"/>
                <w:color w:val="auto"/>
              </w:rPr>
              <w:t>(dollars in thousands)</w:t>
            </w:r>
          </w:p>
        </w:tc>
        <w:tc>
          <w:tcPr>
            <w:tcW w:w="920" w:type="dxa"/>
            <w:vAlign w:val="bottom"/>
          </w:tcPr>
          <w:p>
            <w:pPr>
              <w:spacing w:after="0"/>
              <w:rPr>
                <w:sz w:val="15"/>
                <w:szCs w:val="15"/>
                <w:color w:val="auto"/>
              </w:rPr>
            </w:pPr>
          </w:p>
        </w:tc>
      </w:tr>
      <w:tr>
        <w:trPr>
          <w:trHeight w:val="23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IBNR</w:t>
            </w:r>
          </w:p>
        </w:tc>
        <w:tc>
          <w:tcPr>
            <w:tcW w:w="182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w w:val="99"/>
              </w:rPr>
              <w:t>$</w:t>
            </w:r>
          </w:p>
        </w:tc>
        <w:tc>
          <w:tcPr>
            <w:tcW w:w="2760" w:type="dxa"/>
            <w:vAlign w:val="bottom"/>
            <w:shd w:val="clear" w:color="auto" w:fill="CCEEFF"/>
          </w:tcPr>
          <w:p>
            <w:pPr>
              <w:jc w:val="right"/>
              <w:ind w:right="1893"/>
              <w:spacing w:after="0"/>
              <w:rPr>
                <w:sz w:val="20"/>
                <w:szCs w:val="20"/>
                <w:color w:val="auto"/>
              </w:rPr>
            </w:pPr>
            <w:r>
              <w:rPr>
                <w:rFonts w:ascii="Arial" w:cs="Arial" w:eastAsia="Arial" w:hAnsi="Arial"/>
                <w:sz w:val="18"/>
                <w:szCs w:val="18"/>
                <w:color w:val="auto"/>
              </w:rPr>
              <w:t>5,512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Other unpaid claims</w:t>
            </w:r>
          </w:p>
        </w:tc>
        <w:tc>
          <w:tcPr>
            <w:tcW w:w="1820" w:type="dxa"/>
            <w:vAlign w:val="bottom"/>
          </w:tcPr>
          <w:p>
            <w:pPr>
              <w:spacing w:after="0"/>
              <w:rPr>
                <w:sz w:val="19"/>
                <w:szCs w:val="19"/>
                <w:color w:val="auto"/>
              </w:rPr>
            </w:pPr>
          </w:p>
        </w:tc>
        <w:tc>
          <w:tcPr>
            <w:tcW w:w="2760" w:type="dxa"/>
            <w:vAlign w:val="bottom"/>
          </w:tcPr>
          <w:p>
            <w:pPr>
              <w:jc w:val="right"/>
              <w:ind w:right="189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adjustment expense</w:t>
            </w:r>
          </w:p>
        </w:tc>
        <w:tc>
          <w:tcPr>
            <w:tcW w:w="182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ind w:right="189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Total unpaid claims and claims adjustment expense</w:t>
            </w:r>
          </w:p>
        </w:tc>
        <w:tc>
          <w:tcPr>
            <w:tcW w:w="182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99"/>
              </w:rPr>
              <w:t>$</w:t>
            </w:r>
          </w:p>
        </w:tc>
        <w:tc>
          <w:tcPr>
            <w:tcW w:w="2760" w:type="dxa"/>
            <w:vAlign w:val="bottom"/>
            <w:tcBorders>
              <w:bottom w:val="single" w:sz="8" w:color="auto"/>
            </w:tcBorders>
          </w:tcPr>
          <w:p>
            <w:pPr>
              <w:jc w:val="right"/>
              <w:ind w:right="1893"/>
              <w:spacing w:after="0"/>
              <w:rPr>
                <w:sz w:val="20"/>
                <w:szCs w:val="20"/>
                <w:color w:val="auto"/>
              </w:rPr>
            </w:pPr>
            <w:r>
              <w:rPr>
                <w:rFonts w:ascii="Arial" w:cs="Arial" w:eastAsia="Arial" w:hAnsi="Arial"/>
                <w:sz w:val="18"/>
                <w:szCs w:val="18"/>
                <w:color w:val="auto"/>
              </w:rPr>
              <w:t>5,512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7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actuaries estimate the unpaid claims by following a detailed actuarial process that uses historical claim payment patterns. We extrapolate in order to form an opinion of ultimate incurred claims based on claims that have been paid to date. This is generally most effective for mature coverage months under stable periods of claims adjudication; therefore, for the estimates of Primary Care Qualified Evaluation and Management expenses, we evaluate IBNR using the pattern of weekly (rather than monthly) services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payments. Under this approach, we include an average historical “age-to-age” estimate, excluding the highest and lowest of the historical factors. We also set a lower limit on the cumulative or “age-to-ultimate” development factors at 1.0, to prevent negative amounts incurred but not paid as a result of expected claim recoveries from being factored into our IBNR.</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for more recent coverage periods we utilize historical estimates of completed claims to estimate the cost of subsequent months based on either expected or known changes in cost drivers. These cost drivers include weekday seasonality, secular seasonality, direct COVID cases and other adjustments as necessary, which enable our actuaries to estimate claims when the available claims experience is either limited or ambiguous.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actuaries also consider this population’s history of observed completion percentages in estimating ultimate claims incurred, using completion percentages that are consistent with historical ranges and informed by new information with other functional departments.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Clover’s reserving practice is to recognize the actuarial best estimate of our ultimate liability for claims. Actuarial standards require the use of assumptions based on moderately adverse experience, and as such, a provision for adverse deviation is recognized on current reserves and released on prior reserves. The PAD is lower for DCE than MA; for DCE, we can use more precise reserving practices, based on our own modeling, than the approach CMS uses for 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Expense (Benefit)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premium deficiency reserve is established when future premiums and current reserves are not sufficient to cover future claim payments and expenses for the remainder of a contract period. These reserves are required for solvency regulation, to help ensure that a reporting entity’s contractual obligations will be adequately funded. We assess the profitability of our MA contracts with CMS to identify those contracts where current operating results or forecasts indicate probable future losses. Premium deficiency reserve expense (benefit) is recognized in the period in which the losses are identified. We may identify and recognize additional premium deficiency reserves depending on the rates that are paid to us by CMS based on our actuarial bids and the utilization of healthcare services by our members.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MA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receive monthly premiums from the federal government according to government specified payment rates and various contractual terms. Revenue from premiums earned is recognized as income in the period in which members are entitled to receive services. Premiums received in advance of the service period are reported as other liabilities and subsequently recognized as revenue in the period earned.</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CMS uses a risk-adjustment model which adjusts premiums paid to MA contracts, based on member risk scores, which are meant to compensate plans that enroll beneficiaries with higher-than-average health risks and to reduce payments for healthier beneficiaries who have lower health risks. Risk scores are based on member diagnoses from the previous year and are periodically adjusted retroactively based on additional plan data collection. Risk adjustments can have a positive or negative retroactive impact to rates. Prospective payments to MA plans are based on the estimated cost of providing standard Medicare-covered benefits to a member with an average risk profile. Under the risk-adjustment methodology, all MA plans must collect and submit the necessary diagnosis code information to CMS within prescribed deadlines. Estimated retroactive lump-sum settlement payments are accrued within revenue for premiums earned to account for the difference between lag risk scores, mid-year risk scores and final risk scores. Any known or expected unfavorable risk score impacts related to quality assurance diagnosis deletions or risk adjustment data validation audits are also considered within accruals and are recorded as a reduction of revenue from premiums earned, based on available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Advantage Part 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received from CMS and members in connection with our participation in the Medicare Advantage Part D program are determined from our annual bid and represent amounts for providing prescription drug insurance coverage; these amounts are recognized as premium revenue for providing this insurance coverage ratably over the term of the annual contract.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 D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us or requiring us to refund to CMS a portion of the premiums received. Management estimates and recognizes an adjustment to premium revenue related to these provisions based upon pharmacy claims experience and input from third-party experts. Management records a receivable or payable at the contract level.</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Rebates are paid by drug manufacturers to our pharmacy benefit manager (PBM) which shares a portion of the rebates with us. Management estimates favorable adjustments to medical expenses related to rebates negotiated by the PBM on our behalf. Estimates</w:t>
      </w:r>
    </w:p>
    <w:p>
      <w:pPr>
        <w:sectPr>
          <w:pgSz w:w="11900" w:h="16838" w:orient="portrait"/>
          <w:cols w:equalWidth="0" w:num="1">
            <w:col w:w="11240"/>
          </w:cols>
          <w:pgMar w:left="320" w:top="989"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color w:val="auto"/>
        </w:rPr>
        <w:t>are based on both actual and estimated pharmacy claims experience throughout the year as well as input from third-party experts and the PBM.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records a receivable at the contract level.</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additional cost-sharing elements that are recorded within medical expenses and take into account factors such as member income levels, brand-name versus generic drug spend, and total spend by member within a plan year. Management estimates and recognizes adjustments to medical expenses based upon inputs such as pharmacy claims experience, rebate activity, and input from third-party experts. Management records a receivable or payable at the end of the year based on these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DCE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Direct Contracting revenue represents CMS’s total expense incurred for medical services provided on behalf of DCE Beneficiaries during months in which they were alignment eligible during the performance year. Direct Contracting revenue is calculated by taking the sum of the capitation payments made to us for services within the scope of our capitation arrangement and FFS payments made to providers directly from CMS. Direct Contracting revenue is also known in the DC Model as performance year expenditures and is the primary component used to calculate shared savings or shared loss versus the performance year benchmark. Direct Contracting revenue includes a direct reduction or increase of shared savings or loss, which is calculated as the difference between the total benchmark and the total cost of care. Premiums and recoupments incurred in direct relation to the DC Model are recognized as a reduction or increase in Direct Contracting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Contracting Receivable and Performance Year Obligation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year receivable and obligation represents the average Medicare beneficiary’s total cost of care for beneficiaries aligned to our DCE and refers to the target expenditure amount that will be compared to Medicare expenditures for items and services furnished to aligned beneficiaries during a performance year. This comparison will be used to calculate shared savings and shared losses.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key inputs in determining the performance year receivable and obligation are trends, risk score, and the number of beneficiaries aligned to the DCE. We begin our benchmark estimation process with benchmark reports delivered from the Centers for Medicare &amp; Medicaid Services Innovation Center (CMMI) on a quarterly basis, which drive the determination of whether certain inputs to that calculation need to be adjusted or accrued as a result of more accurate data. Prospective and retrospective trends are set at a national level, and while it is unlikely we would deviate from CMMI’s estimates, we could adjust from the benchmark report due to new information received directly from CMMI, national studies we complete ourselves, or other anticipated policy updates that we believe are probable and estimable. The preliminary benchmark is set based on risk scores with data captured as of a certain point in time. Once new data is received, an updated analysis of claims provides an opportunity for the benchmark to be adjusted. Lastly, beneficiary counts are updated through the year and represent a timing difference between CMMI reporting, for which we accrue. For the initial performance year, seasonality was assessed in the calculation of the benchmark.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 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2015, we issued warrants to purchase 2,100,000 shares of our common stock. On March 21, 2017, we entered into a loan facility (the "Loan Facility") for an aggregate principal amount of $60.0 million. In conjunction with the Loan Facility, we issued 1,266,284 warrants to purchase shares of our Series D preferred stock. The September 2015 warrants and the Loan Facility warrants were determined to be freestanding instruments as they were detachable and separately exercisable. These warrants were accounted for as derivative instruments in accordance with ASC 815-40 and were presented within warrants payable on the Condensed Consolidated Balance Sheet. The warrant liabilities were measured at fair value at inception and on a recurring basis until redeemed, with changes in fair value presented within change in fair value of warrants payable in the Condensed Consolidated Statement of Operations and Comprehensive Loss.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2016 and December 2017, we issued warrants to purchase 261,681 shares of our common stock to a service provider for services performed. For warrants issued to non-employees as payment for services, such as the November 2016 and December 2017 warrants, we consider the warrants to be in scope of stock-based compensation guidance to non-employees. To determine whether the warrants should be classified as liabilities or equity awards, we evaluate the criteria for debt accounting guidance because share-based payments classified as liabilities under this guidance would also be classified as liabilities under the stock-based accounting guidance. As the November 2016 and December 2017 warrants did not meet any of the criteria to be accounted for as debt, they were classified as equity awards. On the grant date, these warrants were measured by estimating the fair value of the equity instruments to be issued. Stock-based compensation expense was recorded for the vested portion of the warrants.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5, 2020, we entered into the Merger Agreement with SCH and simultaneously amended the terms of the legacy warrants, and they were automatically converted into common stock in connection with the Business Combination.</w:t>
      </w:r>
    </w:p>
    <w:p>
      <w:pPr>
        <w:sectPr>
          <w:pgSz w:w="11900" w:h="16838" w:orient="portrait"/>
          <w:cols w:equalWidth="0" w:num="1">
            <w:col w:w="11240"/>
          </w:cols>
          <w:pgMar w:left="320" w:top="773"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Public Warrants and Private Placement Warrants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assumed, in connection with the Business Combination, Public Warrants and Private Placement Warrants to purchase shares of our Class A Common Stock. These warrants were accounted for as liabilities in accordance with ASC 815-40 and are presented within warrants payable on the Condensed Consolidated Balance Sheet. The warrant liabilities were measured at fair value at inception and on a recurring basis until redeemed, with changes in fair value presented within change in fair value of warrants payable in the Condensed Consolidated Statement of Operations and Comprehensive Loss. The Public Warrants were classified within Level 1 of the fair value hierarchy because the fair value was equal to the publicly traded price of the Public Warrants, and the Private Placement Warrants were classified within Level 2 of the fair value hierarchy because the fair value was estimated using the price of the Public Warrant. On July 22, 2021, we issued a press release stating that we would redeem all unexercised Public Warrants and Private Placement Warrants. In connection with the redemption, effective August 24, 2021, the Public Warrants were delisted and classified within Level 2 of the fair value hierarchy as the fair value of the Public Warrants was based on proportional changes in the price of our common stock. There were no Private Warrants outstanding at August 24,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evaluated the embedded features of the Convertible Securities by applying the derivatives accounting guidance. Derivatives embedded within non-derivative instruments, such as convertible securities, are bifurcated from the host instrument when the embedded derivative is not clearly and closely related to the host instrument. The embedded derivatives associated with the Convertible Securities were recognized as derivative liabilities and recorded at fair value.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around the fair value and inputs used in the modeling related to the liability-classified warrants, please refer to the information contained in our Consolidated Financial Statements included in the Form 8-K/A.</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Fair values of the legacy warrants and derivative liabilities related to the Convertible Securities were estimated using a probability-weighted expected return method, where the values of various instruments were estimated based on an analysis of future values of our business, assuming various future outcomes. The resulting instruments’ values were based upon the probability-weighted present value of expected future investment returns, considering each of the possible future outcomes available to us, as well as the economic benefits attributable to each class of instruments. The expected future investment returns were estimated using a variety of methodologies, including both the market approach and the income approach, where an observable quoted market does not exist, and were generally classified as Level 3. Such methodologies included reviewing values ascribed to our most recent financing, comparing the subject instrument with similar instruments of publicly traded companies in similar lines of business, and reviewing our underlying financial performance and subject instrument, including estimating discounted cash flows. To estimate the fair value attributable to the derivative liabilities, the “with and without” approach is used. An evaluation of multiple scenarios for future payoffs for the underlying Convertible Securities was performed using option pricing models, and probability-weighted average value indications were used to arrive at the estimated fair values.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fair values of the Public Warrants and Private Warrants, please refer to the section entitled “Warrants”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measure and recognize compensation expense for all stock-based awards, including stock options, restricted stock units granted to employees, directors, and non-employees, and stock purchase rights granted under the Employee Stock Purchase Plan (ESPP) to employees, based on the estimated fair value of the awards on the date of grant. The fair value of each stock option and ESPP opportunity granted is estimated using the Black-Scholes option-pricing model. The fair value of each RSU is based on the estimated fair value of our common stock on the date of grant.</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Condensed Consolidated Statements of Operations and Comprehensive Loss within salaries and benefits. We recognize stock-based compensation expense for the portion of awards that have vested. Forfeitures are recorded as they occur.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grant certain awards that have performance-based vesting conditions, including performance restricted stock units that become eligible to vest if prior to the vesting date the average closing price of one share of our common stock for ninety consecutive days equals or exceeds a specified price (Market PRSUs). Stock-based compensation expense for such awards is recognized using an accelerated attribution method from the time it is deemed probable that the vesting condition will be met through the time the service-based vesting condition has been achieved. The determination of the grant-date fair value using an option-pricing model is affected by the estimated fair value of our common stock as well as assumptions regarding a number of other complex and subjective variables.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These variables include expected stock price volatility over an expected term, actual and projected employee stock option exercise behaviors, the risk-free interest rate for an expected term, and expected dividends. The assumptions used in our option-pricing model represent our best estimates. These estimates involve inherent uncertainties and the application of judgment. If factors change and different assumptions are used, our stock-based compensation expense could be materially different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estimated as follows:</w:t>
      </w:r>
    </w:p>
    <w:p>
      <w:pPr>
        <w:spacing w:after="0" w:line="252" w:lineRule="exact"/>
        <w:rPr>
          <w:sz w:val="20"/>
          <w:szCs w:val="20"/>
          <w:color w:val="auto"/>
        </w:rPr>
      </w:pPr>
    </w:p>
    <w:p>
      <w:pPr>
        <w:jc w:val="both"/>
        <w:ind w:left="180" w:right="160"/>
        <w:spacing w:after="0" w:line="263" w:lineRule="auto"/>
        <w:rPr>
          <w:sz w:val="20"/>
          <w:szCs w:val="20"/>
          <w:color w:val="auto"/>
        </w:rPr>
      </w:pPr>
      <w:r>
        <w:rPr>
          <w:rFonts w:ascii="Arial" w:cs="Arial" w:eastAsia="Arial" w:hAnsi="Arial"/>
          <w:sz w:val="18"/>
          <w:szCs w:val="18"/>
          <w:color w:val="auto"/>
        </w:rPr>
        <w:t>Expected term - For stock options considered to be “plain vanilla” options, we estimate the expected term based on the simplified method, which is essentially the weighted average of the vesting period and contractual term, as our historical option exercise experience does not provide a reasonable basis upon which to estimate the expected term.</w:t>
      </w:r>
    </w:p>
    <w:p>
      <w:pPr>
        <w:spacing w:after="0" w:line="211" w:lineRule="exact"/>
        <w:rPr>
          <w:sz w:val="20"/>
          <w:szCs w:val="20"/>
          <w:color w:val="auto"/>
        </w:rPr>
      </w:pPr>
    </w:p>
    <w:p>
      <w:pPr>
        <w:jc w:val="both"/>
        <w:ind w:left="180" w:right="160"/>
        <w:spacing w:after="0" w:line="277" w:lineRule="auto"/>
        <w:rPr>
          <w:sz w:val="20"/>
          <w:szCs w:val="20"/>
          <w:color w:val="auto"/>
        </w:rPr>
      </w:pPr>
      <w:r>
        <w:rPr>
          <w:rFonts w:ascii="Arial" w:cs="Arial" w:eastAsia="Arial" w:hAnsi="Arial"/>
          <w:sz w:val="18"/>
          <w:szCs w:val="18"/>
          <w:color w:val="auto"/>
        </w:rPr>
        <w:t>Expected volatility - We perform an analysis of using the average volatility of a peer group of representative public companies with sufficient trading history over the expected term to develop an expected volatility assumption.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grant date fair value of the Market PRSUs is recognized as expense over the vesting period under the accelerated attribution method and is not adjusted in future periods for the success or failure to achieve the specified market condition. The grant date fair value of Market PRSUs is determined using a Monte Carlo simulation model that incorporates multiple valuation assumptions, including the probability of achieving the specified market condition, expected volatility and risk-free interest rate.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15 to our Condensed Consolidated Financial Statements in the 8-K/A for a complete description of the accounting for stock-based compensation awards.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See Note 2 (Summary of Significant Accounting Policies) to the Financial Statements in this report for a discussion of accounting pronouncements recently adopted and recently issued accounting pronouncements not yet adopted and their potential impact to our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elected to be treated as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exposed to credit risk on our investment portfolio. We manage the exposure to credit risk in our portfolio by investing in high quality securities and diversifying our holdings.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As of September 30, 2021, none of our fixed maturity securities portfolio was unrated or rated below investment grade.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Inflationary factors such as increases in overhead costs may adversely affect our results of operations.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September 30, 2021, pursuant to Rule 13a-15(b) under the Securities Exchange Act of 1934, as amended (the "Exchange Act"). Based upon that evaluation, our Certifying Officers concluded that, as of September 30, 2021, our disclosure controls and procedures were effective.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Remediation of Material Weakness — Technical Accounting Related to Derivative Accounting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preparation of the audited financial statements of Clover Health Investments, Corp. and its consolidated subsidiaries as of prior to the consummation of the Business Combination for the year ended December 31, 2020, we identified a material weakness in our internal control over financial reporting,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material weakness related specifically to our application of the FASB Accounting Standards Codification for derivatives (ASC 815) in the valuation of the embedded derivative features of the convertible securities of Clover Health Investments Corp. and its consolidated subsidiaries as of prior to the consummation of the Business Combination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Corporation's press release announcing our financial results for the three months and year ended December 31, 2020, that we furnished in a Current Report on Form 8-K that was filed on March 1, 2020. Management has determined that the material weakness was remediated due to the fact that the embedded derivative was extinguished upon the consummation of the Business Combination on January 7, 2021.</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Arial" w:cs="Arial" w:eastAsia="Arial" w:hAnsi="Arial"/>
          <w:sz w:val="17"/>
          <w:szCs w:val="17"/>
          <w:color w:val="000000"/>
        </w:rPr>
        <w:t>results</w:t>
      </w:r>
      <w:r>
        <w:rPr>
          <w:rFonts w:ascii="Arial" w:cs="Arial" w:eastAsia="Arial" w:hAnsi="Arial"/>
          <w:sz w:val="17"/>
          <w:szCs w:val="17"/>
          <w:color w:val="231F20"/>
        </w:rPr>
        <w:t xml:space="preserve"> of operation.</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31F20"/>
        </w:rPr>
        <w:t>For example, since February 2021, Clover has received subpoenas from the SEC related to certain disclosures and aspects of our business as well as certain matters described in an article issued on February 4, 2021, by Hindenburg Research LLC (the "Hindenburg article"). We are cooperating with the SEC's investigation. The Hindenburg article, which discussed, among other things, an ongoing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231F20"/>
        </w:rPr>
        <w:t>inquiry by the U.S. Attorney's Office for the Eastern District of Pennsylvania relating to, among other things, certain of our arrangements with providers participating in our network and programs and the Clover Assistant, was the subject of our Current Report on Form 8-K filed with the SEC on February 5,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concerning legal proceedings can be found in Note 18 (Commitments and Contingencies) to the Condensed Consolidated Financial Statements included in Part I, Item 1 of this Form 10-Q, which information is incorporated by reference into this item.</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course of conducting our business operations, we are exposed to a variety of risks, any of which have affected or could materially adversely affect our business, financial condition and results of operations. The market price of our common stock could decline, possibly significantly or permanently, if one or more of these risks and uncertainties occurs. The following risk factors include any material changes to and supersede the risk factors previously disclosed in the 2020 Form 10-K and our Quarterly Report on Form 10-Q for the three months ended June 30,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Consistent with the foregoing, our business is subject to a number of risks and uncertainties, including those risks discussed at length below. These risks include, among others, the following, which we consider to be our most material risks:</w:t>
      </w:r>
    </w:p>
    <w:p>
      <w:pPr>
        <w:spacing w:after="0" w:line="6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incurred net losses in the past, we anticipate increased expenses in the future, and we may not be able to achieve or maintain profitability.</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relatively limited experience with the Clover Assistant, and initial results may not be indicative of future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expansion into Direct Contracting presents new risks to our business.</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spacing w:after="0" w:line="38"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we fail to estimate, price for and manage medical expenses in an effective manner, the profitability of our Medicare Advantage plans and Direct Contracting business could decline, which could materially and adversely affect our results of operations, financial position, and cash flows.</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CMS’s risk adjustment payment system makes our revenue and profitability difficult to predict and could result in material retroactive adjustments to our results of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subject to risks associated with the COVID-19 pandemic, which could have a material adverse effect on our business, results of operations, financial condition, and financial performance.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adoption and use of the Clover Assistant is lower than we expect, our growth may slow or stall, or we may experience a decline in our Lives under Clover Management, and our operating results could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are unable to succeed in expanding our Lives under Clover Management, our future growth would be limited, and our business, financial condition, and results of operations would be harmed.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members and DCE Beneficiaries remain concentrated in certain geographic areas and populations, which exposes us to unfavorable changes in local benefit costs, reimbursement rates, competition, and economic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new markets, particularly rural markets, may not be as profitable to serve as our existing markets.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operating results may be adversely affected if we are unable to grow our provider networks or contract with providers, medical facilities, and other entities on competitive terms.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effectively manage our growth, which could have a material adverse effect on our business, financial condition, and results of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international operations pose certain risks to our business that may be different from risks associated with our domestic operations.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currently, and may in the future be, subject to investigations and litigation, which could be costly and time-consuming to defend, and the outcomes of which cannot be predicted.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0" w:name="page61"/>
    <w:bookmarkEnd w:id="60"/>
    <w:p>
      <w:pPr>
        <w:jc w:val="both"/>
        <w:ind w:left="660" w:hanging="328"/>
        <w:spacing w:after="0" w:line="259"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derive substantially all of our total revenues from Medicare Advantage premiums and Direct Contracting revenue and expect to continue to derive a substantial portion of our total revenues in the future from these lines of business.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protect or enforce our intellectual property rights could impair our ability to protect our internally-developed technology and our brand, and our business may be adversely affected.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failure to obtain or maintain the right to use certain of our intellectual property could negatively affect our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prices and trading volume of our shares of Class A common stock have experienced extreme volatility in recent periods, and such volatility could return, regardless of our operating performance.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substantial amounts of our securities in the public markets, or the perception that they might occur, could cause the market price of our common stock to decline.</w:t>
      </w:r>
    </w:p>
    <w:p>
      <w:pPr>
        <w:spacing w:after="0" w:line="6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certain stockholders, including our directors, executive officers, principal stockholders, and their respective affiliates, who held in the aggregate 88.5% of the voting power of our capital stock as of September 30,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79"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in the past, we anticipate increased expenses in the future, and we may not be able to achieve or maintain profitability.</w:t>
      </w:r>
    </w:p>
    <w:p>
      <w:pPr>
        <w:spacing w:after="0" w:line="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incurred net losses of $400.6 million and $10.0 million for the nine month periods ended September 30, 2021 and 2020, respectively, and $136.4 million and $363.7 million for the years ended December 31, 2020 and 2019, respectively. Our accumulated deficit was approximately $1,429.5 million as of September 30, 2021. We expect our operating costs will increase substantially in the foreseeable future and that our losses will continue as we expect to invest significant additional funds towards growing our business and operating as a public company. In particular, we expect to continue to invest in improving the Clover Assistant and our technology infrastructure, developing our clinical care programs, increasing adoption of the Clover Assistant platform, expanding our marketing and outreach efforts, growing our provider networks, expanding our operations geographically, increasing headcount to support our growth, and developing future offerings that improve care and supplement our revenue streams. These efforts may prove more expensive than we currently anticipate, and we may not succeed in increasing our revenue sufficiently to offset these higher expenses.</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generate revenue from (i) premiums earned (MA premiums earned) in connection with the members under our Medicare Advantage (MA) plans (the “members”), and (ii) capitation payments from the Centers for Medicare &amp; Medicaid Services (CMS) (“Direct Contracting Revenue” and, collectively with MA premiums earned, “total revenues”) for medical services provided on behalf of the Original Medicare beneficiaries aligned to the Company’s Direct Contracting Entity (DCE) in connection with CMS’s Global and Professional Direct Contracting Model (the “DCE Beneficiaries” and, collectively with the members, “Lives under Clover Management” or the “beneficiaries”). Even if we are successful in increasing our Lives under Clover Management and consequently increasing our total revenues from MA premiums earned and Direct Contracting Revenue, we may not successfully and effectively predict, price and manage the medical costs relating to our Lives under Clover Management. As a result, our expenses from net medical claims incurred could exceed any increase in total revenues.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even if we achieve profitability in the future, we may not be able to sustain profitability in subsequent periods. To date, we have financed our operations principally from the sale of our equity securities, MA premiums earned, Direct Contracting Revenue, and the incurrence of indebtedness. Our cash flow from operations was negative for the nine month periods ended September 30, 2021 and 2020, and the years ended December 31, 2020 and 2019, and we may not generate positive cash flow from operations in any given period. If we are not able to achieve or maintain profitability or positive cash flow, we will require additional financing, which may not be available on favorable terms, or at all, or which could be dilutive to our stockholders. If we are unable to successfully address these risks and challenges as we encounter them, our business may be harmed, which could negatively affect the value of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relatively limited experience with the Clover Assistant, and initial results may not be indicative of future performance.</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launching the Clover Assistant in 2018, we have continued to develop its features and capabilities, adapt our go-to-market strategy and adjust its integration with our Medicare Advantage (MA) plans, our Direct Contracting business, and third-party systems.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1" w:name="page62"/>
    <w:bookmarkEnd w:id="61"/>
    <w:p>
      <w:pPr>
        <w:jc w:val="both"/>
        <w:spacing w:after="0" w:line="270" w:lineRule="auto"/>
        <w:rPr>
          <w:sz w:val="20"/>
          <w:szCs w:val="20"/>
          <w:color w:val="auto"/>
        </w:rPr>
      </w:pPr>
      <w:r>
        <w:rPr>
          <w:rFonts w:ascii="Arial" w:cs="Arial" w:eastAsia="Arial" w:hAnsi="Arial"/>
          <w:sz w:val="17"/>
          <w:szCs w:val="17"/>
          <w:color w:val="auto"/>
        </w:rPr>
        <w:t>As a result we may not fully understand the impact of the Clover Assistant on our business and long-term prospects. While the medical care ratio, a measure defined as our total net medical claims expenses incurred divided by premiums earned (MCR), for returning Medicare Advantage members with a PCP who used the Clover Assistant, tends to be lower than the MCR for returning Medicare Advantage members with a PCP who did not use the Clover Assistant, our long-term success depends on maintaining and continuing to improve these effects over time in the markets we serve. There can be no assurance that these effects will improve or persist over time in our current markets or that we can replicate these results as we expand into new markets or into Direct Contracting. We also cannot be certain about the extent to which this differential resulted from use of the Clover Assistant by providers or by other factors. If we are unable to drive and maintain significant reductions in MCR for our members or net medical claims incurred as a percentage of Direct Contracting Revenue (Direct Contracting Margin) for our DCE Beneficiaries to support our business model, it would have a material and adverse effect on our business, financial condition, and results of operation.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Direct Contracting presents new risks to our business.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expanded our business into CMS’ new Direct Contracting Model (DC Model) in April 2021, enabling us to target a larger market opportunity, the Medicare fee-for-service (FFS) market, which is the largest segment of Medicare. As such, our Direct Contracting business is in the early stages of development, and we are subject to the risks inherent to the launch of any new business, including the risks that we may not generate sufficient returns to justify our investment and that it may take longer or be more costly to achieve the expected benefits from this new program. In connection with our expansion into Direct Contracting, we are enhancing and iterating the functionality of Clover Assistant as well as forming relationships with a greater number of providers, and we may face new risks and difficulties, many of which we may not be able to predict or foresee. Also, because the DC Model is a new model designed by CMS’s Center for Medicare &amp; Medicaid Innovation (CMMI), CMMI is constantly evaluating the program and may revise the applicable rules and design at any time, and such changes may have a significant impact on our ability to carry out our business. For example, certain CMMI model methodologies, including but not limited to, allowed provider classes, beneficiary alignment, benchmark establishment, and risk score modeling, are subject to continued evaluation and could materially impact profitability. Similarly, while the DC Model is expected to run through December 31, 2026, CMMI can determine to terminate the program at any time, and in some cases may be required to do so, and if the program is terminated, we will no longer be able to target the FFS market, which in turn could reduce the return on our investments and negatively impact our business, financial condition, results of operations and future prospects.</w:t>
      </w:r>
    </w:p>
    <w:p>
      <w:pPr>
        <w:spacing w:after="0" w:line="20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future performance is primarily dependent on our ability to utilize the Clover Assistant to drive down the lifetime cost of care for our beneficiaries and utilize our clinical care capabilities to improve the quality of care for our beneficiaries. By doing so, we aim to drive per member per month (PMPM) medical expense savings and generate more accurate risk adjustment data over time. If we fail to achieve such decreases in cost of care, our business, results of operations and financial condition will be adversely affected. See the section entitled </w:t>
      </w:r>
      <w:r>
        <w:rPr>
          <w:rFonts w:ascii="Arial" w:cs="Arial" w:eastAsia="Arial" w:hAnsi="Arial"/>
          <w:sz w:val="17"/>
          <w:szCs w:val="17"/>
          <w:i w:val="1"/>
          <w:iCs w:val="1"/>
          <w:color w:val="auto"/>
        </w:rPr>
        <w:t>“—If we fail to estimate, price for and manage medical</w:t>
      </w:r>
      <w:r>
        <w:rPr>
          <w:rFonts w:ascii="Arial" w:cs="Arial" w:eastAsia="Arial" w:hAnsi="Arial"/>
          <w:sz w:val="17"/>
          <w:szCs w:val="17"/>
          <w:color w:val="auto"/>
        </w:rPr>
        <w:t xml:space="preserve"> </w:t>
      </w:r>
      <w:r>
        <w:rPr>
          <w:rFonts w:ascii="Arial" w:cs="Arial" w:eastAsia="Arial" w:hAnsi="Arial"/>
          <w:sz w:val="17"/>
          <w:szCs w:val="17"/>
          <w:i w:val="1"/>
          <w:iCs w:val="1"/>
          <w:color w:val="auto"/>
        </w:rPr>
        <w:t>expenses in an effective manner, the profitability of our Medicare Advantage plans and Direct Contracting business could decline, which could materially and adversely affect our results of operations, financial position and cash flows.”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Furthermore, if we are unable to retain our members and DCE Beneficiaries, our ability to realize the returns on our investments in the Clover Assistant platform could be negatively affected. The lifetime value of our enrollments could be impacted by a variety of factors, including penetration of the Clover Assistant, cost of care reductions from our clinical programs and the length of time a member remains enrolled in our plan or a DCE Beneficiary remains aligned to our DCE. For example, since returning MA members tend to have lower MCR than do new MA members, rapid membership growth or other shifts in the mix of new and returning members could adversely affect our MCR in the near-term and lead to greater losses.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attain or increase profitability.</w:t>
      </w:r>
    </w:p>
    <w:p>
      <w:pPr>
        <w:spacing w:after="0" w:line="19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we are only in our first performance year under the DC Model, we believe that similar to our MA members, returning DCE Beneficiaries could also tend to have a lower Direct Contracting Margin than do the average DCE Beneficiaries who are newly aligned to our DCE due in part to consistent adoption of the DCE’s strategies by participating providers through the demonstration period. Rapid growth in DCE Beneficiaries or other shifts in the mix of net and returning DCE Beneficiaries could adversely affect our Direct Contracting Margin in the near-term and lead to greater losses.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2" w:name="page63"/>
    <w:bookmarkEnd w:id="62"/>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If we fail to estimate, price for and manage medical expenses in an effective manner, the profitability of our Medicare Advantage plans and Direct Contracting business could decline, which could materially and adversely affect our results of operations, financial position and cash flows.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our MA plans, we assume the risk of both the cost of medical services for our members, or medical expenses, and administrative costs for our members in return for monthly premiums, which we are paid by the Centers for Medicare &amp; Medicaid Services (CMS) on a per member basis. The Patient Protection and Affordable Care Act (ACA) requires that we spend at least 85% of those premiums on healthcare services, covered benefits and quality improvement efforts, and we generally use at least 85% of our premium revenues to pay for these costs. As a result, our ability to enhance the profitability of our MA plans and Direct Contracting business depends in significant part on our ability to predict, price and effectively manage medical costs, which are affected by utilization rates, the cost of service and the type of service rendered.</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Through our Direct Contracting business, with the exception of certain CMS risk mitigation mechanisms (i.e., the optional stop-loss program and the mandatory risk corridor program), we assume full risk (i.e., 100% shared savings and shared losses) for the total cost of care of DCE Beneficiaries. Our DCE’s expenditures on covered items and services (Medicare Parts A and B) for our DCE Beneficiaries and capitation paid to the DCE during a performance year are compared to a target amount of Medicare expenditures on those covered items and services (Performance Year Benchmark), and as such, managing those covered items and services in an effective manner is directly related to our financial impact. Further, as part of the DC Model, the Performance Year Benchmark is scheduled to be lowered by CMS on a gradual scale, starting at a 2% discount in 2021 and increasing to a 5% discount by 2026. Due to this increasing discount, one of the primary mechanisms to mitigate the financial impact of this adjustment will be for the DCE to continually improve its medical expense management over the demonstration period.</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Two key factors in our ability to manage medical expenses are the adoption of and engagement with the Clover Assistant by the providers who treat our MA members and DCE Beneficiaries (collectively, the “Providers”) and enrollment in our clinical care programs, including our in-home primary care program (Clover Home Care), by our most at-risk members and DCE Beneficiaries. By driving adoption of and engagement with the Clover Assistant by our Providers, we seek to promote the provision of high-quality medical care driven by real-time, personalized and actionable insights to healthcare providers at the point of care. Through the Clover Assistant, we support effective care coordination and care management informed by data analytics, help members and DCE Beneficiaries receive appropriate preventive care, and promote proper utilization management. We also operate Clover Home Care, an in-home primary complex care program for our most chronically ill members and DCE Beneficiaries, whose medical costs are disproportionately high compared to our other members and DCE Beneficiaries, to further improve quality of life and healthcare for those individuals. If we fail to drive adoption of and engagement with the Clover Assistant by our Providers or fail to accurately identify members at high risk for near-term hospitalization for our complex care management program, we could fail to drive significant reductions in MCR for our members and Direct Contracting Margin for our DCE Beneficiaries, which would have a material and adverse effect on our business, financial condition, and results of operation.</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(such as the COVID-19 pandemic); the introduction of new or costly drugs, treatments and technology; new treatment guidelines; new mandated benefits (such as the expansion of essential benefits coverage) or other regulatory changes; and insured population characteristics. While we believe the Clover Assistant may enable us to make better predictions regarding future medical costs, there can be no assurance that better predictions will be made or that we would be able to realize the benefits of those predictions.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DCE Performance Year Benchmark, which is a target amount of Medicare expenditures against which the DCE’s Performance Year Expenditures are compared to measure shared savings or losses with CMS, is a product of a number of variables, many of which are difficult to estimate at the beginning of the performance year. While we believe our estimate of the Performance Year Benchmark will become more accurate through the performance year as claims are incurred, our exact Performance Year Benchmark will not be known until final reconciliation with CMS. These variables include, but are not limited to, claims trends, beneficiary risk scores, and the mix of claims aligned vs. voluntarily aligned beneficiaries. If the final Performance Year Benchmark is less than anticipated, the profitability of our Direct Contracting business will suffer.</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Providers who treat our members and DCE Beneficiaries may decline to follow appropriate care recommendations and may not carry out effective care coordination and care management. While we deploy the Clover Assistant and promote its adoption by all of our Providers in order to mitigate such risks, even in settings where adoption and use of the Clover Assistant is widespread, there can be no assurances that adherence to evidence-based protocols will be pervasive. Furthermore, our members and DCE Beneficiaries may decline to seek out appropriate preventive care, participate in our readmission and complex care programs,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follow their Provider’s care and healthful living recommendations. We and the Providers, moreover, might not identify the appropriate members and DCE Beneficiaries who can most benefit from our clinical care programs.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Medicare Advantage and Medicare Part D plans are also subject to risks associated with increased medical or pharmaceutical costs. Business models for market participants involved in the financing and supply of pharmaceutical products rely on certain benchmarks and practices (e.g., pricing based on Average Wholesale Price, or the use of Maximum Allowable Cost lists). It is uncertain how these business models will evolve and whether other pricing benchmarks will be introduced and widely adopted. Legislation may also lead to changes in the pricing for the Medicare Advantage program. While we believe we have adequately reviewed our assumptions and estimates regarding these complex and wide 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CMS’s risk adjustment payment system makes our revenue and profitability difficult to predict and could result in material retroactive adjustments to our results of operations.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CMS has implemented a risk adjustment payment system for Medicare health plans to improve the accuracy of payments and establish appropriate compensation for Medicare plans that enroll and treat less healthy Medicare beneficiaries. CMS’s risk adjustment model bases a portion of the total CMS reimbursement payments on various clinical and demographic factors, including hospital inpatient diagnoses, diagnosis data from hospital outpatient facilities and provider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or if the data incorrectly understates the health risk of our members, we might be underpaid for the care that we must provide to our members, any of which could harm our reputation and have a negative impact on our results of operations and financial condition. CMS may also change the way that they measure risk or adjust risk scores, and the impact on any such changes on our business is uncertain.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CMS establishes premium payments to MA plans based on the plans’ approved bids at the beginning of the calendar year. Based on the members’ known demographic and risk information, CMS then adjusts premium levels on two separate occasions during the year on a retroactive basis to take into account additional member risk data. The first such adjustment updates the risk scores for the current year based on prior years’ dates of service. The second such adjustment is a final retroactive risk premium settlement for the prior year. We account for estimates of such adjustments on a monthly basis. In addition, from time to time, CMS makes changes to the way it calculates risk adjustment payments, which may impact our revenues. For example, CMS is phasing-in the process of calculating risk scores using diagnosis data from the Risk Adjustment Processing System (RAPS) to diagnosis data from the Encounter Data System (EDS). The RAPS process requires MA plans to apply a filter based on CMS guidelines and only submit diagnoses that satisfy those guidelines. For submissions through EDS, CMS requires MA plans to submit all the encounter data, and CMS will apply the risk adjustment filtering to determine the risk scores. For the 2020 payment year, 50% of the risk score was calculated from claims data submitted through EDS, and CMS has gradually increased that percentage such that 75% of the risk score will be calculated from claims data submitted through the EDS in 2021. The transition from RAPS to EDS could result in different risk scores from each dataset as a result of plan processing issues, CMS processing issues, or filtering differences between RAPS and EDS, and any reduction in risk adjustments for our members could have a material adverse effect on our results of operations, financial position, or cash flows.</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Direct Contracting Performance Year Benchmark is also risk adjusted, driven by the risk scores of our DCE Beneficiaries, and our DCE currently utilizes the same CMS-Hierarchical Condition Categories (HCC) prospective risk adjustment model used in the MA program. Further, there are specific DC Model rules including a retrospective Coding Intensity Factor that will be applied to our DCE Beneficiaries’ risk scores to limit risk score growth relative to the baseline period. In addition, a DCE-level cap will be applied to the growth in risk scores to further diminish the incentive for coding intensity that does not reflect true health status burden. Notably, contrary to MA, the DC Model does not currently accept supplemental encounter data directly from the DCE. As such, claims corrections which include diagnosis additions or deletions must be directly submitted to CMS by providers through their standard FFS claims process. The DCE may make accruals in accounting periods to account for risk score accuracy for which we believe diagnoses are present but not yet recognized in the beneficiaries’ risk scores due to correction timing with CMS. The nature of these estimates is similar to our MA business and presents similar risks. Further, as noted, because the DC Model is a new model designed by the CMMI, CMMI is constantly evaluating the program and may revise the applicable rules and design of the Risk Score methodology at any time.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As a result of the COVID-19 pandemic, risk adjustment scores may also fall as a result of reduced data collection, decreased patient visits, or delayed medical care, and limitations on payments for certain telehealth services. As a result of the variability of factors affecting plan risk scores that determine such estimations, the actual amount of CMS’s retroactive payment could be materially more or less than our estimates. Consequently, our estimate of our plans’ aggregate member risk scores for any period, and our accrual of premiums related thereto, may result in favorable or unfavorable adjustments to our Medicare premium revenue, which may affect our profitability.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the COVID-19 pandemic, which could have a material adverse effect on our business, results of operations, financial condition, and financial performance.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susceptible to the adverse effects associated with the COVID-19 pandemic, which is having a major impact on health systems, businesses, governments and member activities. The ultimate severity, magnitude, and duration of the COVID-19 pandemic is uncertain and rapidly changing. The full extent to which the COVID-19 pandemic may impact our business, results of operations, and financial condition remains uncertain. Current uncertainties relating to the COVID-19 pandemic that could impact our future results include the development of new COVID-19 variants, such as the “Delta” variant, and the potential for further deferrals of elective or preventive care due to additional COVID-19 outbreaks and resulting stay-at-home orders, which in turn could result in exacerbated health conditions, higher future medical costs, and/or a reduction in risk adjustments and benchmarks against which future CMS bids will be assessed.</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mobilize the full strength of our resources to deliver support for our members and Providers and deliver innovative solutions and support for the communities we serve. For example, we have implemented multi-channel member communications to support COVID-19 vaccination access and availability, Provider support for telehealth adoption by Clover Home Care practices, and the provision of in-home COVID-19 vaccinations for our most vulnerable beneficiaries. However, there can be no assurances that our efforts will be successful or that any of our solutions will be adopted by our Providers.</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impact of the COVID-19 pandemic on our business is primarily dependent upon the ultimate pacing, intensity in our markets and duration of the crisis, which are factors we cannot predict at this time. These factors will drive the related treatment, testing, coverage and other services we provide our beneficiaries. In 2020, the healthcare system experienced deferrals of elective care due to the COVID-19 pandemic, which decreased utilization of healthcare services. The ultimate consequences of delaying medical care are uncertain but they may result in additional medical complications, increased medical costs in future periods and/or reduction in benchmarks that future bids will be assessed against. In particular, a significant portion of our strategy is based on the notion that we can reduce our beneficiaries’ medical costs by utilizing the Clover Assistant to encourage Providers to engage with our beneficiaries to help prevent a deterioration of their health. As a result of the crisis associated with the COVID-19 pandemic, in 2021 we have experienced a significant increase in medical care costs. If a significant portion of our beneficiaries experience a deterioration in health, if our beneficiaries seek care that was deferred during the pandemic, or if our beneficiaries with chronic conditions require additional care resulting from missed treatments, we may experience a continued increase in medical care costs. There can be no assurance that these increased costs were appropriately taken into account when we set the prices for our premiums or that the premiums we receive from the U.S. government and fees we charge will be sufficient to cover the medical and administrative costs that we could ultimately incur. The decreased utilization of Medicare FFS healthcare services during the COVID-19 pandemic may also lead to a reduction in the benchmarks that future CMS bids will be assessed against. If we experience increased medical costs in future periods as a result of the delay in medical care during the COVID-19 pandemic, and those costs are set against reduced benchmarks, our revenue and operating results would be materially adversely impacted. Additionally, if the COVID-19 pandemic results in a decrease in the number of primary care or general wellness visits, adoption of the Clover Assistant by physicians and other providers may be impeded, and our ability to iterate and improve the accuracy of Clover Assistant may be affected. With respect to our Direct Contracting operating segment, the Direct Contracting Benchmark is based on national trends, and while we believe we have certain protections in our DCE's participation agreement with CMS, Clover could be disproportionately affected by COVID-19 if impacts in concentrated regional service areas are significantly above or below national averages.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Governments have modified, and may continue to modify, regulatory standards around various aspects of healthcare in response to the COVID-19 pandemic, and these rapidly changing standards may create challenges for us to ensure timely compliance and meet various contractual obligations. Also, insofar as governments do not modify regulatory standards in light of the COVID-19 pandemic, the changing circumstances may undercut our ability to meet regulatory performance standards and carry out effective and efficient business operations. For example, the precipitous decline in provider office visits, and the concomitant rise of telehealth visits, including audio-only visits, may impair risk adjustment data collection efforts that CMS takes into account for purposes of determining risk adjustment revenue. Also, because our beneficiaries may elect not to leave home for provider visits or preventive care services and may experience heightened depression or other negative health consequences during the pandemic, our ability to address care gaps measured by the CMS Star Ratings programs may be limited. Because our members and DCE Beneficiaries are concentrated in areas that were and continue to be especially hard hit by the pandemic, our performance on CMS Star Ratings measures may be more negatively impacted than that of other MA plans.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5" w:name="page66"/>
    <w:bookmarkEnd w:id="65"/>
    <w:p>
      <w:pPr>
        <w:jc w:val="both"/>
        <w:spacing w:after="0" w:line="289" w:lineRule="auto"/>
        <w:rPr>
          <w:sz w:val="20"/>
          <w:szCs w:val="20"/>
          <w:color w:val="auto"/>
        </w:rPr>
      </w:pPr>
      <w:r>
        <w:rPr>
          <w:rFonts w:ascii="Arial" w:cs="Arial" w:eastAsia="Arial" w:hAnsi="Arial"/>
          <w:sz w:val="16"/>
          <w:szCs w:val="16"/>
          <w:color w:val="auto"/>
        </w:rPr>
        <w:t>The COVID-19 pandemic has also curtailed the ability of our clinical program physicians and providers to care for our most seriously ill members through Clover Home Care, our complex care program, and our hospital readmissions prevention program. Although we have made great strides in treating our beneficiaries during this time through telemedicine, there are some conditions that cannot adequately be addressed remotely. Also some beneficiaries may be unwilling to participate or continue to participate in telehealth visits. In 2021, we have increased the percentage of in-person visits we have had with our beneficiaries, but there may be recurring instances of periods when we are not able to do so. Even when public health experts deem it safe to return to treat members in their homes, our providers may be unwilling to treat our beneficiaries in their homes, or beneficiaries might be unwilling to accept care in their homes. Our Providers themselves might also become infected with COVID-19, or they may leave their positions with us because they do not want to treat people in their homes. Because our most chronically ill members are responsible for a significantly disproportionately high share of our medical expenses, our potential inability or difficulty of providing targeted services to this population can undercut our ability to manage our overall medical expenses.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also transitioned a significant number of our team members to at-home work environments in an effort to mitigate the spread of COVID-19. This transition may decrease effectiveness, including our ability to maintain service levels and ratings, and exacerbate certain risks to our business, including demand for information technology resources, increased vulnerabilities to cybersecurity attacks, and increased risk of unauthorized dissemination of sensitive personal information or proprietary or confidential information about us or our beneficiaries. The COVID-19 pandemic and any resulting economic downturn may cause us to need less office space than we are contractually committed to leasing and prevent us from finding subtenants for such unused office space. Additional disruptive impacts of the COVID-19 pandemic on our workforce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or beneficiaries. Such measures could negatively affect our sales and marketing efforts, sales cycles, employee productivity, or beneficiary retention, any of which could harm our financial condition and business operations.</w:t>
      </w:r>
    </w:p>
    <w:p>
      <w:pPr>
        <w:spacing w:after="0" w:line="2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Disruptions in public and private infrastructure, including supply chains providing medical supplies, could also adversely disrupt our business operations. Additionally, the enactment of emergency powers by governments could disrupt our business operations, including further restricting our members’ ability to receive care, our providers’ ability to operate, or our ability to access necessary supplies.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also adversely impacted global access to capital and caused significant volatility in financial markets. Significant deterioration of the U.S. and global economies could have a significant adverse impact on our investment income, the value of our investments, or future liquidity needs.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Governmental authorities in the United States have recently proposed or issued vaccine mandates requiring certain employers, including federal contractors and employers with at least 100 employees, to ensure that their employees are fully vaccinated against COVID-19, subject to certain exceptions as provided for in the applicable mandate, or, in some cases, be regularly subject to COVID-19 testing. As we are a federal contractor and employ at least 100 employees, any such recently issued or future vaccine mandate could negatively impact our ability to attract or retain workers, including healthcare providers. The loss of, or inability to attract, employees could negatively impact our ability to carry out our business and provide care to our beneficiaries and other critical services, and thus could have a material adverse effect on our business and results of operations.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adoption and use of the Clover Assistant is lower than we expect, our growth may slow or stall, or we may experience a decline in our Lives under Clover Management, and our operating results could be adversely affected.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important part of our growth strategy depends on our ability to increase adoption and use of the Clover Assistant, including by providers who also use electronic health records (EHR) systems. We have directed, and intend to continue to direct, a significant portion of our financial and operating resources to developing the Clover Assistant platform and expanding its usage. There can be no assurance that adoption of Clover Assistant will continue to grow, or that rates of engagement will be maintained or increase. A number of factors could potentially negatively affect adoption of the Clover Assistant and provider engagement, including but not limited to:</w:t>
      </w:r>
    </w:p>
    <w:p>
      <w:pPr>
        <w:spacing w:after="0" w:line="80" w:lineRule="exact"/>
        <w:rPr>
          <w:sz w:val="20"/>
          <w:szCs w:val="20"/>
          <w:color w:val="auto"/>
        </w:rPr>
      </w:pPr>
    </w:p>
    <w:p>
      <w:pPr>
        <w:ind w:left="9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convincing providers of the value, benefits and usefulness of the Clover Assistant; particularly in markets where we have fewer beneficiaries;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integrate with EHR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attract, effectively train and retain effective sales and marketing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develop or expand relationships with strategic partners;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capitalize on co-branding opportunities;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6" w:name="page67"/>
    <w:bookmarkEnd w:id="66"/>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implementation of CMS interoperability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scheduling meetings with providers, and providing demonstrations and trainings related to the Clover Assistant;</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compete effectively against alternative products or services, including overcoming perceptions that existing systems, including EHR systems, are similar and adequate, or that Clover Assistant will increase administrative burdens;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technical or other problems impacting availability or reliability of the platform, including limited broadband access in certain rural areas;</w:t>
      </w:r>
    </w:p>
    <w:p>
      <w:pPr>
        <w:spacing w:after="0" w:line="128"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for members and DCE Beneficiaries in accessing their Providers and a corresponding decrease in the number of primary care visits;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privacy and communication, safety, security or other concerns;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adverse changes in our platform that are mandated by, or that we elect to make, to address, legislation, regulatory authorities or litigation;</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poor user experiences;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attractiveness of our brand or reputation.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we are unable to enroll a sufficient number of patients of a particular physician or provider group in our MA plans, we may have difficulty motivating such physician or provider group to utilize the Clover Assistant, which is not available for use with non-Clover members. Furthermore, if we are unable to address the needs of providers using the Clover Assistant, if providers are dissatisfied with the Clover Assistant, or if new alternative solutions effectively compete with us, providers may decline to use the Clover Assistant.</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Clover Assistant is not adopted as quickly as we anticipate in the markets in which we operate, we may be unable to collect and provide valuable actionable data to providers treating our beneficiaries in such markets, which could prevent us from driving significant reductions in MCR for our beneficiaries in such markets and would in turn curtail our ability to offer competitively priced MA Plans and realize shared savings against the DCE benchmark in such markets. Any such events could result in higher medical expenses and reduced cash flows. As a result, if we are unsuccessful in our efforts to drive adoption of the Clover Assistant, our business, results of operations and financial condition could be harmed.</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attract new users and retain existing users of the Clover Assistant also depends in large part on our ability to continually enhance and improve its features, integrations, and capabilities to continue to provide a useful tool for providers. Accordingly, we must continue investing resources in improving and enhancing the Clover Assistant. For example, in response to the COVID-19 pandemic, we incorporated changes related to telemedicine into the Clover Assistant. Among other things, these changes allow for integrated video usage within the Clover Assistant platform, allowing the provider to perform the telehealth visit while viewing the same actionable information all in one seamless platform. The success of any enhancement to the Clover Assistant will depend on several factors, including timely completion and delivery, adequate quality testing, integration with existing technologies, adequate training of and messaging to providers, and overall market acceptance. Any new features, integrations, and capabilities that we develop may not be introduced in a timely or cost-effective manner, may contain errors, failures, vulnerabilities, or bugs, or may not achieve market acceptance. Furthermore, we may be delayed in our plans to offer certain new features, integrations, and capabilities during the COVID-19 pandemic, particularly if our teams are unable to effectively interact with providers and their offices to provide training and appropriate support for new offerings, or our teams are required to further pivot to focus on our pandemic response, or our remote working strategies fail to maintain or increase productivity, or if there are delays in the hiring and onboarding of new employees, or if regulatory compliance issues arise.</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succeed in expanding our Lives under Clover Management, our future growth would be limited, and our business, financial condition and results of operations would be harmed.</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derive substantially all of our total revenues from MA premiums earned and Direct Contracting Revenue, which are primarily driven by the number of members under our MA plans and the number of our DCE Beneficiaries, respectively. As a result, the number of Lives under Clover Management is critical to our success, and we are continually executing several growth initiatives, strategies, and operating plans designed to increase the number of Lives under Clover Management, including the expansion of our Medicare Advantage and DCE offerings in both additional markets across the United States and in markets we currently serve. We may not be able to successfully complete these growth initiatives, strategies, and operating plans and realize all of the expected potential benefits, including achieving cost savings, better plan economics and more affordable healthcare. In addition, even if we are successful in achieving this growth, doing so may be more costly than we anticipate, and if we are not able to manage our costs our results could be materially adversely affected. See the section entitled “</w:t>
      </w:r>
      <w:r>
        <w:rPr>
          <w:rFonts w:ascii="Arial" w:cs="Arial" w:eastAsia="Arial" w:hAnsi="Arial"/>
          <w:sz w:val="16"/>
          <w:szCs w:val="16"/>
          <w:i w:val="1"/>
          <w:iCs w:val="1"/>
          <w:color w:val="auto"/>
        </w:rPr>
        <w:t>—If we fail to estimate, price for, and manage our medical expenses in 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i w:val="1"/>
          <w:iCs w:val="1"/>
          <w:color w:val="auto"/>
        </w:rPr>
        <w:t>effective manner, the profitability of our Medicare Advantage plans and Direct Contracting business could decline, which could materially and adversely affect our results of operations, financial position and cash flows</w:t>
      </w:r>
      <w:r>
        <w:rPr>
          <w:rFonts w:ascii="Arial" w:cs="Arial" w:eastAsia="Arial" w:hAnsi="Arial"/>
          <w:sz w:val="18"/>
          <w:szCs w:val="18"/>
          <w:color w:val="auto"/>
        </w:rPr>
        <w: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2020, we primarily focused on offering our MA plans in nine counties within New Jersey. In 2021, we offered our MA plans in 108 counties across eight states, and cared for 67,281 MA members as of September 30, 2021. Additionally, we are launching our MA plans in an additional 101 counties and an additional state in 2022. While we intend to continue to grow our MA membership by increasing our share in existing service areas and entering into new service areas, we may not be able to successfully achieve this growth for a number of reasons. Our ability to attract and retain members may be impacted by several factors, including, without limitation:</w:t>
      </w:r>
    </w:p>
    <w:p>
      <w:pPr>
        <w:spacing w:after="0" w:line="8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lack of brand recognition;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developing strategic co-marketing relationships;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lack of shopping for plans by MA eligible beneficiaries;</w:t>
      </w:r>
    </w:p>
    <w:p>
      <w:pPr>
        <w:spacing w:after="0" w:line="117"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shifting consumer preferences, including a preference by members to enroll with an MA plan sponsored by the insurer of the commercial plan in which they enrolled before they became eligible for Medicare, a preference by members to enroll in various special needs plans, which we do not offer;</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failure to effectively compete and offer low cost and high value plans;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establishing an attractive network in new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changes affecting the overall pool of MA eligible beneficiaries;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growing our provider networks and contracting with providers and medical facilities on competitive terms.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HMO plans have restrictions on the network of doctors that HMO members can see, and other providers participating in Medicare may choose to see no MA members or only MA members participating in specific plans. It is also possible that Original Medicare or other insurers’ MA plans may offer better provider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 MA plan from us.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growth in our membership is highly dependent upon our success in attracting new members during the Medicare annual enrollment period and open enrollment period. If our ability or the ability of our partners to 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such as the COVID-19 pandemic, or issues with government-run health insurance exchanges, we could acquire fewer new members than expected or suffer a reduction in the number of our existing members and our business, operating results and financial condition could be harmed.</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we had 61,818 aligned DCE Beneficiaries. As of that date, we had approximately 850 contracted participating providers managing primary care for our DCE Beneficiaries and, additionally, we had approximately 865 preferred providers and preferred facilities in our DCE network. DCE Beneficiary growth is dependent upon the number and size of the providers that contract with the DCE, and CMS’s alignment rules. While we intend to continue to grow our DCE Beneficiaries by increasing our contracts in existing service areas and entering into new service areas, we may not be able to successfully achieve this growth for a number of reasons. Our ability to attract and retain DCE Beneficiaries may be impacted by several factors, including, without limitation:</w:t>
      </w:r>
    </w:p>
    <w:p>
      <w:pPr>
        <w:spacing w:after="0" w:line="84"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lack of brand recognition;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changes affecting the overall pool of Medicare eligibles;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changes impacting provider participation in Medicare value-based programs;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effectively compete and offer competitive payment incentives to attract participating providers and “preferred” providers, which include specialists and ancillary facilities that agree to participate in Direct Contracting with Clover’s DCE;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programmatic adjustments made to the DC Model;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existing shared savings programs or the addition of new shared savings programs;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8" w:name="page69"/>
    <w:bookmarkEnd w:id="68"/>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alignment methodology that CMS uses to align beneficiaries to participants in the DC Model;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ability or the process required to voluntarily align beneficiaries;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notification that CMS intends to discontinue or alter the DC Model or our participation in the program in a significant manner.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factors that could limit our beneficiary growth include, among others, potential non-compliance with CMS requirements and other laws and regulations, which could result in sanctions against us that prevent us from, among other actions, marketing or enrolling in existing markets or entering new markets; delays in the anticipated timing of activities related to such growth initiatives, strategies, and operating plans; increased difficulty and cost in implementing these efforts, including difficulties in complying with existing as well as new regulatory requirements; and the incurrence of other unexpected costs associated with operating the business.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decisions concerning the allocation of management and financial resources toward efforts to grow our Lives under Clover Management in certain markets may not lead to the growth we expect, or any growth. Similarly, our potential decisions to delay entering or terminate our services in any market may subsequently also prove to be suboptimal and could cause us to miss valuable opportunities. If we make incorrect determinations regarding the viability or potential for membership growth in any specific market, our business, financial condition and results of operations could be materially adversely affected. As a result, we may fail to capitalize on viable commercial opportunities or be required to forgo or delay pursuit of opportunities that may later prove to have greater commercial potential than those we choose to pursue.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cannot assure you that we will be able to increase our number of Lives under Clover Management or to the extent to which we will be able to achieve beneficiary growth.</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members and DCE Beneficiaries remain concentrated in certain geographic areas and populations, which exposes us to unfavorable changes in local benefit costs, reimbursement rates, competition and economic conditions.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 members and DCE Beneficiaries remain concentrated in certain geographic areas in the United States and in certain populations. Many are low-income, and a significant number are people of color. As of September 30, 2021, approximately 90% of our Medicare Advantage members, most of whom were in two metropolitan areas, were residents of New Jersey. With respect to the DCE, as of September 30, 2021, approximately 40% of our DCE Beneficiaries were aligned to providers in New York, with an additional 35% in New Jersey and 15% in Kansas. Unfavorable changes in healthcare or other benefit costs or reimbursement rates or increased competition in New Jersey or any other geographic area where our members and DCE Beneficiaries becomes concentrated in the future could therefore have a disproportionately adverse effect on our operating results. Additionally, the geographic concentration and low-income status of a significant portion of our members and DCE Beneficiaries may make them more vulnerable to events such as the COVID-19 pandemic. In particular, a disproportionate number of our members and DCE Beneficiaries may be affected by the COVID-19 pandemic, access to care may be more difficult, and proposed responses, including telehealth, may not be accessible.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markets, particularly rural markets, may not be as profitable to serve as our existing markets.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While we have plans to grow our Lives under Clover Management geographically and across demographics, there is no guarantee that we will be successful in doing so. In addition, as a result of our mission to make great healthcare available to everyone, we seek to provide high-value and affordable MA plans in every market in which we operate and do not exclude MA-eligible beneficiaries that may be higher risk for requiring increased medical costs. Through our participation in the DC Model, we are also planning to expand into new markets through contracting with participating and preferred providers. Given that there are significant health disparities in the United States based on minority and socioeconomic status, and that our low-income and minority members tend to have more chronic illnesses, our strategy could result in our healthcare costs exceeding those of comparable MA plans and other participants in the DC Model who seek to curate their membership. While we believe that with the Clover Assistant we can reduce costs of all of our beneficiaries and drive increasingly better unit economics at scale, there can be no assurances that we will succeed in doing so. We intend to expand into an increasing percentage of counties that CMS classifies as rural. Due to the rural nature of these markets, including the disposition of healthcare in those areas, we may have difficulty providing the same level and types of clinical care as we provide in our other markets. If the medical expenses of beneficiaries in such counties are higher than we anticipate, or if the rates of Clover Assistant adoption in such counties are lower than we anticipate, we may not be able to serve such counties with economic results as favorable as we expect in non-rural counties that we currently predominately serve. If the clinical care we can provide in these rural markets is limited, we may not be able to achieve the same cost savings in these markets as we have previously achieved in our existing markets. As a result, if we are unable to profitably grow and diversify our Lives under Clover Management geographically, our revenue and operating results may be disproportionately affected by adverse changes affecting our beneficiaries.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if we are unable to grow our provider networks or contract with providers, medical facilities, and other entities on competitive terms.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success requires that we successfully maintain and grow our provider networks and contract with providers and medical facilities in new markets in order to meet CMS requirements relating to network adequacy. In addition, in order to retain our members and DCE Beneficiaries and attract additional beneficiaries, our provider networks, including those providers participating in Medicare and willing to see our patients but who we have not contracted with, must be not only adequate, but attractive, providing Medicare-eligible beneficiaries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and could have a material adverse effect on our business, financial condition and results of operations.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the Clover Assistant by providers as well as lead to higher costs, healthcare provider network disruptions and less attractive options for our beneficiaries, any of which could have a material adverse effect on our business, financial condition and results of operations.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effectively manage our growth, which could have a material adverse effect on our business, financial condition and results of operation.</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manage our growth effectively, we may incur unexpected expenses, which could materially adversely affect our business, financial condition and results of operations. To manage our current and anticipated future growth effectively, we must continue to maintain and enhance our information technology (IT),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and the availability of such personnel, in particular software engineers, may be constrained. This will require us to invest in and commit significant financial, operational, and management resources to grow and change in these areas which may disrupt our operations and performance and adversely affect our business, financial condition, and results of operation.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markets for MA plans and related products are highly competitive. We compete in certain segments within the healthcare market, including MA plans as well as other healthcare technology platforms, and have entered into other markets, such as the DC Model. Competition in our market involves rapidly changing technologies, evolving regulatory requirements and industry expectations, new product offerings and constantly evolving beneficiary and provider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Cigna and Centene, that provide MA plans, as well as regional-based companies or health plans that provide MA plans, including Blue Cross Blue Shield affiliates, hospital systems and provider-based organizations. We also face competition from Original Medicare. In addition, as we enter into new markets, and into Direct Contracting, we may compete with regional start-up companies that offer MA plans and other participants in the DC Model. Also, as we develop other products and enter new lines of business, such as Direct Contracting, and other companies do the same, we may compete with providers of healthcare technology platforms, EHR providers, telehealth providers, healthcare data analytics providers and accountable care organizations (ACOs). Furthermore, ACOs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provider users and beneficiaries,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develop and deliver innovative and potentially disruptive products and services to satisfy evolving market demands, or develop and recruit qualified physicians and other provider specialists, we may not remain competitive, and we risk inability to maintain or increase our Lives under Clover Management, lack of adoption of our products and services by beneficiaries and provider users, and loss of current market share to existing competitors and disruptive new market entrants.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of these competitive pressures in our market, or our failure to compete effectively, may result in fewer plans being offered; a reduction in plan benefits; reduced services; a loss of existing beneficiaries or inability to grow our number of beneficiaries; fewer provider users; reduced revenues; lower gross margins; and loss of market share. Any failure to meet and address these factors would harm our business, results of operations and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compete with larger companies that may have stronger brands, and consolidation among competitors would increase competition.</w:t>
      </w:r>
    </w:p>
    <w:p>
      <w:pPr>
        <w:spacing w:after="0" w:line="2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Some of our competitors may have greater name recognition, longer operating histories, stronger and more extensive provider networks and other partner relationships, significantly greater financial, technical, marketing, and other resources, lower labor and development costs, greater access to healthcare data and larger member bases than we do. These competitors may engage in more extensive research and development efforts, undertake more far-reaching marketing campaigns, and adopt more aggressive pricing or payment policies that could allow them to build larger beneficiary bases or provider networks than we have. Our competitors may also provide more desirable products or services or take better care of their members.</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Further, the healthcare industry in the United States has experienced a substantial amount of consolidation, resulting in a decrease in the number of insurance carriers, providers and payors. For example, in January 2020, Centene Corporation acquired Wellcare Health Plans, Inc., which resulted in the significant expansion of Centene’s Medicare footprint. Continued consolidation among providers reduces the number of potential contracting providers in certain geographies, which could lead to reduced leverage in our contract negotiations with those parties, which would limit our ability to expand adoption of the Clover Assistant.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seen in the 2018 acquisition of Aetna by CVS Health.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beneficiary base, a stronger and larger provider network, more widely adopted proprietary technologies, greater ability to care for their members,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beneficiaries may purchase competitive plans in lieu of purchasing our health plans, or providers may adopt competing technology platforms in lieu of the Clover Assistant. Any such events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estimate incurred but not reported claims accurately would affect our results of operations.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the time lag between when medical services are actually rendered by our providers and when we (or CMS with respect to the DCE)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beneficiaries, provider billing practices, benefit changes, known outbreaks of disease, including COVID-19,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1" w:name="page72"/>
    <w:bookmarkEnd w:id="7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Financial accounting for the Medicare Part D benefits requires difficult estimates and assumptions, and if they prove to be incorrect, our results of operations could be adversely affected.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respect to our CMS contracts which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require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Reinsurance and low-income cost subsidies represent payments from CMS in connection with the Medicare Part D program for which we assume no risk. Reinsurance subsidies represent payments for CMS’s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CMS’s prospective subsidies against actual prescription drug costs we paid is made after the end of the applicable year.</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CMS’s claims edit processes due to various reasons, including discrepancies in eligibility or classification of low-income members. To the extent our data does not pass CMS’s claim edit processes, we may bear the risk for all or a portion of the claim which otherwise may have been subject to the risk corridor provision or forgo payments we would have otherwise received as a low-income subsidy or reinsurance claim. In addition, in the event the settlement represents an amount CMS owes us, there is a negative impact on our cash flows and financial condition as a result of financing CMS’s share of the risk. The opposite is true in the event the settlement represents an amount we owe CMS.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expand our sales and marketing infrastructure or if we fail to overcome challenges relating to marketing of our MA plans and DC business, we may fail to enroll sufficient beneficiaries to meet our forecasts.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derive substantially all of our total revenues from MA premiums and Direct Contracting Revenue, and we expect that they will continue to account for a substantial portion of our total revenues for the foreseeable future. As a result, our financial condition and results of operations are and will continue to be highly dependent on the ability of our sales force to adequately promote and market our MA plans to enroll new members and retain our existing members, and to successfully market our DC business to the national provider network to contract with new participating providers and grow our number of DCE Beneficiaries. If our sales and marketing representatives fail to achieve their objectives, our Lives under Clover Management could decrease or may not increase at levels that are in line with our forecasts.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to expand our sales and marketing infrastructure to drive beneficiary growth through third-party partnerships, including marketing relationships with insurance brokers and field marketing organizations, strategic partners in certain geographical markets, and co-branding arrangements with doctors and other provider institutions to increase our local market penetration. If we are not successful at converting the opportunities presented by new distribution channels and access to local markets, we may not be able to grow our number of beneficiaries or our plans as quickly as we need to, or at all. For example, if insurance brokers and field marketing organizations choose not to market and sell our plans, our business and results of operations would be adversely affected. In addition to the financial impact of having fewer beneficiaries than we anticipated, if we do not grow our Lives under Clover Management,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the Clover Assistant. This, in turn, could compromise our ability to deliver on our goals of using the Clover Assistant to decrease costs and improve care.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 Moreover, we rely significantly on outside vendors with respect to our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2" w:name="page73"/>
    <w:bookmarkEnd w:id="72"/>
    <w:p>
      <w:pPr>
        <w:jc w:val="both"/>
        <w:spacing w:after="0" w:line="277" w:lineRule="auto"/>
        <w:rPr>
          <w:sz w:val="20"/>
          <w:szCs w:val="20"/>
          <w:color w:val="auto"/>
        </w:rPr>
      </w:pPr>
      <w:r>
        <w:rPr>
          <w:rFonts w:ascii="Arial" w:cs="Arial" w:eastAsia="Arial" w:hAnsi="Arial"/>
          <w:sz w:val="18"/>
          <w:szCs w:val="18"/>
          <w:color w:val="auto"/>
        </w:rPr>
        <w:t>sales and marketing efforts. Any disruption on the business operations of these vendors, or our ability to effectively oversee and work with them, may negatively affect our ability to effectively market our MA plans.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challenges to expand our sales and marketing efforts, we face significant challenges generally in our marketing efforts. We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and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In addition, as one of the newest entrants in the MA business, we face certain disadvantages in free marketing channels provided by the federal government. For example, the Medicare Plan Finder, which provides Medicare-eligible beneficiaries a place to compare plans according to specific characteristics, currently sorts plans with similar characteristics in part based on their plan identification number. As a newer plan, our number is higher and accordingly, Medicare-eligible beneficiaries using this tool may have to click through many pages before they are ever made aware of our plan offerings. While we are engaging with CMS in an effort to change its sorting logic, incumbents in the MA business have increased visibility in this marketing channel and in similar marketing channels, which could reduce our take rate and negatively affect our business, results of operations, and financial condition. If we are unable to expand our sales and marketing capabilities, we may not be able to effectively commercialize our existing or planned solutions, which could result in reduced member enrollment and the failure of our enrollment rate to increase in line with our forecasts.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develop widespread brand recognition or are unable to maintain or enhance our reputation, our business, financial condition and results of operations will be harmed.</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developing widespread brand recognition and maintaining and enhancing our reputation is critical to our relationships with existing providers and beneficiaries, and to our ability to attract new providers and beneficiaries to our platform and offerings. The promotion of our brand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providers or beneficiaries, could harm our reputation and brand and make it substantially more difficult for us to attract new providers or beneficiaries. If we do not successfully develop widespread brand recognition and maintain and enhance our reputation, our business may not grow and we could lose our relationships with providers or members and beneficiaries, which would harm our business, financial condition and results of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services that are useful to our beneficiaries and providers, we may not remain competitive, and our business, financial condition and results of operations could suffer.</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market for healthcare in the United States is in the early stages of structural change and is rapidly evolving toward a more value-based care model. Our success depends on our ability to keep pace with technological developments, satisfy increasingly sophisticated beneficiary and provider user requirements, and sustain and grow market acceptance. Our future financial performance will depend in part on our growth in this market and on our ability to adapt to emerging market demands, including adapting to the ways our members and beneficiaries access and use our MA plans, DCE, and clinical care programs, and the ways our providers use and engage with the Clover Assistant. Our competitors may develop products and services that may appeal more to our beneficiaries and/or providers. As a result, we must continue to invest significant resources in research and development in order to enhance our existing platform and introduce new high-quality products and features that our beneficiaries and providers will want, while offering our MA plans at competitive prices. In particular, achieving and maintaining broad market acceptance of our MA plans and our products, including the Clover Assistant, could be negatively affected by many factors, including:</w:t>
      </w:r>
    </w:p>
    <w:p>
      <w:pPr>
        <w:spacing w:after="0" w:line="73"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beneficiary and provider needs and preferences;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lack of evidence supporting the ease-of-use, cost savings or other perceived benefits of our MA plans;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lack of evidence supporting the ease-of-use, costs savings or other perceived benefits of our platform over competitive products and technology platforms;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perceived risks associated with the use of our platform, similar products or technologies generally.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platform may be perceived by our providers,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18"/>
          <w:szCs w:val="18"/>
          <w:color w:val="auto"/>
        </w:rPr>
        <w:t>of new products and services. Accordingly, healthcare providers may not utilize the Clover Assistant until there is enough evidence to convince them to alter their current approach or until the number of the Clover Assistant members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results of operations and reputation could suffer.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 is dependent upon providing high-quality customer support and service to both our beneficiaries and providers. In particular, our ability to attract and retain membership is dependent upon providing cost effective, quality customer service operations, such as call center operations and claim processing, that meet or exceed our beneficiaries’ expectations. We depend on third parties for certain of our customer service operations. If we or our vendors fail to provide service that meets our beneficiaries’ expectations, we may have difficulty retaining or growing our Lives under Clover Management, which could adversely affect our business, financial condition and results of operations.</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have designed the Clover Assistant to be easy to adopt and use, once providers begin using it, they rely on our support services to resolve any related issues. High-quality user education and customer experience have been key to the adoption of the Clover Assistant. We expect the importance of high-quality customer experience to increase as we expand our business and pursue new provider users. Any failure to maintain high- quality customer experience, or a market perception that we do not maintain high-quality customer experience, could harm our reputation, our ability to grow the number of users and increase user engagement of our platform, and our business, results of operations, and financial condition. Additionally, as the number of providers using the Clover Assistant grows, we will need to hire additional support personnel to provide efficient product support at scale. If we are unable to provide such support, our business, results of operations, financial condition, and reputation could be harmed.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vulnerabilities, or bugs in the Clover Assistant would harm our business, results of operations, and financial condition.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software technology underlying and integrating with the Clover Assistant is inherently complex and may contain material defects or errors. Errors, failures, vulnerabilities, or bugs have in the past, and may in the future, occur in the Clover Assistant, especially when updates are deployed or new features, integrations, or capabilities are rolled out. For example, if the telemedicine feature or the real time suggestions provided through the Clover Assistant were to fail, our systems could experience data loss and/or providers may become frustrated with the Clover Assistant, which in turn may affect retention and adoption of the Clover Assistant by providers. Additionally, if a bug was discovered in the Clover Assistant that made the Clover Assistant vulnerable to malicious attacks or exposed our member data to third parties, providers may cease to trust and use the platform. Among other things, this would affect our ability to collect data. Any such errors, failures, vulnerabilities, or bugs may not be found until after new features, integrations, or capabilities have been released.</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experience system slowdowns and interruptions from time to time. In addition, continued growth in our beneficiary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4" w:name="page75"/>
    <w:bookmarkEnd w:id="74"/>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As a result, we may not be able to accurately forecast our operating results and growth rate. Any of these events could cause the market price of our common stock to fluctuate. Factors that may contribute to the variability of our operating results include:</w:t>
      </w:r>
    </w:p>
    <w:p>
      <w:pPr>
        <w:spacing w:after="0" w:line="79"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the enrollment periods and related sales and marketing expenses;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risk adjustments;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addition or loss of large hospital and healthcare systems in our provider network, including due to acquisitions or consolidations of such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recognition of revenue, including possible delays in the recognition of revenue;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w:t>
      </w:r>
    </w:p>
    <w:p>
      <w:pPr>
        <w:spacing w:after="0" w:line="128"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effectively manage the size and composition of our in-house clinician program relative to the level of demand for services from our members;</w:t>
      </w:r>
    </w:p>
    <w:p>
      <w:pPr>
        <w:spacing w:after="0" w:line="62" w:lineRule="exact"/>
        <w:rPr>
          <w:rFonts w:ascii="Arial" w:cs="Arial" w:eastAsia="Arial" w:hAnsi="Arial"/>
          <w:sz w:val="18"/>
          <w:szCs w:val="18"/>
          <w:color w:val="auto"/>
        </w:rPr>
      </w:pPr>
    </w:p>
    <w:p>
      <w:pPr>
        <w:ind w:left="980" w:right="20" w:hanging="324"/>
        <w:spacing w:after="0" w:line="308" w:lineRule="auto"/>
        <w:tabs>
          <w:tab w:leader="none" w:pos="9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timing and success of introductions of new products and services by us or our competitors or any other change in the competitive dynamics of our industry, including consolidation among competitors, hospital and healthcare systems or strategic partners;</w:t>
      </w:r>
    </w:p>
    <w:p>
      <w:pPr>
        <w:spacing w:after="0" w:line="38"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and/or delays in rolling out technology or platform updates;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technical difficulties or interruptions in the Clover Assistant;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increase provider adoption of the Clover Assistant;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new beneficiaries;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breaches of information security or privacy, and any applicable fines or penalties;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 including for our in-house clinician program;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provider and payment systems;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healthcare, privacy, or data protection, or enforcement by government regulators, including fines, orders, sanctions, or consent decrees;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and potential outcomes of ongoing or future regulatory audits, investigations, or litigation;</w:t>
      </w:r>
    </w:p>
    <w:p>
      <w:pPr>
        <w:spacing w:after="0" w:line="117"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travel restrictions, shelter-in-place orders and other social distancing measures implemented to combat any health emergency or pandemic (including the COVID-19 pandemic), and their impact on economic, industry and market conditions, patient visits and our ability to conduct business;</w:t>
      </w:r>
    </w:p>
    <w:p>
      <w:pPr>
        <w:spacing w:after="0" w:line="7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terrorist activities and health epidemics (including the COVID-19 pandemic), and any disruption these events may cause to any of our offices, to the healthcare system, or to the global economy;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our and our competitors’ pricing policies;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business or macroeconomic conditions.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5" w:name="page76"/>
    <w:bookmarkEnd w:id="7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market opportunity estimates and growth forecasts are subject to significant uncertainty and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beneficiaries and potential beneficiaries than competing MA plans and other participants in the DC Model. If these assumptions prove inaccurate, our business, financial condition, and results of operations could be adversely affected.</w:t>
      </w:r>
    </w:p>
    <w:p>
      <w:pPr>
        <w:spacing w:after="0" w:line="22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spacing w:after="0" w:line="1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and our affiliated professional entities may be subject to professional liability claims and, if these claims are successful, substantial damage awards. With respect to Clover Home Care, the direct provision of healthcare services by certain of our subsidiaries involves risks arising from medical malpractice claims arising out of the delivery of healthcare and related services. Although we maintain insurance covering medical malpractice claims in amounts that we believe are appropriate in light of the risks attendant to our business, we cannot predict the outcomes of medical malpractice cases, or the effect that any claims of this nature, regardless of their ultimate outcome, could have on our business or reputation or on our ability to attract and retain members.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pose certain risks to our business that may be different from risks associated with our domestic operations.</w:t>
      </w:r>
    </w:p>
    <w:p>
      <w:pPr>
        <w:spacing w:after="0" w:line="2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significant operations, including certain outsourced operations in other countries, including in Hong Kong, the Philippines, Colombia, and India, and we may in the future expand our operations to other countries. Substantially all of our software research and development is performed internationally, by internal resources and a variety of offshore vendors in locations such as Hong Kong, Eastern Europe, and India. While these arrangements may lower operating costs, it also subjects us to the uncertain political climates and potential disruptions in international trade, including export control laws, including deemed export restrictions applicable to software and any amendments to those laws, as well as potentially increased data security and privacy risks and local economic and labor conditions. If we are unable to utilize our full software development team, this may result in decreased ability to innovate and maintain the Clover Assistant and carry out health plan data operations, which may in turn lead to adverse effects on our business, financial conditions and results of operations. Additionally, we outsource certain of our call center operations to the Philippines and Colombia and outsource our claims processing and coding to a company in India.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such as the COVID-19 pandemic,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Compliance with applicable U.S. and foreign laws and regulations, such as import and export requirements, anti-corruption laws, tax laws, foreign exchange controls and data privacy and data localization requirements, labor laws and anti-competition regulations,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6" w:name="page77"/>
    <w:bookmarkEnd w:id="76"/>
    <w:p>
      <w:pPr>
        <w:jc w:val="both"/>
        <w:spacing w:after="0" w:line="259" w:lineRule="auto"/>
        <w:rPr>
          <w:sz w:val="20"/>
          <w:szCs w:val="20"/>
          <w:color w:val="auto"/>
        </w:rPr>
      </w:pPr>
      <w:r>
        <w:rPr>
          <w:rFonts w:ascii="Arial" w:cs="Arial" w:eastAsia="Arial" w:hAnsi="Arial"/>
          <w:sz w:val="18"/>
          <w:szCs w:val="18"/>
          <w:color w:val="auto"/>
        </w:rPr>
        <w:t>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 growth efforts and business.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weakness of the U.S. dollar in relation to the currencies used in these foreign countries may also reduce the savings achievable through this strategy and could have an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Our failure to successfully manage our international operations and the associated risks effectively could limit the future growth of our business.</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successful in expanding our Lives under Clover Management across the United States, we may incur increased expenses and risks related to compliance with state licensure requirements, which could impact our business and operating results.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 regulators require us to maintain a valid license in each state in which we transact health insurance business, maintain minimum amounts of capital and surplus, and further require that we adhere to sales, 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a number of jurisdictions or expand our plan offerings, compliance with health insurance-related laws, rules, and regulations may be difficult and may impose significant costs on our business. Each jurisdiction’s insurance department typically has the power, among other things, to:</w:t>
      </w:r>
    </w:p>
    <w:p>
      <w:pPr>
        <w:spacing w:after="0" w:line="56"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grant and revoke licenses to transact insurance business;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monitor compliance with minimum capital and surplus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conduct inquiries into the insurance-related activities and conduct of agents and agencies;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and regulate disclosure in connection with the sale and solicitation of health insurance;</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how, by which personnel and under what circumstances insurance premiums can be quoted and published and an insurance policy can be sold;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which entities can be paid commissions from carriers and the circumstances under which they may be paid;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regulate the content of insurance-related advertisements, including web pages, and other marketing practices;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policy forms, require specific benefits and benefit levels and regulate premium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fines and other penalties;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continuing education requirements.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we must ensure that our agents have received all licenses, appointments and certifications required by state authorities in order to transact business. If the relevant state authorities experience shutdowns or continued business disruptions due to the COVID-19 pandemic, we may be unable to secure these required licenses, appointments and certifications for our agents in a timely manner, or at all. and we may not always be, in compliance with such laws and regulations.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 and our business, results of operations, and financial condition could be negatively impacted.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7" w:name="page78"/>
    <w:bookmarkEnd w:id="77"/>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third-party providers for computing infrastructure, network connectivity, and other technology-related services needed to deliver our platform and products. Any disruption in the services provided by such third-party providers could adversely affect our business and subject us to liability.</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beneficiaries and provider users, and we may lose beneficiaries and provider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or if we are unable to renew an agreement on commercially reasonable terms, establish more favorable relationships with our competitors, or change or interpret their terms of service or policies in a manner that is unfavorable with respect to us we may be required to transfer our servers and other infrastructure to a different service provider, and our business, results of operations, and financial condition could be harmed, which may incur significant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 service levels could adversely affect our reputation or result in lengthy interruptions in our services and negatively affect our business.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or health information or the confidential or health information of our beneficiaries, providers, or other third parties, would damage our reputation and brand, and substantially harm our business and results of operations.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beneficiaries,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The losses related to such breaches might include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and litigation, regulatory action, and other potential liabilities. Our reputation and brand could be damaged, our business may suffer, and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which in turn, diverts resources from the growth and expansion of our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 call center and claim and billing service providers. We also rely on integrations with EHR providers and clinical software developers. If their services become unavailable, our operations and business strategies could be significantly disrupted. For example, we have entered into agreements with our PBM services suppliers to provide us and certain of our beneficiaries with certain PBM services, such as claims processing, mail pharmacy services, specialty pharmacy services, retail network pharmacy network services, participating pharmacy audit services, reporting, formulary services and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and we may not be able to meet the full demands of our beneficiaries, any of which could have a material adverse effect on our business, brand, reputation and results of operations. Furthermore, certain legislative authorities have in recent years discussed or proposed legislation that would restrict outsourcing.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the Clover Assistant. This could decrease the usefulness of the Clover Assistant and result in decreased adoption by providers and potentially higher medical costs for our beneficiaries, increased or duplicative costs, an inability to meet our obligations to our beneficiaries or require us to seek alternative service providers on less favorable contract terms, any of which can adversely affect our business, brand, reputation or operating results.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Identifying partners, and negotiating and documenting relationships with them, requires significant time and resources. In addition, acquisitions of our partners by our competitors could result in a decrease in the number of our beneficiaries and provider users, as our partners may no longer facilitate the enrollment of Medicare eligibles into, or the effective and efficient operations of, our MA Plans and DCE or the adoption of the Clover Assistant by providers.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revenue or an increase in the number of beneficiaries or provider users of the Clover Assistant.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execute on our growth plan, we must attract and retain highly qualified personnel. The pool of qualified personnel with experience working in the healthcare market, and particularly MA, is limited. As we become a more mature company, we may find our recruiting efforts more challenging. The incentives to attract, retain, and motivate employees provided by our stock options and other equity awards, or by other compensation arrangements, may not be as effective as in the past. As such, we may not be successful in continuing to attract and retain qualified personnel. Our recruiting efforts may also be limited by laws and regulations, such as restrictive immigration laws, and restrictions on travel or availability of visas (including during the ongoing COVID-19 pandemic). If we fail to attract new personnel or fail to retain and motivate our current personnel, our business and future growth prospects could be severely harmed.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one or more of these employees or an inability to attract and retain qualified key personnel could adversely affect our business.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For example, we announced that our Chief Financial Officer would be leaving the Corporation as of August 13, 2021, and that Mark C. Herbers would serve as interim Chief Financial Officer. We can provide no assurance that any of our other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 employees. We also rely on our leadership team in the areas of research and development, marketing, services and general and administrative functions. The loss and replacement of one or more of our members of senior management or other key employees, including our co-founder and Chief Executive Officer, Vivek Garipalli, and our President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9" w:name="page80"/>
    <w:bookmarkEnd w:id="79"/>
    <w:p>
      <w:pPr>
        <w:jc w:val="both"/>
        <w:spacing w:after="0" w:line="254" w:lineRule="auto"/>
        <w:rPr>
          <w:sz w:val="20"/>
          <w:szCs w:val="20"/>
          <w:color w:val="auto"/>
        </w:rPr>
      </w:pPr>
      <w:r>
        <w:rPr>
          <w:rFonts w:ascii="Arial" w:cs="Arial" w:eastAsia="Arial" w:hAnsi="Arial"/>
          <w:sz w:val="18"/>
          <w:szCs w:val="18"/>
          <w:color w:val="auto"/>
        </w:rPr>
        <w:t>Chief Technology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beneficiaries, or providers, or any negative press stories about our senior management, may harm our reputation and damage our business prospects. Furthermore, executive officer transitions,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management team has limited experience managing a publicly-traded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and such diversions could be elevated following the departure of our Chief Financial Officer, which could harm our business, results of operations, and financial condition.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our business strategy to expand usage of our platform, offer our plans in additional markets, extend the provision of in-home care services in those additional markets and grow our business in response to changing technologies, provider and beneficiary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beneficiaries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into the Company, the business and results of operations of the combined company would be adversely affected.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or at all.</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Historically, we have financed our operations and capital expenditures principally from the sale of our equity securities, MA premiums earned, Direct Contracting Revenue, and the incurrence of indebtedness.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and our key metrics require management to make estimates and assumptions that affect the amounts reported in the consolidated financial statements and accompanying notes and amounts reported in our key metrics. We base our estimates on historical experience and 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0" w:name="page81"/>
    <w:bookmarkEnd w:id="80"/>
    <w:p>
      <w:pPr>
        <w:jc w:val="both"/>
        <w:spacing w:after="0" w:line="271" w:lineRule="auto"/>
        <w:rPr>
          <w:sz w:val="20"/>
          <w:szCs w:val="20"/>
          <w:color w:val="auto"/>
        </w:rPr>
      </w:pPr>
      <w:r>
        <w:rPr>
          <w:rFonts w:ascii="Arial" w:cs="Arial" w:eastAsia="Arial" w:hAnsi="Arial"/>
          <w:sz w:val="17"/>
          <w:szCs w:val="17"/>
          <w:color w:val="auto"/>
        </w:rPr>
        <w:t>various other assumptions that we believe to be reasonable under the circumstances, as discussed further in the section titled “</w:t>
      </w:r>
      <w:r>
        <w:rPr>
          <w:rFonts w:ascii="Arial" w:cs="Arial" w:eastAsia="Arial" w:hAnsi="Arial"/>
          <w:sz w:val="17"/>
          <w:szCs w:val="17"/>
          <w:i w:val="1"/>
          <w:iCs w:val="1"/>
          <w:color w:val="auto"/>
        </w:rPr>
        <w:t>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w:t>
      </w:r>
      <w:r>
        <w:rPr>
          <w:rFonts w:ascii="Arial" w:cs="Arial" w:eastAsia="Arial" w:hAnsi="Arial"/>
          <w:sz w:val="17"/>
          <w:szCs w:val="17"/>
          <w:color w:val="auto"/>
        </w:rPr>
        <w:t>” and Note 2 (Summary of Significant Accounting Policies) to Financial Statements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currently, and may in the future be, subject to investigations and litigation, which could be costly and time-consuming to defend, and the outcomes of which cannot be predicted.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subject to various litigation matters as described in the section entitled “Business—Legal Proceedings.”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currently, and may in the future be, subject to legal proceedings and claims that arise in the ordinary course of business, such as claims brought by providers, facilities, consultants, and vendors in connection with commercial disputes, or employment claims made by our current or former employees. We are also currently subject to an ongoing inquiry by the U.S. Department of Justice (DOJ), and also may in the future be, subject to regular and special governmental market conduct and other audits, investigations and reviews by,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beneficiaries, fraudulent coding practices, billing for unnecessary medical and/or other covered services, improper marketing and violations of patient privacy rights. The DOJ and the Department of Health and Human Services Office of Inspector General (the “OIG”), have recently increased their scrutiny of healthcare payers and providers, and Medicare Advantage insurers, under the federal False Claims Act (the “FCA”), in particular, and there have been a number of investigations, prosecutions, convictions and settlements in the healthcare industry. CMS and the OIG also periodically perform risk adjustment data validation audits of selected MA health plans to validate the coding practices of and supporting documentation maintained by healthcare providers. Certain of our plans have been selected for such audits, which have in the past resulted and could in the future result in retrospective adjustments to payments made to our health plans, fines, corrective action plans or other adverse action by CMS.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compliance with CMS risk adjustment requirements and applicable laws, which includes review of the Clover Assistant features that may be relevant to patient risk assessments and the submission of risk adjustment data to CMS. We also monitor our physician payment practices to ensure compliance with applicable laws, such as the Anti-Kickback Statute. While we believe that our risk adjustment data collection efforts and relationships with providers, including those related to the Clover Assistant, comply with applicable laws, we are and may be subject to audits, reviews and investigation of our practices and arrangements, and the federal government might conclude that they violate the FCA, the Anti-Kickback Statute and/or other federal and state laws governing fraud and abuse. See the section entitled “—</w:t>
      </w:r>
      <w:r>
        <w:rPr>
          <w:rFonts w:ascii="Arial" w:cs="Arial" w:eastAsia="Arial" w:hAnsi="Arial"/>
          <w:sz w:val="17"/>
          <w:szCs w:val="17"/>
          <w:i w:val="1"/>
          <w:iCs w:val="1"/>
          <w:color w:val="auto"/>
        </w:rPr>
        <w:t>Our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 are highly regulated, and new and proposed government regulation or legislative reforms could increase our cost of doing business and reduce our number of beneficiaries, profitability, and liquidity.”</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and audits, investigations or reviews by governmental authorities or regulators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1" w:name="page82"/>
    <w:bookmarkEnd w:id="81"/>
    <w:p>
      <w:pPr>
        <w:jc w:val="both"/>
        <w:ind w:right="20"/>
        <w:spacing w:after="0" w:line="277" w:lineRule="auto"/>
        <w:rPr>
          <w:sz w:val="20"/>
          <w:szCs w:val="20"/>
          <w:color w:val="auto"/>
        </w:rPr>
      </w:pPr>
      <w:r>
        <w:rPr>
          <w:rFonts w:ascii="Arial" w:cs="Arial" w:eastAsia="Arial" w:hAnsi="Arial"/>
          <w:sz w:val="18"/>
          <w:szCs w:val="18"/>
          <w:color w:val="auto"/>
        </w:rPr>
        <w:t>may result in our having to pay significant fines, judgments, or settlements, which, if not covered by insurance, or if the fines, judgments, and settlements exceed insured levels, could adversely affect our results of operations and cash flows, thereby harming our business.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regulations and contractual requirements applicable to us and other market participants are complex and subject to change, making it necessary for us to invest significant resources in complying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for. Regular and special governmental audits, investigations and reviews, including the current ongoing DOJ inquiry, could result in changes to our business practices, and also could result in significant or material premium refunds, fines, penalties, civil liabilities, criminal liabilities or other sanctions, including marketing and enrollment sanctions, suspension or exclusion from participation in government programs, and 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derive substantially all of our total revenues from Medicare Advantage premiums and Direct Contracting Revenue and expect to continue to derive a substantial portion of our total revenues in the future from these lines of business.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Historically, Medicare Advantage premiums accounted for a significant portion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beneficiary’s health profile and status, age, gender, county or region, benefit mix, beneficiary eligibility categories, and a beneficiary’s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 The CMS could apply similar changes to the DC Model in the future. See the section entitled </w:t>
      </w:r>
      <w:r>
        <w:rPr>
          <w:rFonts w:ascii="Arial" w:cs="Arial" w:eastAsia="Arial" w:hAnsi="Arial"/>
          <w:sz w:val="16"/>
          <w:szCs w:val="16"/>
          <w:i w:val="1"/>
          <w:iCs w:val="1"/>
          <w:color w:val="auto"/>
        </w:rPr>
        <w:t>“—Our expansion into Direct Contracting presents new risks to our business.”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Reductions or less than expected increases in funding for Medicare programs could significantly reduce our revenues and profitability. In addition, the Medicare Part A Hospital Insurance Trust Fund is currently estimated to be exhausted in 2026. If an unexpected reduction in payments, inadequate government funding, significantly delayed payments for Medicare programs or similar events were to occur, our business, results of operations and financial condition could be adversely affected.</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requiring MA plans to spend at least 85% of premium dollars on medical care, requiring CMS to apply coding intensity adjustments to Medicare payments, which generated an across-the-board reduction to MA risk scores, and expanding Medicaid eligibility to additional categories of individuals. Since its enactment, there have been judicial and Congressional challenges to certain aspects of the ACA, as well as the act in its entirety, and there may be additional challenges and amendments to the ACA in the future.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ongoing health reform efforts and measures may expand the role of government-sponsored coverage, including single payer or so called “Medicare-for-All” proposals, which could have far-reaching implications for the insurance industry if enacted, and reductions in the minimum age for Medicare eligibility.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enacted and the uncertainty regarding the terms and timing of any provisions enacted and the impact of any of those provisions on various healthcare and insurance industry participants. In particular, the expansion of government-sponsored coverage through “Medicare-for-All” or the implementation of a single payer system may cause us to reevaluate the manner in which we commercialize our platform and products.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2" w:name="page83"/>
    <w:bookmarkEnd w:id="82"/>
    <w:p>
      <w:pPr>
        <w:jc w:val="both"/>
        <w:spacing w:after="0" w:line="296" w:lineRule="auto"/>
        <w:rPr>
          <w:sz w:val="20"/>
          <w:szCs w:val="20"/>
          <w:color w:val="auto"/>
        </w:rPr>
      </w:pPr>
      <w:r>
        <w:rPr>
          <w:rFonts w:ascii="Arial" w:cs="Arial" w:eastAsia="Arial" w:hAnsi="Arial"/>
          <w:sz w:val="16"/>
          <w:szCs w:val="16"/>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State corporate practice of medicine and fee-splitting laws govern at least some of our business operations, and violation of such laws could result in penalties and adversely affect our arrangements with contractors and our results of operations and financial condition.</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a professional corporation in which the shares are held by licensed physicians or other licensed medical professionals may provide medical care to patients. Health maintenance organizations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practice of medicine, fee-splitting between physicians and referral sources may be statutory or regulatory, or may be imposed through judicial or regulatory interpretation, and vary widely from state to state.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HMO subsidiary, we employ providers and other clinical staff to provide medical services to medically complex beneficiaries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which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spacing w:after="0" w:line="20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Failure to maintain satisfactory quality and performance measures may negatively affect our premium rates, subject us to penalties, limit or reduce our number of beneficiaries, impede our ability to compete for new business in existing or new markets or result in the termination of our contracts, or affect our ability to establish new health plans or expand current health plans, which could have a material adverse effect on our business, rate of growth and results of operations, financial condition and cash flows.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Quality scores are used by certain regulatory agencies to establish premium rates and/or calculate performance incentives. In the case of CMS, for example, Star Ratings are used to pay quality bonuses to MA plans to enable high scoring plans to offer enhanced health benefits for their beneficiaries. Medicare Advantage and Part D plans with Star Ratings of five (5.0) stars or higher are eligible for year-round open enrollment; conversely, plans with lower Star Ratings have more restricted times for enrollment of beneficiaries. Medicare Advantage and Part D plans with Star Ratings of less than three (3.0) stars in three consecutive years are denoted as “low performing” plans on the CMS website and in the CMS “Medicare and You” handbook. In addition, CMS has the authority to terminate Medicare Advantage and Part D contracts for plans rated below three (3.0) stars in three consecutive years. As a result, Medicare Advantage and Part D plans that achieve higher Star Ratings may have a competitive advantage over plans with lower Star Ratings.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Star Ratings system considers various measures adopted by CMS, including, among others, quality of care, preventative services, chronic illness management and beneficiary satisfaction. Our Star Ratings may be negatively impacted if we fail to meet the quality, performance and regulatory compliance criteria established by CMS. Furthermore, the Star Ratings system is also subject to change annually by CMS, which may make it more difficult to achieve and maintain three (3.0) stars or greater. For each year that our plans were rated, we received a Star Rating of 3.0, except for the 2017 and 2022 Star Ratings, when the Star Rating for our PPO plan was 3.5. Despite our operational efforts to improve our Star Ratings, there can be no assurances that we will be successful in maintaining or improving our Star Ratings in future years. For example, our Star Ratings may fall as a result of the COVID-19 pandemic, since, among other factors, the deferrals of elective care during the pandemic could significantly impact the factors upon which our Star Ratings may be based. In addition, to the extent our beneficiaries are concentrated in geographical areas or comprised of populations that experienced some of the earliest and more severe outbreaks of the virus, our Star Ratings could be disproportionately negatively impacted as compared to our competitors. Furthermore, our higher concentration of minority beneficiaries and beneficiaries residing 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18"/>
          <w:szCs w:val="18"/>
          <w:color w:val="auto"/>
        </w:rPr>
        <w:t>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beneficiaries and obtain regulatory approval for acquisitions or expansions. If we do not maintain or continue to improve our Star Ratings,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number of beneficiaries, results of operations, financial condition and cash flows.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activities are highly regulated, and new and proposed government regulation or legislative reforms could increase our cost of doing business and reduce our number of beneficiaries, profitability and liquidity.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healthcare industry is heavily regulated and closely scrutinized by federal, state and local governments. Comprehensive statutes and regulations govern the manner in which we are compensated for providing coverage for our MA members and DCE Beneficiaries, our contractual relationships with our providers, vendors and beneficiaries, our marketing activities and other aspects of our operations. Of particular importance are:</w:t>
      </w:r>
    </w:p>
    <w:p>
      <w:pPr>
        <w:spacing w:after="0" w:line="56" w:lineRule="exact"/>
        <w:rPr>
          <w:sz w:val="20"/>
          <w:szCs w:val="20"/>
          <w:color w:val="auto"/>
        </w:rPr>
      </w:pPr>
    </w:p>
    <w:p>
      <w:pPr>
        <w:jc w:val="both"/>
        <w:ind w:left="980" w:hanging="324"/>
        <w:spacing w:after="0" w:line="273" w:lineRule="auto"/>
        <w:tabs>
          <w:tab w:leader="none" w:pos="9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69" w:lineRule="exact"/>
        <w:rPr>
          <w:rFonts w:ascii="Arial" w:cs="Arial" w:eastAsia="Arial" w:hAnsi="Arial"/>
          <w:sz w:val="17"/>
          <w:szCs w:val="17"/>
          <w:color w:val="auto"/>
        </w:rPr>
      </w:pPr>
    </w:p>
    <w:p>
      <w:pPr>
        <w:jc w:val="both"/>
        <w:ind w:left="980" w:hanging="324"/>
        <w:spacing w:after="0" w:line="301" w:lineRule="auto"/>
        <w:tabs>
          <w:tab w:leader="none" w:pos="9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49" w:lineRule="exact"/>
        <w:rPr>
          <w:rFonts w:ascii="Arial" w:cs="Arial" w:eastAsia="Arial" w:hAnsi="Arial"/>
          <w:sz w:val="16"/>
          <w:szCs w:val="16"/>
          <w:color w:val="auto"/>
        </w:rPr>
      </w:pPr>
    </w:p>
    <w:p>
      <w:pPr>
        <w:jc w:val="both"/>
        <w:ind w:left="980" w:hanging="324"/>
        <w:spacing w:after="0" w:line="259"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administrative simplification provisions of the Health Insurance Portability and Accountability Act of 1996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w:t>
      </w:r>
    </w:p>
    <w:p>
      <w:pPr>
        <w:spacing w:after="0" w:line="78" w:lineRule="exact"/>
        <w:rPr>
          <w:rFonts w:ascii="Arial" w:cs="Arial" w:eastAsia="Arial" w:hAnsi="Arial"/>
          <w:sz w:val="18"/>
          <w:szCs w:val="18"/>
          <w:color w:val="auto"/>
        </w:rPr>
      </w:pPr>
    </w:p>
    <w:p>
      <w:pPr>
        <w:jc w:val="both"/>
        <w:ind w:left="980" w:hanging="324"/>
        <w:spacing w:after="0" w:line="25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79" w:lineRule="exact"/>
        <w:rPr>
          <w:rFonts w:ascii="Arial" w:cs="Arial" w:eastAsia="Arial" w:hAnsi="Arial"/>
          <w:sz w:val="18"/>
          <w:szCs w:val="18"/>
          <w:color w:val="auto"/>
        </w:rPr>
      </w:pPr>
    </w:p>
    <w:p>
      <w:pPr>
        <w:jc w:val="both"/>
        <w:ind w:left="980" w:hanging="324"/>
        <w:spacing w:after="0" w:line="279" w:lineRule="auto"/>
        <w:tabs>
          <w:tab w:leader="none" w:pos="9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spacing w:after="0" w:line="63"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state insurance holding company laws and regulations pertaining to licensing and plan solvency requirements;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reassignment of payment rules that prohibit certain types of billing and collection practices in connection with claims payable by the Medicare or Medicaid programs;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similar state law provisions pertaining to anti-kickback, self-referral and false claims issues, some of which may apply to items or services reimbursed by any third-party payor;</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state laws that prohibit general business corporations, such as us, from engaging in the corporate practice of medicine, controlling physicians’ medical decisions or engaging in some practices such as splitting fees with physicians;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provision of the Affordable Care Act (the “ACA”), that requires MA plans to spend at least 85% of premium dollars on medical care;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4" w:name="page85"/>
    <w:bookmarkEnd w:id="84"/>
    <w:p>
      <w:pPr>
        <w:ind w:left="98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and state laws that govern our relationships with pharmaceutical manufacturers, wholesalers, pharmacies, beneficiaries and consumers;</w:t>
      </w:r>
    </w:p>
    <w:p>
      <w:pPr>
        <w:spacing w:after="0" w:line="62" w:lineRule="exact"/>
        <w:rPr>
          <w:rFonts w:ascii="Arial" w:cs="Arial" w:eastAsia="Arial" w:hAnsi="Arial"/>
          <w:sz w:val="18"/>
          <w:szCs w:val="18"/>
          <w:color w:val="auto"/>
        </w:rPr>
      </w:pPr>
    </w:p>
    <w:p>
      <w:pPr>
        <w:jc w:val="both"/>
        <w:ind w:left="980" w:hanging="324"/>
        <w:spacing w:after="0" w:line="255"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 receipt or required disclosure of rebates from pharmaceutical manufacturers, and restricting the use of average wholesale prices;</w:t>
      </w:r>
    </w:p>
    <w:p>
      <w:pPr>
        <w:spacing w:after="0" w:line="84"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laws that regulate debt collection practices;</w:t>
      </w:r>
    </w:p>
    <w:p>
      <w:pPr>
        <w:spacing w:after="0" w:line="117"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78"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75"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and state laws governing the ways in which we communicate with beneficiaries and market our services, including the Telephone Consumer Protection Act, the Controlling the Assault of Non-Solicited Pornography and Marketing Act;</w:t>
      </w:r>
    </w:p>
    <w:p>
      <w:pPr>
        <w:spacing w:after="0" w:line="62" w:lineRule="exact"/>
        <w:rPr>
          <w:rFonts w:ascii="Arial" w:cs="Arial" w:eastAsia="Arial" w:hAnsi="Arial"/>
          <w:sz w:val="18"/>
          <w:szCs w:val="18"/>
          <w:color w:val="auto"/>
        </w:rPr>
      </w:pPr>
    </w:p>
    <w:p>
      <w:pPr>
        <w:jc w:val="both"/>
        <w:ind w:left="980" w:hanging="324"/>
        <w:spacing w:after="0" w:line="279" w:lineRule="auto"/>
        <w:tabs>
          <w:tab w:leader="none" w:pos="9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latter of which prohibits offering, promising, providing or authorizing others to give anything of value to a foreign government official to obtain or retain business or otherwise secure a business advantage;</w:t>
      </w:r>
    </w:p>
    <w:p>
      <w:pPr>
        <w:spacing w:after="0" w:line="63"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the operations of our therapeutics affiliate, the extensive, complex, and evolving laws and regulations applicable to the operations of our therapeutics affiliate, primarily those of the U.S. Food and Drug Administration (the “FDA”); and</w:t>
      </w:r>
    </w:p>
    <w:p>
      <w:pPr>
        <w:spacing w:after="0" w:line="62"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law governing CMMI models, such as the DC Model, including a requirement under section 1115A of the Social Security Act for CMMI to modify or terminate the design or implementation of a model if it is determined that it is not expected to achieve the aims of the statute to improve the quality of care without increasing Medicare spending, to reduce Medicare spending without reducing the quality of care, or to improve the quality of care and reduce spending.</w:t>
      </w:r>
    </w:p>
    <w:p>
      <w:pPr>
        <w:spacing w:after="0" w:line="214"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scrutiny or challenge under one or more of such laws. Also, it is possible that some of our business activities, such as participation in the DC Model, could discontinue.</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Achieving and sustaining compliance with these laws may also prove costly. We are currently and expect to be in communication with the DOJ and other regulators regarding our business.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the Clover Assistant were to become subject to regulation by the FDA and we were unable to obtain the required approval or comply with these regulations, our business, operating results, financial condition and prospects may be materially and adversely affected.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Medical or health-related software, including machine learning functionality and predictive algorithms, may be subject to regulation by the FDA if such software falls within the definition of a “medical device” under the federal Food, Drug, and Cosmetic Act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5" w:name="page86"/>
    <w:bookmarkEnd w:id="85"/>
    <w:p>
      <w:pPr>
        <w:jc w:val="both"/>
        <w:spacing w:after="0" w:line="286" w:lineRule="auto"/>
        <w:rPr>
          <w:sz w:val="20"/>
          <w:szCs w:val="20"/>
          <w:color w:val="auto"/>
        </w:rPr>
      </w:pPr>
      <w:r>
        <w:rPr>
          <w:rFonts w:ascii="Arial" w:cs="Arial" w:eastAsia="Arial" w:hAnsi="Arial"/>
          <w:sz w:val="16"/>
          <w:szCs w:val="16"/>
          <w:color w:val="auto"/>
        </w:rPr>
        <w:t>“FDCA”). Currently, the FDA exercises enforcement discretion for certain low-risk software that meets criteria announced in its guidance documents. In addition, in December of 2016, President Obama signed into law the 21st Century Cures Act, which included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draft guidance documents, concerning, for example, clinical decision software, to clarify how it intends to interpret and apply the new exemptions under the 21st Century Cures Act. Although we believe that our Clover Assistant platform does not meet the definition of medical device and/or meet the criteria which the FDA has announced for its exercise of enforcement discretion to apply, there is a risk that the FDA could disagree with our determination or that the FDA could develop new guidance documents or finalize current draft guidance documents that would subject our platform to active FDA oversight. If the FDA determines that any of our current or future analytics applications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operating results, financial condition and prospects may be materially and adversely affected if we were to become subject to regulation by the FDA and were unable to obtain approval or comply with these regulations.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although are not necessarily,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beneficiaries. Any other changes in these requirements could materially increase our statutory capital requirements. In addition, as we continue to expand our plan offerings in new states, add new beneficiaries, or pursue new business opportunities, we may be required to maintain additional statutory capital. In any case, our available funds could be materially reduced, which could harm our ability to implement our business strategy.</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 and, in turn, a material adverse effect on our client base and revenue.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Numerous state and federal laws and regulations govern the collection, dissemination, use, privacy, confidentiality, security, availability and integrity of personally identifiable information (PII), including protected health information (PHI). These laws and regulations include the Health Insurance Portability and Accountability Act of 1996, HIPAA, as amended by HITECH, which we refer to collectively as HIPAA, and the California Consumer Privacy Act of 2018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21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addition, HIPAA mandates that the Secretary of Health and Human Services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6" w:name="page87"/>
    <w:bookmarkEnd w:id="86"/>
    <w:p>
      <w:pPr>
        <w:jc w:val="both"/>
        <w:spacing w:after="0" w:line="273" w:lineRule="auto"/>
        <w:rPr>
          <w:sz w:val="20"/>
          <w:szCs w:val="20"/>
          <w:color w:val="auto"/>
        </w:rPr>
      </w:pPr>
      <w:r>
        <w:rPr>
          <w:rFonts w:ascii="Arial" w:cs="Arial" w:eastAsia="Arial" w:hAnsi="Arial"/>
          <w:sz w:val="17"/>
          <w:szCs w:val="17"/>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Numerous other federal and state laws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For example, the CCPA came into effect on January 1, 2020. The CCPA requires companies that process information regarding California residents to make new disclosures to consumers, which could include certain of our employees,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which would potentially result in additional compliance obligations. Additionally, on November 3, 2020, California voters approved the California Privacy Rights Act (the “CPRA”), which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Although the CPRA’s substantive provisions do not become effective until January 1, 2023, we may incur additional costs implementing compliance processes leading up to such date. Similar laws have been proposed in other states and at the federal level, and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Because of the extreme sensitivity of the personal information, including PHI, that we store and transmit, the security features of our technology platform are very important. If our security measures, some of which are managed by third parties, are breached or fail, unauthorized persons may be able to obtain access to sensitive provider and beneficiary data, including HIPAA-regulated PHI. As a result, our reputation could be severely damaged, adversely affecting PCP and beneficiary confidence. Beneficiaries may curtail their use of or stop using our services or our number of beneficiaries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outsource important aspects of the storage and transmission of beneficiary information, and thus rely on third parties to manage functions that have material cyber-security risks. We attempt to address these risks by requiring outsourcing subcontractors who handle beneficiary information to sign business associate agreements contractually requiring those subcontractors to adequately safeguard personal health data to the same extent that applies to us and in some cases by requiring such outsourcing subcontractors to undergo third-party security examinations. However, we cannot ensure that these contractual measures and other safeguards will adequately protect us from the risks associated with the storage and transmission of such information on our behalf by our subcontractors.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7" w:name="page88"/>
    <w:bookmarkEnd w:id="87"/>
    <w:p>
      <w:pPr>
        <w:jc w:val="both"/>
        <w:spacing w:after="0" w:line="255" w:lineRule="auto"/>
        <w:rPr>
          <w:sz w:val="20"/>
          <w:szCs w:val="20"/>
          <w:color w:val="auto"/>
        </w:rPr>
      </w:pPr>
      <w:r>
        <w:rPr>
          <w:rFonts w:ascii="Arial" w:cs="Arial" w:eastAsia="Arial" w:hAnsi="Arial"/>
          <w:sz w:val="18"/>
          <w:szCs w:val="18"/>
          <w:color w:val="auto"/>
        </w:rPr>
        <w:t>We also publish statements to our beneficiaries that describe how we handle and protect personal information. Any failure or perceived failure by us to maintain posted privacy policies which are accurate, comprehensive and fully implemented, and any violation or perceived violation of our privacy-, data protection- or information security-related obligations to providers, beneficiaries or other third parties could result in claims of deceptive practices brought against the Company, which could lead to significant liabilities and consequences, including, without limitation, governmental investigations or enforcement actions, costs of responding to investigations, defending against litigation, settling claims and complying with regulatory or court orders, all of which could have material impacts on our revenue and operations.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that could impose new obligations or liability for copyright infringement by third parties. We cannot yet determine the impact that future laws, regulations, and standards may have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protect or enforce our intellectual property rights could impair our ability to protect our internally-developed technology and our brand, and our business may be adversely affected.</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are assigned to us. However, we cannot guarantee that such confidentiality and proprietary agreements or other 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proprietary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of our intellectual property could negatively affect our business.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In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8" w:name="page89"/>
    <w:bookmarkEnd w:id="88"/>
    <w:p>
      <w:pPr>
        <w:jc w:val="both"/>
        <w:spacing w:after="0" w:line="272" w:lineRule="auto"/>
        <w:rPr>
          <w:sz w:val="20"/>
          <w:szCs w:val="20"/>
          <w:color w:val="auto"/>
        </w:rPr>
      </w:pPr>
      <w:r>
        <w:rPr>
          <w:rFonts w:ascii="Arial" w:cs="Arial" w:eastAsia="Arial" w:hAnsi="Arial"/>
          <w:sz w:val="17"/>
          <w:szCs w:val="17"/>
          <w:color w:val="auto"/>
        </w:rPr>
        <w:t>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We cannot assure you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our trademarks, trade names, and brand names to distinguish our solutions and branding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in most instances, we have agreed to indemnify our providers against certain third-party intellectual property claims, which may include claims that our platform and products infringe the intellectual property rights of such third parties, and our business could be adversely affected by any significant disputes between us and our providers as to the applicability or scope of our indemnification obligations to them.</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portion of the technologies we use in the Clover Assistant incorporates “open source” software, and we may incorporate open source software in the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9" w:name="page90"/>
    <w:bookmarkEnd w:id="89"/>
    <w:p>
      <w:pPr>
        <w:jc w:val="both"/>
        <w:spacing w:after="0" w:line="254" w:lineRule="auto"/>
        <w:rPr>
          <w:sz w:val="20"/>
          <w:szCs w:val="20"/>
          <w:color w:val="auto"/>
        </w:rPr>
      </w:pPr>
      <w:r>
        <w:rPr>
          <w:rFonts w:ascii="Arial" w:cs="Arial" w:eastAsia="Arial" w:hAnsi="Arial"/>
          <w:sz w:val="18"/>
          <w:szCs w:val="18"/>
          <w:color w:val="auto"/>
        </w:rPr>
        <w:t>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rely on software licensed from third parties for internal tools we use to operate our business we do not currently in-license any intellectual property. However, in the future, we may need to obtain licenses from third parties to use intellectual property rights associated with the development of our platform, products, and other internal tools, which might not be available on acceptable terms, or at all. Any loss of the right to use any third-party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would disrupt the deployment of our platform, products, or other internal tools and harm our business, results of operations, and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prices and trading volume of our shares of Class A common stock have experienced extreme volatility in recent periods and such volatility could return, regardless of our operating performance.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prices and trading volume of our shares of Class A common stock have experienced extreme volatility in recent periods, particularly during June and July 2021, and such volatility could return. We believe that the extreme volatility we have experienced in recent periods reflects market and trading dynamics unrelated to our underlying business, or macro or industry fundamentals, and we do not know if these dynamics will return or how long they will last if they return.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there are various factors, many of which are beyond our control, that could negatively affect the market price of our Class A common stock or result in fluctuations in the price or trading volume of our Class A common stock, including:</w:t>
      </w:r>
    </w:p>
    <w:p>
      <w:pPr>
        <w:spacing w:after="0" w:line="62"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performance of the equity markets and the economy as a whole;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that of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new products and services, technological and platform updates or enhancements, or of acquisitions, strategic partnerships, joint ventures or capital-raising activities or commitments, by us or by our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disruptions to the Clover Assistant or our other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board members, management or key personnel;</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research or reports that securities analysts or others publish about us or our business;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including those related to Medicare;</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lawsuits threatened or filed against us or investigations by governmental authorities;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expiration of contractual lock-up agreements;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0" w:name="page91"/>
    <w:bookmarkEnd w:id="90"/>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stock market with respect to newly public companies, particularly companies in the healthcare and technology industry, have experienced significant price and volume fluctuations that have affected and continue to affect the market prices of stock prices of these companies. In the past, stockholders have instituted securities class action litigation against public companies following periods of market volatility. For example, following a recent period of volatility in the trading price of our Class A common stock, in February 2021, we and certain of our directors and officers were named as defendants in putative class actions alleging various securities law violations. We may be the target of this type of litigation in the future as well. Securities litigation against us could result in substantial costs and divert resources and the attention of management, which could adversely affect our business. Further, we provide indemnification for our officers and directors for certain claims in connection with such litigation. Large indemnity payments would adversely affect our business, results of operations, and financial condition.</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securities in the public markets, or the perception that they might occur, could cause the market price of our common stock to decline.</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common stock to decline and may make it more difficult for our other stockholders to sell their shares of common stock at a time and price that they deem appropriate.</w:t>
      </w:r>
    </w:p>
    <w:p>
      <w:pPr>
        <w:spacing w:after="0" w:line="1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September 30, 2021, the Sponsor, our directors, officers and principal stockholders and their affiliated entities (not including the shares of Class A common stock issued in the PIPE Investment) collectively owned approximately 88.5%% of the outstanding shares of Class A and Class B common stock.</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as of September 30, 2021, we had options outstanding that, if fully exercised, would result in the issuance of 31,694,847 shares of Class B common stock, and we had restricted stock units (RSUs) outstanding that would result in the issuance of 44,173,855 shares of Class B common stock. All of the shares of Class A common stock issuable upon the conversion of Class B common stock issuable upon exercise or settlement of stock options and RSUs, and the shares reserved for future issuance under our equity incentive plans, were registered for public resale under the Securities Act. Accordingly, these shares will be able to be freely sold in the public market upon issuance subject to applicable vesting requirements.</w:t>
      </w:r>
    </w:p>
    <w:p>
      <w:pPr>
        <w:spacing w:after="0" w:line="203"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i w:val="1"/>
          <w:iCs w:val="1"/>
          <w:color w:val="auto"/>
        </w:rPr>
        <w:t>We have identified a material weakness in our internal control over financial reporting related to our derivative liability for our convertible securities. While the embedded derivative was extinguished upon consummation of the Business Combination on January 7, 2021, and management therefore does not expect this material weakness to recur in future periods, if we fail to establish and maintain effective internal control over financial reporting more generally, our ability to produce timely and accurate financial statements and comply with disclosure and other requirements could be adversely affected, which in turn could harm investor confidence in our Company and the trading price of our Class A Common Stock.</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and the rules and regulations of the applicable listing standards of Nasdaq. The Sarbanes-Oxley Act requires, among other things, that we maintain effective disclosure controls and procedures and internal control over financial reporting.</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preparation of the audited financial statements of Clover Health Investments, Corp. and its consolidated subsidiaries as of prior to the consummation of the Business Combination for the year ended December 31, 2020, including the finalization of the accounting for the Business Combination, we identified a material weakness in our internal control over financial reporting related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1" w:name="page92"/>
    <w:bookmarkEnd w:id="91"/>
    <w:p>
      <w:pPr>
        <w:jc w:val="both"/>
        <w:spacing w:after="0" w:line="284" w:lineRule="auto"/>
        <w:rPr>
          <w:sz w:val="20"/>
          <w:szCs w:val="20"/>
          <w:color w:val="auto"/>
        </w:rPr>
      </w:pPr>
      <w:r>
        <w:rPr>
          <w:rFonts w:ascii="Arial" w:cs="Arial" w:eastAsia="Arial" w:hAnsi="Arial"/>
          <w:sz w:val="16"/>
          <w:szCs w:val="16"/>
          <w:color w:val="auto"/>
        </w:rPr>
        <w:t>the valuation of our derivative liability,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specifically to our application of the complex, key assumptions of a derivative instrument’s redemption features, leading to the incorrect application of FASB Accounting Standards Codification for derivatives (ASC 815) in the valuation of the embedded derivative features of the convertible securities of Clover Health Investments Corp. and its consolidated subsidiaries as of prior to the consummation of the Business Combination at December 31, 2020, and the varying treatment of each tranche of such securities under ASC</w:t>
      </w:r>
    </w:p>
    <w:p>
      <w:pPr>
        <w:spacing w:after="0" w:line="4" w:lineRule="exact"/>
        <w:rPr>
          <w:sz w:val="20"/>
          <w:szCs w:val="20"/>
          <w:color w:val="auto"/>
        </w:rPr>
      </w:pPr>
    </w:p>
    <w:p>
      <w:pPr>
        <w:jc w:val="both"/>
        <w:ind w:firstLine="8"/>
        <w:spacing w:after="0" w:line="252" w:lineRule="auto"/>
        <w:tabs>
          <w:tab w:leader="none" w:pos="3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Corporation’s press release announcing our financial results for the three months and year ended December 31, 2020 that we furnished in a Current Report on Form 8-K on March 1, 2021. The embedded derivative was extinguished upon the consummation of the Business Combination on January 7, 2021, and management therefore does not expect this material weakness to recur in future periods.</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 weaknesses in our disclosure controls and internal control over financial reporting may be discovered in the future.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 Further,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annual report on Form 10-K for the year ending December 31, 2021.</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(the “JOBS Act”). Once we are no longer an “emerging growth company,” our independent registered public accounting firm will be required to express an opinion as to the effectiveness of our internal control over financial reporting. Any failure to maintain effective disclosure controls or internal control over financial reporting could harm our business, results of operations, and financial condition and could cause a decline in the trading price of our Class A common stock.</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report and present our non-GAAP financial measures could cause us to fail to meet our reporting obligations and could cause investors to lose confidence in our reported financial and other information, which would likely have a negative effect on the trading price of our Class A common stock.</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that the requirements of these rules and regulations will continue to increase our legal, accounting and financial compliance costs, make some activities more difficult, time-consuming and costly and place significant strain on our personnel, systems and resources. In order to maintain and improve our disclosure controls and procedures and internal control over financial reporting, we have expended, and anticipate that we will continue to expend, significant resources, including accounting-related costs and investments to strengthen our accounting systems and significant management oversight. If any of these new or improved controls and systems do not perform as expected, we may experience additional material weaknesses in our controls.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2" w:name="page93"/>
    <w:bookmarkEnd w:id="92"/>
    <w:p>
      <w:pPr>
        <w:jc w:val="both"/>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under the JOBS Act, and any decision on our part to comply only with certain reduced reporting and disclosure requirements applicable to emerging growth companies could make our common stock less attractive to investors.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choose to take advantage of certain exemptions from various reporting requirements applicable to other public companies that are not emerging growth companies, including not being required to comply with the auditor attestation requirements of Section 404, reduced Public Company Accounting Oversight Board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control with our existing stockholders, including our directors, executive officers, principal stockholders and their respective affiliates, who held in the aggregate 88.5% of the voting power of our capital stock as of September 30,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As of September 30, 2021, our directors, executive officers, principal stockholders and their affiliates held in the aggregate 88.5% of the voting power of our 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37,975,120 shares of Class B common stock remain outstanding, the holders of our Class B common stock will be able to control the outcome of matters submitted to a stockholder vote. This concentrated control may limit or preclude the ability of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shares of Class A common stock, subject to limited exceptions, such as certain transfers effected for estate planning purposes. In addition, each of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cannot predict whether our dual class structure will result in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 Our directors, executive officers and principal stockholders will have substantial control over us, which could limit the ability of our other stockholders to influence the outcome of key transactions, including a change of control.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2020, we had approximately $725.8 million of federal net operating loss carryforwards. The federal net operating loss carryforwards created subsequent to the year ended December 31, 2017, of $430.7 million carry forward indefinitely, while the remaining federal net operating loss carryforwards of $295.1 million begin to expire in 2033. Our ability to utilize NOLs may be subject to limitations due to prior ownership shifts, which could result in an ownership change under Section 382 of the Code,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our ability to obtain funds from our regulated subsidiaries could materially and adversely affect our results of operations, financial position and cash flows.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 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position and cash flows could be materially and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divert management’s attention.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4" w:name="page95"/>
    <w:bookmarkEnd w:id="94"/>
    <w:p>
      <w:pPr>
        <w:jc w:val="both"/>
        <w:spacing w:after="0" w:line="269" w:lineRule="auto"/>
        <w:rPr>
          <w:sz w:val="20"/>
          <w:szCs w:val="20"/>
          <w:color w:val="auto"/>
        </w:rPr>
      </w:pPr>
      <w:r>
        <w:rPr>
          <w:rFonts w:ascii="Arial" w:cs="Arial" w:eastAsia="Arial" w:hAnsi="Arial"/>
          <w:sz w:val="17"/>
          <w:szCs w:val="17"/>
          <w:color w:val="auto"/>
        </w:rPr>
        <w:t>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taxing authorities of the jurisdictions in which we operate may challenge our methodologies for valuing developed technology or intercompany arrangements, which could increase our effective tax rate and harm our financial position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financial statements and may materially affect our financial results in the period or periods for which such determination is made.</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assure that any equity research analysts will adequately provide research coverage of our Class A common stock.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Applicable insurance laws may make it difficult to effect a change of control.</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applicable state insurance laws and regulations, no person may acquire control of a domestic insurer until written approval, or exemption therefrom,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the NJ DOBI’s consent will be obtained or that the NJ DOBI will not impose fines, penalties or sanctions in connection with the transactions.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the Corporation, even if a change in control were considered favorable by our stockholders. These anti-takeover provisions include:</w:t>
      </w:r>
    </w:p>
    <w:p>
      <w:pPr>
        <w:spacing w:after="0" w:line="76"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ability of our board of directors to determine the number of directors and to fill any vacancies and newly created directorships;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and restated certificate of incorporation and amended and restated bylaws;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our board of directors could use to implement a stockholder rights plan;</w:t>
      </w:r>
    </w:p>
    <w:p>
      <w:pPr>
        <w:spacing w:after="0" w:line="140" w:lineRule="exact"/>
        <w:rPr>
          <w:rFonts w:ascii="Arial" w:cs="Arial" w:eastAsia="Arial" w:hAnsi="Arial"/>
          <w:sz w:val="16"/>
          <w:szCs w:val="16"/>
          <w:color w:val="auto"/>
        </w:rPr>
      </w:pPr>
    </w:p>
    <w:p>
      <w:pPr>
        <w:jc w:val="both"/>
        <w:ind w:left="98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stock, including the election of directors and significant corporate transactions, such as a merger or other sale of our company or its assets;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 and</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6" w:name="page97"/>
    <w:bookmarkEnd w:id="96"/>
    <w:p>
      <w:pPr>
        <w:jc w:val="both"/>
        <w:ind w:right="20"/>
        <w:spacing w:after="0" w:line="277" w:lineRule="auto"/>
        <w:rPr>
          <w:sz w:val="20"/>
          <w:szCs w:val="20"/>
          <w:color w:val="auto"/>
        </w:rPr>
      </w:pPr>
      <w:r>
        <w:rPr>
          <w:rFonts w:ascii="Arial" w:cs="Arial" w:eastAsia="Arial" w:hAnsi="Arial"/>
          <w:sz w:val="18"/>
          <w:szCs w:val="18"/>
          <w:color w:val="auto"/>
        </w:rPr>
        <w:t>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these provisions may benefit the Corporation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below</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220"/>
        <w:spacing w:after="0" w:line="352" w:lineRule="auto"/>
        <w:rPr>
          <w:rFonts w:ascii="Arial" w:cs="Arial" w:eastAsia="Arial" w:hAnsi="Arial"/>
          <w:sz w:val="16"/>
          <w:szCs w:val="16"/>
          <w:u w:val="single" w:color="auto"/>
          <w:color w:val="0000FF"/>
        </w:rPr>
      </w:pPr>
      <w:hyperlink w:anchor="page100">
        <w:r>
          <w:rPr>
            <w:rFonts w:ascii="Arial" w:cs="Arial" w:eastAsia="Arial" w:hAnsi="Arial"/>
            <w:sz w:val="16"/>
            <w:szCs w:val="16"/>
            <w:u w:val="single" w:color="auto"/>
            <w:color w:val="0000FF"/>
          </w:rPr>
          <w:t>Letter Agreement dated as of August 13, 2021, by and between the Registrant and Joseph Wagner</w:t>
        </w:r>
      </w:hyperlink>
      <w:r>
        <w:rPr>
          <w:rFonts w:ascii="Arial" w:cs="Arial" w:eastAsia="Arial" w:hAnsi="Arial"/>
          <w:sz w:val="16"/>
          <w:szCs w:val="16"/>
          <w:u w:val="single" w:color="auto"/>
          <w:color w:val="0000FF"/>
        </w:rPr>
        <w:t xml:space="preserve"> </w:t>
      </w:r>
      <w:hyperlink w:anchor="page107">
        <w:r>
          <w:rPr>
            <w:rFonts w:ascii="Arial" w:cs="Arial" w:eastAsia="Arial" w:hAnsi="Arial"/>
            <w:sz w:val="16"/>
            <w:szCs w:val="16"/>
            <w:u w:val="single" w:color="auto"/>
            <w:color w:val="0000FF"/>
          </w:rPr>
          <w:t>Agreement for the Provision of Interim Management Services between the Registrant and AP Services, LLC</w:t>
        </w:r>
      </w:hyperlink>
    </w:p>
    <w:p>
      <w:pPr>
        <w:ind w:right="440"/>
        <w:spacing w:after="0" w:line="273" w:lineRule="auto"/>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Certification of Principal Executive Officer Pursuant to Rules 13a-14(a) and 15d-14(a) under the Securities Exchange Act of 1934, as</w:t>
        </w:r>
      </w:hyperlink>
      <w:r>
        <w:rPr>
          <w:rFonts w:ascii="Arial" w:cs="Arial" w:eastAsia="Arial" w:hAnsi="Arial"/>
          <w:sz w:val="18"/>
          <w:szCs w:val="18"/>
          <w:u w:val="single" w:color="auto"/>
          <w:color w:val="0000FF"/>
        </w:rPr>
        <w:t xml:space="preserve"> </w:t>
      </w:r>
      <w:hyperlink w:anchor="page117">
        <w:r>
          <w:rPr>
            <w:rFonts w:ascii="Arial" w:cs="Arial" w:eastAsia="Arial" w:hAnsi="Arial"/>
            <w:sz w:val="18"/>
            <w:szCs w:val="18"/>
            <w:u w:val="single" w:color="auto"/>
            <w:color w:val="0000FF"/>
          </w:rPr>
          <w:t>Adopted Pursuant to Section 302 of the Sarbanes-Oxley Act of 2002.</w:t>
        </w:r>
      </w:hyperlink>
    </w:p>
    <w:p>
      <w:pPr>
        <w:spacing w:after="0" w:line="1" w:lineRule="exact"/>
        <w:rPr>
          <w:sz w:val="20"/>
          <w:szCs w:val="20"/>
          <w:color w:val="auto"/>
        </w:rPr>
      </w:pPr>
    </w:p>
    <w:p>
      <w:pPr>
        <w:sectPr>
          <w:pgSz w:w="11900" w:h="16838" w:orient="portrait"/>
          <w:cols w:equalWidth="0" w:num="2">
            <w:col w:w="440" w:space="700"/>
            <w:col w:w="10040"/>
          </w:cols>
          <w:pgMar w:left="320" w:top="1093" w:right="399" w:bottom="1440" w:gutter="0" w:footer="0" w:header="0"/>
          <w:type w:val="continuous"/>
        </w:sectPr>
      </w:pPr>
    </w:p>
    <w:tbl>
      <w:tblPr>
        <w:tblLayout w:type="fixed"/>
        <w:tblInd w:w="20" w:type="dxa"/>
        <w:tblCellMar>
          <w:top w:w="0" w:type="dxa"/>
          <w:left w:w="0" w:type="dxa"/>
          <w:bottom w:w="0" w:type="dxa"/>
          <w:right w:w="0" w:type="dxa"/>
        </w:tblCellMar>
      </w:tblPr>
      <w:tr>
        <w:trPr>
          <w:trHeight w:val="205"/>
        </w:trPr>
        <w:tc>
          <w:tcPr>
            <w:tcW w:w="1120" w:type="dxa"/>
            <w:vAlign w:val="bottom"/>
          </w:tcPr>
          <w:p>
            <w:pPr>
              <w:spacing w:after="0" w:line="205" w:lineRule="exact"/>
              <w:rPr>
                <w:sz w:val="20"/>
                <w:szCs w:val="20"/>
                <w:color w:val="auto"/>
              </w:rPr>
            </w:pPr>
            <w:r>
              <w:rPr>
                <w:rFonts w:ascii="Arial" w:cs="Arial" w:eastAsia="Arial" w:hAnsi="Arial"/>
                <w:sz w:val="18"/>
                <w:szCs w:val="18"/>
                <w:color w:val="auto"/>
              </w:rPr>
              <w:t>31.2*</w:t>
            </w:r>
          </w:p>
        </w:tc>
        <w:tc>
          <w:tcPr>
            <w:tcW w:w="9560" w:type="dxa"/>
            <w:vAlign w:val="bottom"/>
            <w:tcBorders>
              <w:bottom w:val="single" w:sz="8" w:color="0000FF"/>
            </w:tcBorders>
            <w:gridSpan w:val="3"/>
          </w:tcPr>
          <w:p>
            <w:pPr>
              <w:spacing w:after="0" w:line="205"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Certification of Principal Financial Officer Pursuant to Rules 13a-14(a) and 15d-14(a) under the Securities Exchange Act of 1934, as</w:t>
              </w:r>
            </w:hyperlink>
          </w:p>
        </w:tc>
        <w:tc>
          <w:tcPr>
            <w:tcW w:w="48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Adopted Pursuant to Section 302 of the Sarbanes-Oxley Act of 2002.</w:t>
              </w:r>
            </w:hyperlink>
          </w:p>
        </w:tc>
        <w:tc>
          <w:tcPr>
            <w:tcW w:w="5060" w:type="dxa"/>
            <w:vAlign w:val="bottom"/>
            <w:gridSpan w:val="3"/>
          </w:tcPr>
          <w:p>
            <w:pPr>
              <w:spacing w:after="0"/>
              <w:rPr>
                <w:sz w:val="17"/>
                <w:szCs w:val="17"/>
                <w:color w:val="auto"/>
              </w:rPr>
            </w:pPr>
          </w:p>
        </w:tc>
      </w:tr>
      <w:tr>
        <w:trPr>
          <w:trHeight w:val="250"/>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19">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r>
      <w:tr>
        <w:trPr>
          <w:trHeight w:val="196"/>
        </w:trPr>
        <w:tc>
          <w:tcPr>
            <w:tcW w:w="11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Act of 2002.</w:t>
              </w:r>
            </w:hyperlink>
          </w:p>
        </w:tc>
        <w:tc>
          <w:tcPr>
            <w:tcW w:w="9140" w:type="dxa"/>
            <w:vAlign w:val="bottom"/>
            <w:gridSpan w:val="4"/>
          </w:tcPr>
          <w:p>
            <w:pPr>
              <w:spacing w:after="0"/>
              <w:rPr>
                <w:sz w:val="17"/>
                <w:szCs w:val="17"/>
                <w:color w:val="auto"/>
              </w:rPr>
            </w:pPr>
          </w:p>
        </w:tc>
      </w:tr>
      <w:tr>
        <w:trPr>
          <w:trHeight w:val="250"/>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0040" w:type="dxa"/>
            <w:vAlign w:val="bottom"/>
            <w:gridSpan w:val="5"/>
          </w:tcPr>
          <w:p>
            <w:pPr>
              <w:spacing w:after="0"/>
              <w:rPr>
                <w:rFonts w:ascii="Arial" w:cs="Arial" w:eastAsia="Arial" w:hAnsi="Arial"/>
                <w:sz w:val="18"/>
                <w:szCs w:val="18"/>
                <w:color w:val="0000FF"/>
                <w:w w:val="91"/>
              </w:rPr>
            </w:pPr>
            <w:hyperlink w:anchor="page120">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r>
      <w:tr>
        <w:trPr>
          <w:trHeight w:val="196"/>
        </w:trPr>
        <w:tc>
          <w:tcPr>
            <w:tcW w:w="11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120">
              <w:r>
                <w:rPr>
                  <w:rFonts w:ascii="Arial" w:cs="Arial" w:eastAsia="Arial" w:hAnsi="Arial"/>
                  <w:sz w:val="18"/>
                  <w:szCs w:val="18"/>
                  <w:color w:val="0000FF"/>
                  <w:w w:val="91"/>
                </w:rPr>
                <w:t>Act of 2002.</w:t>
              </w:r>
            </w:hyperlink>
          </w:p>
        </w:tc>
        <w:tc>
          <w:tcPr>
            <w:tcW w:w="908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5"/>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29"/>
        </w:trPr>
        <w:tc>
          <w:tcPr>
            <w:tcW w:w="112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100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type w:val="continuous"/>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86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947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Executive Officer</w:t>
      </w:r>
    </w:p>
    <w:p>
      <w:pPr>
        <w:spacing w:after="0" w:line="292" w:lineRule="exact"/>
        <w:rPr>
          <w:sz w:val="20"/>
          <w:szCs w:val="20"/>
          <w:color w:val="auto"/>
        </w:rPr>
      </w:pPr>
    </w:p>
    <w:p>
      <w:pPr>
        <w:ind w:left="20"/>
        <w:spacing w:after="0"/>
        <w:tabs>
          <w:tab w:leader="none" w:pos="5360" w:val="left"/>
          <w:tab w:leader="none" w:pos="792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Herbers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947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Mark Herbers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7"/>
          <w:szCs w:val="17"/>
          <w:b w:val="1"/>
          <w:bCs w:val="1"/>
          <w:color w:val="auto"/>
        </w:rPr>
        <w:t>Interim Chief Financial Officer, Principal Financial Officer, and</w:t>
      </w:r>
    </w:p>
    <w:p>
      <w:pPr>
        <w:ind w:left="74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769"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CLOVER HEALTH INVESTMENTS, CORP.</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August 12, 2021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Joseph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116586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65860"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Phoenix, MD 21131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Joe:</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This letter (the “</w:t>
      </w:r>
      <w:r>
        <w:rPr>
          <w:rFonts w:ascii="Arial" w:cs="Arial" w:eastAsia="Arial" w:hAnsi="Arial"/>
          <w:sz w:val="20"/>
          <w:szCs w:val="20"/>
          <w:u w:val="single" w:color="auto"/>
          <w:color w:val="auto"/>
        </w:rPr>
        <w:t>Agreement</w:t>
      </w:r>
      <w:r>
        <w:rPr>
          <w:rFonts w:ascii="Arial" w:cs="Arial" w:eastAsia="Arial" w:hAnsi="Arial"/>
          <w:sz w:val="20"/>
          <w:szCs w:val="20"/>
          <w:color w:val="auto"/>
        </w:rPr>
        <w:t>”) confirms the agreement between you and Clover Health Investments, Corp. (the “</w:t>
      </w:r>
      <w:r>
        <w:rPr>
          <w:rFonts w:ascii="Arial" w:cs="Arial" w:eastAsia="Arial" w:hAnsi="Arial"/>
          <w:sz w:val="20"/>
          <w:szCs w:val="20"/>
          <w:u w:val="single" w:color="auto"/>
          <w:color w:val="auto"/>
        </w:rPr>
        <w:t>Company</w:t>
      </w:r>
      <w:r>
        <w:rPr>
          <w:rFonts w:ascii="Arial" w:cs="Arial" w:eastAsia="Arial" w:hAnsi="Arial"/>
          <w:sz w:val="20"/>
          <w:szCs w:val="20"/>
          <w:color w:val="auto"/>
        </w:rPr>
        <w:t>”) regarding the termination of your employment with the Company.</w:t>
      </w:r>
    </w:p>
    <w:p>
      <w:pPr>
        <w:spacing w:after="0" w:line="177" w:lineRule="exact"/>
        <w:rPr>
          <w:sz w:val="20"/>
          <w:szCs w:val="20"/>
          <w:color w:val="auto"/>
        </w:rPr>
      </w:pPr>
    </w:p>
    <w:p>
      <w:pPr>
        <w:jc w:val="both"/>
        <w:spacing w:after="0" w:line="276" w:lineRule="auto"/>
        <w:tabs>
          <w:tab w:leader="none" w:pos="38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xml:space="preserve"> On July 9, 2021, you provided notice of your voluntary resignation from employment with the Company effective August 13, 2021 (the date you actually terminate employment,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By signing this Agreement, you hereby agree to resign, effective as of the Separation Date, from any and all officer or other positions held by you with the Company or any of its affiliates, and you agree to execute and deliver any additional documentation that may be necessary to give effect to all such resignations. After the Separation Date, you agree that you will not represent to anyone that you are still an employee or officer of the Company and you will not say or do anything purporting to bind the Company or any of its affiliates.</w:t>
      </w:r>
    </w:p>
    <w:p>
      <w:pPr>
        <w:spacing w:after="0" w:line="164" w:lineRule="exact"/>
        <w:rPr>
          <w:rFonts w:ascii="Arial" w:cs="Arial" w:eastAsia="Arial" w:hAnsi="Arial"/>
          <w:sz w:val="18"/>
          <w:szCs w:val="18"/>
          <w:color w:val="auto"/>
        </w:rPr>
      </w:pPr>
    </w:p>
    <w:p>
      <w:pPr>
        <w:jc w:val="both"/>
        <w:spacing w:after="0" w:line="273" w:lineRule="auto"/>
        <w:tabs>
          <w:tab w:leader="none" w:pos="37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 Other Amounts/Benefits Owed</w:t>
      </w:r>
      <w:r>
        <w:rPr>
          <w:rFonts w:ascii="Arial" w:cs="Arial" w:eastAsia="Arial" w:hAnsi="Arial"/>
          <w:sz w:val="18"/>
          <w:szCs w:val="18"/>
          <w:color w:val="auto"/>
        </w:rPr>
        <w:t>. You acknowledge and agree that, as of the Separation Date, you have been timely paid all of your salary, all of your accrued but unused vacation and paid time off and all other wages earned through the Separation Date. You acknowledge and agree that you have been paid for all of your services with the Company and you have not earned any wages, salary, incentive compensation, bonuses, commissions or similar payments or benefits or any other compensation or amounts that have not already been paid to you. You further agree that you have no unreimbursed business expenses arising out of your employment with the Company. You also agree that, prior to the execution of this Agreement, you were not entitled to receive any further payments or benefits from the Company, and the only payments and benefits that you are entitled to receive from the Company in the future are those specified in this Agreement.</w:t>
      </w:r>
    </w:p>
    <w:p>
      <w:pPr>
        <w:spacing w:after="0" w:line="168" w:lineRule="exact"/>
        <w:rPr>
          <w:rFonts w:ascii="Arial" w:cs="Arial" w:eastAsia="Arial" w:hAnsi="Arial"/>
          <w:sz w:val="18"/>
          <w:szCs w:val="18"/>
          <w:color w:val="auto"/>
        </w:rPr>
      </w:pPr>
    </w:p>
    <w:p>
      <w:pPr>
        <w:jc w:val="both"/>
        <w:spacing w:after="0" w:line="244" w:lineRule="auto"/>
        <w:tabs>
          <w:tab w:leader="none" w:pos="387"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Consideration for Execution of this Agreement</w:t>
      </w:r>
      <w:r>
        <w:rPr>
          <w:rFonts w:ascii="Arial" w:cs="Arial" w:eastAsia="Arial" w:hAnsi="Arial"/>
          <w:sz w:val="20"/>
          <w:szCs w:val="20"/>
          <w:color w:val="auto"/>
        </w:rPr>
        <w:t>. Although you are not otherwise entitled to receive any severance from the Company, subject to, and in consideration for, your execution of this Agreement after the Separation Date and on or before the Deadline (as defined below), without revocation, and provided you comply with all of the terms and conditions of this Agreement, the Confidential Information Agreement (as defined below) and all applicable Company policies, the Company will provide you with the following:</w:t>
      </w:r>
    </w:p>
    <w:p>
      <w:pPr>
        <w:spacing w:after="0" w:line="194" w:lineRule="exact"/>
        <w:rPr>
          <w:rFonts w:ascii="Arial" w:cs="Arial" w:eastAsia="Arial" w:hAnsi="Arial"/>
          <w:sz w:val="20"/>
          <w:szCs w:val="20"/>
          <w:color w:val="auto"/>
        </w:rPr>
      </w:pPr>
    </w:p>
    <w:p>
      <w:pPr>
        <w:ind w:left="1300" w:hanging="328"/>
        <w:spacing w:after="0"/>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Option Exercise Extension as defined and described in Section 4 below.</w:t>
      </w:r>
    </w:p>
    <w:p>
      <w:pPr>
        <w:spacing w:after="0" w:line="15" w:lineRule="exact"/>
        <w:rPr>
          <w:rFonts w:ascii="Arial" w:cs="Arial" w:eastAsia="Arial" w:hAnsi="Arial"/>
          <w:sz w:val="20"/>
          <w:szCs w:val="20"/>
          <w:color w:val="auto"/>
        </w:rPr>
      </w:pPr>
    </w:p>
    <w:p>
      <w:pPr>
        <w:ind w:left="1300" w:right="100" w:hanging="328"/>
        <w:spacing w:after="0" w:line="282" w:lineRule="auto"/>
        <w:tabs>
          <w:tab w:leader="none" w:pos="132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COBRA</w:t>
      </w:r>
      <w:r>
        <w:rPr>
          <w:rFonts w:ascii="Arial" w:cs="Arial" w:eastAsia="Arial" w:hAnsi="Arial"/>
          <w:sz w:val="18"/>
          <w:szCs w:val="18"/>
          <w:color w:val="auto"/>
        </w:rPr>
        <w:t>. The Company will pay your COBRA premiums for medical, dental and vision benefits for one month following the date that your employment with the Company ends, provided you elect COBRA benefits.</w:t>
      </w:r>
    </w:p>
    <w:p>
      <w:pPr>
        <w:spacing w:after="0" w:line="51" w:lineRule="exact"/>
        <w:rPr>
          <w:rFonts w:ascii="Arial" w:cs="Arial" w:eastAsia="Arial" w:hAnsi="Arial"/>
          <w:sz w:val="18"/>
          <w:szCs w:val="18"/>
          <w:color w:val="auto"/>
        </w:rPr>
      </w:pPr>
    </w:p>
    <w:p>
      <w:pPr>
        <w:ind w:left="1300" w:right="120" w:hanging="328"/>
        <w:spacing w:after="0" w:line="314" w:lineRule="auto"/>
        <w:tabs>
          <w:tab w:leader="none" w:pos="1311"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Retention of Company Equipment</w:t>
      </w:r>
      <w:r>
        <w:rPr>
          <w:rFonts w:ascii="Arial" w:cs="Arial" w:eastAsia="Arial" w:hAnsi="Arial"/>
          <w:sz w:val="18"/>
          <w:szCs w:val="18"/>
          <w:color w:val="auto"/>
        </w:rPr>
        <w:t>. Notwithstanding Section 11 below, the Company will allow you to retain your Company-issued laptop (“Company Device”). The Company shall reset the Company Device and remove any and all applications, licenses, and information, including personal information, personal health information, confidential and trade secret information, returning the Company Device to the original manufacturer settings.</w:t>
      </w:r>
    </w:p>
    <w:p>
      <w:pPr>
        <w:sectPr>
          <w:pgSz w:w="11900" w:h="16838" w:orient="portrait"/>
          <w:cols w:equalWidth="0" w:num="1">
            <w:col w:w="10260"/>
          </w:cols>
          <w:pgMar w:left="1300" w:top="1440" w:right="339" w:bottom="1440" w:gutter="0" w:footer="0" w:header="0"/>
        </w:sectPr>
      </w:pPr>
    </w:p>
    <w:bookmarkStart w:id="100" w:name="page101"/>
    <w:bookmarkEnd w:id="100"/>
    <w:p>
      <w:pPr>
        <w:jc w:val="both"/>
        <w:spacing w:after="0" w:line="268" w:lineRule="auto"/>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You acknowledge and agree that the Company has granted you the following stock options to purchase shares of the Company’s Common Stock (collectively, the “</w:t>
      </w:r>
      <w:r>
        <w:rPr>
          <w:rFonts w:ascii="Arial" w:cs="Arial" w:eastAsia="Arial" w:hAnsi="Arial"/>
          <w:sz w:val="18"/>
          <w:szCs w:val="18"/>
          <w:u w:val="single" w:color="auto"/>
          <w:color w:val="auto"/>
        </w:rPr>
        <w:t>Options</w:t>
      </w:r>
      <w:r>
        <w:rPr>
          <w:rFonts w:ascii="Arial" w:cs="Arial" w:eastAsia="Arial" w:hAnsi="Arial"/>
          <w:sz w:val="18"/>
          <w:szCs w:val="18"/>
          <w:color w:val="auto"/>
        </w:rPr>
        <w:t>”) pursuant to the Company’s Amended and Restated 2014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(i) on February 4, 2020, the Company granted you an option to purchase 44,858 shares, which is fully vested (the “</w:t>
      </w:r>
      <w:r>
        <w:rPr>
          <w:rFonts w:ascii="Arial" w:cs="Arial" w:eastAsia="Arial" w:hAnsi="Arial"/>
          <w:sz w:val="18"/>
          <w:szCs w:val="18"/>
          <w:u w:val="single" w:color="auto"/>
          <w:color w:val="auto"/>
        </w:rPr>
        <w:t>2020 ISO</w:t>
      </w:r>
      <w:r>
        <w:rPr>
          <w:rFonts w:ascii="Arial" w:cs="Arial" w:eastAsia="Arial" w:hAnsi="Arial"/>
          <w:sz w:val="18"/>
          <w:szCs w:val="18"/>
          <w:color w:val="auto"/>
        </w:rPr>
        <w:t>”), (ii) on February 4, 2020, the Company granted you an option to purchase 472,160 shares, of which 118,864 shares subject to the option will be vested as of the anticipated Separation Date, and (iii) on August 22, 2020, the Company granted you an option to purchase 125,496 shares, of which 39,741 shares subject to the option will be vested as of the anticipated Separation Date ((ii) and (iii) collectively, the “</w:t>
      </w:r>
      <w:r>
        <w:rPr>
          <w:rFonts w:ascii="Arial" w:cs="Arial" w:eastAsia="Arial" w:hAnsi="Arial"/>
          <w:sz w:val="18"/>
          <w:szCs w:val="18"/>
          <w:u w:val="single" w:color="auto"/>
          <w:color w:val="auto"/>
        </w:rPr>
        <w:t>2020 NSOs,</w:t>
      </w:r>
      <w:r>
        <w:rPr>
          <w:rFonts w:ascii="Arial" w:cs="Arial" w:eastAsia="Arial" w:hAnsi="Arial"/>
          <w:sz w:val="18"/>
          <w:szCs w:val="18"/>
          <w:color w:val="auto"/>
        </w:rPr>
        <w:t>” and the vested shares subject to the 2020 NSOs as of the Separation Date (anticipated to be 118,864 and 39,741, respectively), together, the “</w:t>
      </w:r>
      <w:r>
        <w:rPr>
          <w:rFonts w:ascii="Arial" w:cs="Arial" w:eastAsia="Arial" w:hAnsi="Arial"/>
          <w:sz w:val="18"/>
          <w:szCs w:val="18"/>
          <w:u w:val="single" w:color="auto"/>
          <w:color w:val="auto"/>
        </w:rPr>
        <w:t>Vested 2020 NSOs</w:t>
      </w:r>
      <w:r>
        <w:rPr>
          <w:rFonts w:ascii="Arial" w:cs="Arial" w:eastAsia="Arial" w:hAnsi="Arial"/>
          <w:sz w:val="18"/>
          <w:szCs w:val="18"/>
          <w:color w:val="auto"/>
        </w:rPr>
        <w:t>”). You acknowledge and agree that (a) the unvested portion of your Options as of the Separation Date are automatically terminated for no consideration and (b) the vesting of your Options will cease as of your Separation Date, in either case, even if you choose to provide further services to the Company pursuant to Section 12 below. Although you are not otherwise entitled to receive any severance from the Company, subject to, and in consideration for, your execution of this Agreement after the Separation Date and on or before the Deadline, without revocation, and provided you comply with all of the terms and conditions of this Agreement, the Confidential Information Agreement and all applicable Company policies, the Company will amend the 2020 NSOs to extend the post-termination exercise period applicable to the Vested 2020 NSOs, such that the Vested 2020 NSOs will remain outstanding and exercisable until the earliest of (x) August 13, 2022, (y) the original maximum expiration date applicable to the Vested 2020 NSOs (i.e. the expiration of their respective original 10 year terms), and (z) such earlier date as may be provided or permitted by the Plan, including without limitation in connection with a dissolution or liquidation of the Company or Corporate Event (as defined in the Plan) (such amendment, the “</w:t>
      </w:r>
      <w:r>
        <w:rPr>
          <w:rFonts w:ascii="Arial" w:cs="Arial" w:eastAsia="Arial" w:hAnsi="Arial"/>
          <w:sz w:val="18"/>
          <w:szCs w:val="18"/>
          <w:u w:val="single" w:color="auto"/>
          <w:color w:val="auto"/>
        </w:rPr>
        <w:t>Option Exercise Extension</w:t>
      </w:r>
      <w:r>
        <w:rPr>
          <w:rFonts w:ascii="Arial" w:cs="Arial" w:eastAsia="Arial" w:hAnsi="Arial"/>
          <w:sz w:val="18"/>
          <w:szCs w:val="18"/>
          <w:color w:val="auto"/>
        </w:rPr>
        <w:t>”). The Options and any such vested shares acquired pursuant to the exercise of the Options will remain subject to the terms and conditions of the applicable Stock Option Grant Agreement (as amended herein, if applicable), the applicable exercise agreement and the Plan (collectively, the “</w:t>
      </w:r>
      <w:r>
        <w:rPr>
          <w:rFonts w:ascii="Arial" w:cs="Arial" w:eastAsia="Arial" w:hAnsi="Arial"/>
          <w:sz w:val="18"/>
          <w:szCs w:val="18"/>
          <w:u w:val="single" w:color="auto"/>
          <w:color w:val="auto"/>
        </w:rPr>
        <w:t>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including the termination provisions. Further, you acknowledge and agree that, other than the vested portion of the Options described in this paragraph, you do not have any right, title, claim or interest in or to any other Company securities, including, without limitation, any shares of the Company’s capital stock or any other options or other rights to purchase or receive shares of the Company’s capital stock.</w:t>
      </w:r>
    </w:p>
    <w:p>
      <w:pPr>
        <w:spacing w:after="0" w:line="175" w:lineRule="exact"/>
        <w:rPr>
          <w:rFonts w:ascii="Arial" w:cs="Arial" w:eastAsia="Arial" w:hAnsi="Arial"/>
          <w:sz w:val="18"/>
          <w:szCs w:val="18"/>
          <w:color w:val="auto"/>
        </w:rPr>
      </w:pPr>
    </w:p>
    <w:p>
      <w:pPr>
        <w:ind w:left="340" w:hanging="340"/>
        <w:spacing w:after="0"/>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General Release</w:t>
      </w:r>
      <w:r>
        <w:rPr>
          <w:rFonts w:ascii="Arial" w:cs="Arial" w:eastAsia="Arial" w:hAnsi="Arial"/>
          <w:sz w:val="20"/>
          <w:szCs w:val="20"/>
          <w:color w:val="auto"/>
        </w:rPr>
        <w:t>. In consideration for receiving the severance benefits and payment described in</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Section 3 and Section 4 above, and for other good and valuable consideration, the sufficiency of which you hereby acknowledge, you hereby waive and release to the maximum extent permitted by applicable law any and all claims or causes of action, whether known or unknown, against the Company and/or its predecessors, successors, past or present subsidiaries, affiliated companies, investors, branches or related entities (collectively, including the Company, the “</w:t>
      </w:r>
      <w:r>
        <w:rPr>
          <w:rFonts w:ascii="Arial" w:cs="Arial" w:eastAsia="Arial" w:hAnsi="Arial"/>
          <w:sz w:val="18"/>
          <w:szCs w:val="18"/>
          <w:u w:val="single" w:color="auto"/>
          <w:color w:val="auto"/>
        </w:rPr>
        <w:t>Entities</w:t>
      </w:r>
      <w:r>
        <w:rPr>
          <w:rFonts w:ascii="Arial" w:cs="Arial" w:eastAsia="Arial" w:hAnsi="Arial"/>
          <w:sz w:val="18"/>
          <w:szCs w:val="18"/>
          <w:color w:val="auto"/>
        </w:rPr>
        <w:t>”) and/or the Entities’ respective past, present, or future insurers, officers, directors, agents, attorneys, employees, stockholders, assigns and employee benefit plans (collectively with the Entities,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with respect to any matter, including, without limitation, any matter related to your employment with the Company or the termination of that employment relationship. This waiver and release includes, without limitation, claims to wages, including overtime or minimum wages, bonuses, incentive compensation, equity compensation, vacation pay or any other compensation or benefits; any claims for failure to provide accurate itemized wage statements, failure to timely pay final pay or failure to provide meal or rest breaks; claims for any loss, cost, damage, or expense arising out of any dispute over the non-withholding or other tax treatment or employment classification, claims under the Employee Retirement Income Security Act (ERISA); claims for attorneys’ fees or costs; claims for penalties; any and all claims for stock, stock options or other equity securities of the Company; claims of wrongful discharge, constructive discharge, emotional distress, defamation, invasion of privacy, fraud, breach of contract, and breach of the covenant of good faith and fair dealing; any claims of discrimination, harassment, or retaliation based on sex, age, race, national origin, disability or on any other protected basis, under Title VII of the Civil Rights Act of 1964, the Age Discrimination in Employment Act of 1967, the Americans with Disabilities Act, the Maryland anti-discrimination laws (Title 20 of the State Government Article of the Maryland Annotated Code), the Fair Employment Practices Act of the State of</w:t>
      </w:r>
    </w:p>
    <w:p>
      <w:pPr>
        <w:sectPr>
          <w:pgSz w:w="11900" w:h="16838" w:orient="portrait"/>
          <w:cols w:equalWidth="0" w:num="1">
            <w:col w:w="10260"/>
          </w:cols>
          <w:pgMar w:left="1300" w:top="1176" w:right="339" w:bottom="1440" w:gutter="0" w:footer="0" w:header="0"/>
        </w:sectPr>
      </w:pPr>
    </w:p>
    <w:bookmarkStart w:id="101" w:name="page102"/>
    <w:bookmarkEnd w:id="101"/>
    <w:p>
      <w:pPr>
        <w:jc w:val="both"/>
        <w:spacing w:after="0" w:line="260" w:lineRule="auto"/>
        <w:rPr>
          <w:sz w:val="20"/>
          <w:szCs w:val="20"/>
          <w:color w:val="auto"/>
        </w:rPr>
      </w:pPr>
      <w:r>
        <w:rPr>
          <w:rFonts w:ascii="Arial" w:cs="Arial" w:eastAsia="Arial" w:hAnsi="Arial"/>
          <w:sz w:val="20"/>
          <w:szCs w:val="20"/>
          <w:color w:val="auto"/>
        </w:rPr>
        <w:t>Maryland, or any other federal, state, or local law prohibiting discrimination, harassment and/or retaliation, and all other federal, state and local laws, ordinances and regulations.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You covenant not to sue the Released Parties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the Released Parties, except as required by law. Nothing in this Agreement precludes you from participating in any investigation or proceeding before any government agency or body. However, while you may file a charge and participate in any such proceeding, by signing this Agreement, you waive any right to bring a lawsuit against the Released Parties and waive any right to any individual monetary recovery in any such proceeding or lawsuit. Nothing in this Agreement is intended to impede your ability to report possible securities law violations to the government, or to receive a monetary award from a government administered whistleblower-award program. You do not need the prior authorization of the Company to make any such reports or disclosures or to participate or cooperate in any governmental investigation, action or proceeding, and you are not required to notify the Company that you have made such reports and disclosures or have participated or cooperated in any governmental investigation, action or proceeding. Nothing in this Agreement waives your right to testify or prohibits you from testifying in an administrative, legislative, or judicial proceeding concerning alleged criminal conduct or alleged sexual harassment when you have been required or requested to attend the proceeding pursuant to a court order, subpoena or written request from an administrative agency or an applicable state legislature.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waiver and release covers only those claims that arose prior to your execution of this Agreement. The waiver and release contained in this Agreement does not apply to (i) your indemnification rights under the Indemnification Agreement entered into by and between you and the Company dated January 7, 2021 (the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and the Company’s internal governing documents, or (ii) any claim which, as a matter of law, cannot be released by private agreement. If any provision of the waiver and release contained in this Agreement is found to be unenforceable, it shall not affect the enforceability of the remaining provisions and a court shall enforce all remaining provisions to the full extent permitted by law.</w:t>
      </w:r>
    </w:p>
    <w:p>
      <w:pPr>
        <w:spacing w:after="0" w:line="165" w:lineRule="exact"/>
        <w:rPr>
          <w:sz w:val="20"/>
          <w:szCs w:val="20"/>
          <w:color w:val="auto"/>
        </w:rPr>
      </w:pPr>
    </w:p>
    <w:p>
      <w:pPr>
        <w:jc w:val="both"/>
        <w:spacing w:after="0" w:line="270" w:lineRule="auto"/>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ADEA Waiver</w:t>
      </w:r>
      <w:r>
        <w:rPr>
          <w:rFonts w:ascii="Arial" w:cs="Arial" w:eastAsia="Arial" w:hAnsi="Arial"/>
          <w:sz w:val="18"/>
          <w:szCs w:val="18"/>
          <w:color w:val="auto"/>
        </w:rPr>
        <w:t>. You acknowledge that you are knowingly and voluntarily waiving and releasing any rights you may have under the Federal Age Discrimination in Employment Act (“</w:t>
      </w:r>
      <w:r>
        <w:rPr>
          <w:rFonts w:ascii="Arial" w:cs="Arial" w:eastAsia="Arial" w:hAnsi="Arial"/>
          <w:sz w:val="18"/>
          <w:szCs w:val="18"/>
          <w:u w:val="single" w:color="auto"/>
          <w:color w:val="auto"/>
        </w:rPr>
        <w:t>ADEA Waiver</w:t>
      </w:r>
      <w:r>
        <w:rPr>
          <w:rFonts w:ascii="Arial" w:cs="Arial" w:eastAsia="Arial" w:hAnsi="Arial"/>
          <w:sz w:val="18"/>
          <w:szCs w:val="18"/>
          <w:color w:val="auto"/>
        </w:rPr>
        <w:t>”) and that the consideration given for the ADEA Waiver is in addition to anything of value to which you are already entitled. You further acknowledge that: (a) your ADEA Waiver does not apply to any claims that may arise after you sign this Agreement; (b) you should consult with an attorney prior to executing this Agreement; (c) you have at least 21 calendar days within which to consider this Agreement (although you may choose to execute the Agreement earlier); (d) you have seven (7) calendar days following the execution of the Agreement to revoke this Agreement; and (e) the Agreement will not be effective until the eighth day after you sign this Agreement provided that you have not revoked it (“</w:t>
      </w:r>
      <w:r>
        <w:rPr>
          <w:rFonts w:ascii="Arial" w:cs="Arial" w:eastAsia="Arial" w:hAnsi="Arial"/>
          <w:sz w:val="18"/>
          <w:szCs w:val="18"/>
          <w:u w:val="single" w:color="auto"/>
          <w:color w:val="auto"/>
        </w:rPr>
        <w:t>Effective Date</w:t>
      </w:r>
      <w:r>
        <w:rPr>
          <w:rFonts w:ascii="Arial" w:cs="Arial" w:eastAsia="Arial" w:hAnsi="Arial"/>
          <w:sz w:val="18"/>
          <w:szCs w:val="18"/>
          <w:color w:val="auto"/>
        </w:rPr>
        <w:t>”). You agree that any modifications, material or otherwise, made to this Agreement do not restart or affect in any manner the original consideration period provided in this section. To revoke the Agreement, you must email Gia Lee a written notice of revocation at gia.lee@cloverhealth.com, prior to the end of the 7-day period. You acknowledge that your consent to this Agreement is knowing and voluntary. The offer described in this Agreement will be automatically withdrawn if you do not sign the Agreement by the Deadline.</w:t>
      </w:r>
    </w:p>
    <w:p>
      <w:pPr>
        <w:spacing w:after="0" w:line="175" w:lineRule="exact"/>
        <w:rPr>
          <w:rFonts w:ascii="Arial" w:cs="Arial" w:eastAsia="Arial" w:hAnsi="Arial"/>
          <w:sz w:val="18"/>
          <w:szCs w:val="18"/>
          <w:color w:val="auto"/>
        </w:rPr>
      </w:pPr>
    </w:p>
    <w:p>
      <w:pPr>
        <w:jc w:val="both"/>
        <w:spacing w:after="0" w:line="269"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Unknown Claims Waiver</w:t>
      </w:r>
      <w:r>
        <w:rPr>
          <w:rFonts w:ascii="Arial" w:cs="Arial" w:eastAsia="Arial" w:hAnsi="Arial"/>
          <w:sz w:val="18"/>
          <w:szCs w:val="18"/>
          <w:color w:val="auto"/>
        </w:rPr>
        <w:t xml:space="preserve">. You understand and acknowledge that you are releasing potentially unknown claims, and that you may have limited knowledge with respect to some of the claims being released. You acknowledge that there is a risk that, after signing this Agreement, you may learn information that might have affected your decision to enter into this Agreement. You assume this risk and all other risks of any mistake in entering into this Agreement. You agree that this Agreement is fairly and knowingly made. In addition, you expressly waive and release any and all rights and benefits under the provisions of any applicable law (including Section 1542 of the </w:t>
      </w:r>
      <w:r>
        <w:rPr>
          <w:rFonts w:ascii="Arial" w:cs="Arial" w:eastAsia="Arial" w:hAnsi="Arial"/>
          <w:sz w:val="18"/>
          <w:szCs w:val="18"/>
          <w:i w:val="1"/>
          <w:iCs w:val="1"/>
          <w:color w:val="auto"/>
        </w:rPr>
        <w:t>Civil Code of the State of California</w:t>
      </w:r>
      <w:r>
        <w:rPr>
          <w:rFonts w:ascii="Arial" w:cs="Arial" w:eastAsia="Arial" w:hAnsi="Arial"/>
          <w:sz w:val="18"/>
          <w:szCs w:val="18"/>
          <w:color w:val="auto"/>
        </w:rPr>
        <w:t>), which reads substantially as follows: “A</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GENERAL RELEASE DOES NOT EXTEND TO CLAIMS THAT THE CREDITOR OR</w:t>
      </w:r>
    </w:p>
    <w:p>
      <w:pPr>
        <w:sectPr>
          <w:pgSz w:w="11900" w:h="16838" w:orient="portrait"/>
          <w:cols w:equalWidth="0" w:num="1">
            <w:col w:w="10260"/>
          </w:cols>
          <w:pgMar w:left="1300" w:top="1176" w:right="339" w:bottom="1440" w:gutter="0" w:footer="0" w:header="0"/>
        </w:sectPr>
      </w:pPr>
    </w:p>
    <w:bookmarkStart w:id="102" w:name="page103"/>
    <w:bookmarkEnd w:id="102"/>
    <w:p>
      <w:pPr>
        <w:jc w:val="both"/>
        <w:spacing w:after="0" w:line="250" w:lineRule="auto"/>
        <w:rPr>
          <w:sz w:val="20"/>
          <w:szCs w:val="20"/>
          <w:color w:val="auto"/>
        </w:rPr>
      </w:pPr>
      <w:r>
        <w:rPr>
          <w:rFonts w:ascii="Arial" w:cs="Arial" w:eastAsia="Arial" w:hAnsi="Arial"/>
          <w:sz w:val="20"/>
          <w:szCs w:val="20"/>
          <w:color w:val="auto"/>
        </w:rPr>
        <w:t>RELEASING PARTY DOES NOT KNOW OR SUSPECT TO EXIST IN HIS OR HER FAVOR AT THE TIME OF EXECUTING THE RELEASE AND THAT, IF KNOWN BY HIM OR HER, WOULD HAVE MATERIALLY AFFECTED HIS OR HER SETTLEMENT WITH THE DEBTOR OR RELEASED PARTY.”</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understand and agree that claims or facts in addition to or different from those which are now known or believed by you to exist may hereafter be discovered, but it is your intention to release all claims that you have or may have against the Released Parties, whether known or unknown, suspected or unsuspected.</w:t>
      </w:r>
    </w:p>
    <w:p>
      <w:pPr>
        <w:spacing w:after="0" w:line="186" w:lineRule="exact"/>
        <w:rPr>
          <w:sz w:val="20"/>
          <w:szCs w:val="20"/>
          <w:color w:val="auto"/>
        </w:rPr>
      </w:pPr>
    </w:p>
    <w:p>
      <w:pPr>
        <w:jc w:val="both"/>
        <w:spacing w:after="0" w:line="250" w:lineRule="auto"/>
        <w:tabs>
          <w:tab w:leader="none" w:pos="427"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Breach</w:t>
      </w:r>
      <w:r>
        <w:rPr>
          <w:rFonts w:ascii="Arial" w:cs="Arial" w:eastAsia="Arial" w:hAnsi="Arial"/>
          <w:sz w:val="20"/>
          <w:szCs w:val="20"/>
          <w:color w:val="auto"/>
        </w:rPr>
        <w:t>. In the event that you breach any of your obligations under this Agreement or as otherwise imposed by law, the Company will be entitled to recover all severance and other consideration paid or provided under this Agreement and to obtain all other relief provided by law or equity.</w:t>
      </w:r>
    </w:p>
    <w:p>
      <w:pPr>
        <w:spacing w:after="0" w:line="185" w:lineRule="exact"/>
        <w:rPr>
          <w:rFonts w:ascii="Arial" w:cs="Arial" w:eastAsia="Arial" w:hAnsi="Arial"/>
          <w:sz w:val="20"/>
          <w:szCs w:val="20"/>
          <w:color w:val="auto"/>
        </w:rPr>
      </w:pPr>
    </w:p>
    <w:p>
      <w:pPr>
        <w:ind w:right="20"/>
        <w:spacing w:after="0" w:line="260" w:lineRule="auto"/>
        <w:tabs>
          <w:tab w:leader="none" w:pos="387"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No Admission</w:t>
      </w:r>
      <w:r>
        <w:rPr>
          <w:rFonts w:ascii="Arial" w:cs="Arial" w:eastAsia="Arial" w:hAnsi="Arial"/>
          <w:sz w:val="20"/>
          <w:szCs w:val="20"/>
          <w:color w:val="auto"/>
        </w:rPr>
        <w:t>. Nothing contained in this Agreement shall constitute or be treated as an admission by the Company of any liability, wrongdoing, or violation of law.</w:t>
      </w:r>
    </w:p>
    <w:p>
      <w:pPr>
        <w:spacing w:after="0" w:line="176" w:lineRule="exact"/>
        <w:rPr>
          <w:rFonts w:ascii="Arial" w:cs="Arial" w:eastAsia="Arial" w:hAnsi="Arial"/>
          <w:sz w:val="20"/>
          <w:szCs w:val="20"/>
          <w:color w:val="auto"/>
        </w:rPr>
      </w:pPr>
    </w:p>
    <w:p>
      <w:pPr>
        <w:jc w:val="both"/>
        <w:spacing w:after="0" w:line="263" w:lineRule="auto"/>
        <w:tabs>
          <w:tab w:leader="none" w:pos="567"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Continuing Obligations</w:t>
      </w:r>
      <w:r>
        <w:rPr>
          <w:rFonts w:ascii="Arial" w:cs="Arial" w:eastAsia="Arial" w:hAnsi="Arial"/>
          <w:sz w:val="19"/>
          <w:szCs w:val="19"/>
          <w:color w:val="auto"/>
        </w:rPr>
        <w:t>. At all times in the future, you will remain bound by the Nondisclosure, Confidentiality, and Nonsolicitation Agreement entered into by and between you and the Company on November 29, 2019 (the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 Agreement</w:t>
      </w:r>
      <w:r>
        <w:rPr>
          <w:rFonts w:ascii="Arial" w:cs="Arial" w:eastAsia="Arial" w:hAnsi="Arial"/>
          <w:sz w:val="19"/>
          <w:szCs w:val="19"/>
          <w:color w:val="auto"/>
        </w:rPr>
        <w:t xml:space="preserve">”), a copy of which is attached hereto as </w:t>
      </w:r>
      <w:r>
        <w:rPr>
          <w:rFonts w:ascii="Arial" w:cs="Arial" w:eastAsia="Arial" w:hAnsi="Arial"/>
          <w:sz w:val="19"/>
          <w:szCs w:val="19"/>
          <w:u w:val="single" w:color="auto"/>
          <w:color w:val="auto"/>
        </w:rPr>
        <w:t>Attachment A</w:t>
      </w:r>
      <w:r>
        <w:rPr>
          <w:rFonts w:ascii="Arial" w:cs="Arial" w:eastAsia="Arial" w:hAnsi="Arial"/>
          <w:sz w:val="19"/>
          <w:szCs w:val="19"/>
          <w:color w:val="auto"/>
        </w:rPr>
        <w:t>. In addition, the Indemnification Agreement shall remain in full force and effect in accordance with, and only to the extent permitted by, its terms.</w:t>
      </w:r>
    </w:p>
    <w:p>
      <w:pPr>
        <w:spacing w:after="0" w:line="176" w:lineRule="exact"/>
        <w:rPr>
          <w:rFonts w:ascii="Arial" w:cs="Arial" w:eastAsia="Arial" w:hAnsi="Arial"/>
          <w:sz w:val="19"/>
          <w:szCs w:val="19"/>
          <w:color w:val="auto"/>
        </w:rPr>
      </w:pPr>
    </w:p>
    <w:p>
      <w:pPr>
        <w:jc w:val="both"/>
        <w:spacing w:after="0" w:line="243" w:lineRule="auto"/>
        <w:tabs>
          <w:tab w:leader="none" w:pos="505"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Return of Company Property</w:t>
      </w:r>
      <w:r>
        <w:rPr>
          <w:rFonts w:ascii="Arial" w:cs="Arial" w:eastAsia="Arial" w:hAnsi="Arial"/>
          <w:sz w:val="20"/>
          <w:szCs w:val="20"/>
          <w:color w:val="auto"/>
        </w:rPr>
        <w:t>. You agree that, as of the Separation Date, you have returned to the Company any and all Company property in your possession or control, including, without limitation, equipment, documents (in paper and electronic form), credit cards, and phone cards and you have returned and/or destroyed all Company property that you stored in electronic form or media (including, but not limited to, any Company property stored in your personal computer, USB drives or in a cloud environment). You further agree to sign the Termination Certification, which is attached as Exhibit A to your Confidential Information Agreement.</w:t>
      </w:r>
    </w:p>
    <w:p>
      <w:pPr>
        <w:spacing w:after="0" w:line="195" w:lineRule="exact"/>
        <w:rPr>
          <w:rFonts w:ascii="Arial" w:cs="Arial" w:eastAsia="Arial" w:hAnsi="Arial"/>
          <w:sz w:val="20"/>
          <w:szCs w:val="20"/>
          <w:color w:val="auto"/>
        </w:rPr>
      </w:pPr>
    </w:p>
    <w:p>
      <w:pPr>
        <w:jc w:val="both"/>
        <w:spacing w:after="0" w:line="268" w:lineRule="auto"/>
        <w:tabs>
          <w:tab w:leader="none" w:pos="47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Post-Termination Consulting Services</w:t>
      </w:r>
      <w:r>
        <w:rPr>
          <w:rFonts w:ascii="Arial" w:cs="Arial" w:eastAsia="Arial" w:hAnsi="Arial"/>
          <w:sz w:val="18"/>
          <w:szCs w:val="18"/>
          <w:color w:val="auto"/>
        </w:rPr>
        <w:t>. You agree to perform services for the Company as an independent contractor, with the term of your consulting relationship beginning on the Separation Date and continuing for twelve (12) months following your Separation Date; provided that either you or the Company may end your consulting relationship under this Agreement at any time, for any reason, without prior notice (the period during which you are providing consulting services under this Agreement is referred to herein as the “</w:t>
      </w:r>
      <w:r>
        <w:rPr>
          <w:rFonts w:ascii="Arial" w:cs="Arial" w:eastAsia="Arial" w:hAnsi="Arial"/>
          <w:sz w:val="18"/>
          <w:szCs w:val="18"/>
          <w:u w:val="single" w:color="auto"/>
          <w:color w:val="auto"/>
        </w:rPr>
        <w:t>Consulting Period</w:t>
      </w:r>
      <w:r>
        <w:rPr>
          <w:rFonts w:ascii="Arial" w:cs="Arial" w:eastAsia="Arial" w:hAnsi="Arial"/>
          <w:sz w:val="18"/>
          <w:szCs w:val="18"/>
          <w:color w:val="auto"/>
        </w:rPr>
        <w:t>”). In the event that the Company terminates the Agreement prior to the expiration of the twelve (12) month term, the Company will pay you a one-time payment in the amount of the remaining monthly fees you would have received if the Consulting Period had continued for the full twelve (12) months following your Separation Date (the “Early Termination Payment”). For the avoidance of doubt, you will not be entitled to the Early Termination Payment if you terminate the Agreement prior to the expiration of the twelve (12) month term. During the Consulting Period, you will be expected to provide advice and assistance to the Company as requested by the Company from time to time, which may include without limitation, being available for questions and matters that arise related to the Company’s financial plan and related matters (the “</w:t>
      </w:r>
      <w:r>
        <w:rPr>
          <w:rFonts w:ascii="Arial" w:cs="Arial" w:eastAsia="Arial" w:hAnsi="Arial"/>
          <w:sz w:val="18"/>
          <w:szCs w:val="18"/>
          <w:u w:val="single" w:color="auto"/>
          <w:color w:val="auto"/>
        </w:rPr>
        <w:t>Services</w:t>
      </w:r>
      <w:r>
        <w:rPr>
          <w:rFonts w:ascii="Arial" w:cs="Arial" w:eastAsia="Arial" w:hAnsi="Arial"/>
          <w:sz w:val="18"/>
          <w:szCs w:val="18"/>
          <w:color w:val="auto"/>
        </w:rPr>
        <w:t>”). You agree to perform the Services in good faith and to the best of your ability. You will be paid for the Services at the rate of $10,000 per month. You will provide the Company with an invoice on a monthly basis, following which the Company will remit payment within fifteen (15) days. In the event that the Company hires and onboards a new Chief Financial Officer within the Consulting Period, upon the new Chief Financial Officer’s completion of sixty (60) days of employment, the consulting relationship will automatically terminate and the Company will pay you the Early Termination Payment. Further, you acknowledge and agree that your consulting services with the Company will not qualify for continued vesting of your options, and, therefore, your vesting will cease with respect to the Options on your Separation Date notwithstanding the provision of the Services during the Consulting Period.</w:t>
      </w:r>
    </w:p>
    <w:p>
      <w:pPr>
        <w:sectPr>
          <w:pgSz w:w="11900" w:h="16838" w:orient="portrait"/>
          <w:cols w:equalWidth="0" w:num="1">
            <w:col w:w="10260"/>
          </w:cols>
          <w:pgMar w:left="1300" w:top="1176" w:right="339" w:bottom="1440" w:gutter="0" w:footer="0" w:header="0"/>
        </w:sectPr>
      </w:pPr>
    </w:p>
    <w:bookmarkStart w:id="103" w:name="page104"/>
    <w:bookmarkEnd w:id="103"/>
    <w:p>
      <w:pPr>
        <w:jc w:val="both"/>
        <w:ind w:left="60"/>
        <w:spacing w:after="0" w:line="243" w:lineRule="auto"/>
        <w:rPr>
          <w:sz w:val="20"/>
          <w:szCs w:val="20"/>
          <w:color w:val="auto"/>
        </w:rPr>
      </w:pPr>
      <w:r>
        <w:rPr>
          <w:rFonts w:ascii="Arial" w:cs="Arial" w:eastAsia="Arial" w:hAnsi="Arial"/>
          <w:sz w:val="20"/>
          <w:szCs w:val="20"/>
          <w:color w:val="auto"/>
        </w:rPr>
        <w:t>For purposes of clarity, you and the Company mutually acknowledge and agree that (x) the provisions of this Section 12 are wholly separate and distinct from the remaining provisions of this Agreement, (y) your service as a consultant to the Company was not an inducement for you to enter into this Agreement or any other agreement with the Company, and (z) your service as a consultant to the Company, and any termination of that service, at any time, for any reason, shall not affect any other provisions of this Agreement or any other agreement between you and the Company, including, without limitation, the release provisions set forth in this Agreement.</w:t>
      </w: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tabs>
          <w:tab w:leader="none" w:pos="55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Cooperation with the Company</w:t>
      </w:r>
      <w:r>
        <w:rPr>
          <w:rFonts w:ascii="Arial" w:cs="Arial" w:eastAsia="Arial" w:hAnsi="Arial"/>
          <w:sz w:val="19"/>
          <w:szCs w:val="19"/>
          <w:color w:val="auto"/>
        </w:rPr>
        <w:t>. In addition, you shall cooperate with and assist the Company in the investigation of, preparation for or defense of any actual or threatened third party claim, investigation or proceeding involving the Company or its predecessors or affiliates and arising from or relating to, in whole or in part, your employment with the Company or its predecessors or affiliates for which the Company requests your assistance, which cooperation and assistance shall include, but not be limited to, providing truthful testimony and assisting in information and document gathering efforts. In connection herewith, it is agreed that the Company will use its reasonable best efforts to assure that any request for such cooperation will not unduly interfere with your other material business and personal obligations and commitments. In addition, you agree to cooperate fully in matters relating to the transition of your employment and responsibilities and other matters reasonably requested by the Company, whether before or after your Separation Date.</w:t>
      </w:r>
    </w:p>
    <w:p>
      <w:pPr>
        <w:spacing w:after="0" w:line="184" w:lineRule="exact"/>
        <w:rPr>
          <w:rFonts w:ascii="Arial" w:cs="Arial" w:eastAsia="Arial" w:hAnsi="Arial"/>
          <w:sz w:val="19"/>
          <w:szCs w:val="19"/>
          <w:color w:val="auto"/>
        </w:rPr>
      </w:pPr>
    </w:p>
    <w:p>
      <w:pPr>
        <w:jc w:val="both"/>
        <w:spacing w:after="0" w:line="278" w:lineRule="auto"/>
        <w:tabs>
          <w:tab w:leader="none" w:pos="56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You and the Company mutually agree that neither party will make any negative or disparaging statements (orally or in writing or in any medium, including via blogging or otherwise via the internet) about the other party, except as required by law. For purposes of this section, the Company shall be defined to encompass its subsidiaries, successors, stockholders, directors, officers, employees, service providers, agents, advisors, partners, affiliates, products, services, formulae, corporate structure or organization, marketing methods, and business practices or performance.</w:t>
      </w:r>
    </w:p>
    <w:p>
      <w:pPr>
        <w:spacing w:after="0" w:line="164" w:lineRule="exact"/>
        <w:rPr>
          <w:rFonts w:ascii="Arial" w:cs="Arial" w:eastAsia="Arial" w:hAnsi="Arial"/>
          <w:sz w:val="18"/>
          <w:szCs w:val="18"/>
          <w:color w:val="auto"/>
        </w:rPr>
      </w:pPr>
    </w:p>
    <w:p>
      <w:pPr>
        <w:spacing w:after="0" w:line="260" w:lineRule="auto"/>
        <w:tabs>
          <w:tab w:leader="none" w:pos="472"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Workers’ Compensation</w:t>
      </w:r>
      <w:r>
        <w:rPr>
          <w:rFonts w:ascii="Arial" w:cs="Arial" w:eastAsia="Arial" w:hAnsi="Arial"/>
          <w:sz w:val="20"/>
          <w:szCs w:val="20"/>
          <w:color w:val="auto"/>
        </w:rPr>
        <w:t>. You agree that you did not suffer an injury covered by workers’ compensation in the course and scope of your employment with the Company.</w:t>
      </w:r>
    </w:p>
    <w:p>
      <w:pPr>
        <w:spacing w:after="0" w:line="176" w:lineRule="exact"/>
        <w:rPr>
          <w:rFonts w:ascii="Arial" w:cs="Arial" w:eastAsia="Arial" w:hAnsi="Arial"/>
          <w:sz w:val="20"/>
          <w:szCs w:val="20"/>
          <w:color w:val="auto"/>
        </w:rPr>
      </w:pPr>
    </w:p>
    <w:p>
      <w:pPr>
        <w:jc w:val="both"/>
        <w:spacing w:after="0" w:line="268" w:lineRule="auto"/>
        <w:tabs>
          <w:tab w:leader="none" w:pos="52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To ensure rapid and economical resolution of any disputes relating to this Agreement, you and the Company agree that any and all claims, disputes or controversies of any nature whatsoever arising out of, or relating to, this Agreement, or its interpretation, enforcement, breach, performance or execution, shall be resolved by final, binding and confidential arbitration before a single arbitrator in Washington, D.C. (or another mutually agreeable location) conducted under the Judicial Arbitration and Mediation Services (JAMS) Streamlined Arbitration Rules &amp; Procedures, which can be reviewed at http://www.jamsadr.com/rules-streamlined-arbitration/. Before engaging in arbitration, you and the Company agree to first attempt to resolve the dispute informally or with the assistance of a neutral third-party mediator. You and the Company each acknowledge that by agreeing to this arbitration procedure, you and the Company waive the right to resolve any such dispute, claim or demand through a trial by jury or judge or by administrative proceeding. The arbitrator, and not a court, shall also be authorized to determine whether the provisions of this paragraph apply to a dispute, controversy, or claim except as provided herein. The arbitrator may in his or her discretion award attorneys’ fees to the prevailing party. All claims, disputes, or controversies subject to arbitration as set forth in this paragraph must be submitted to arbitration on an individual basis and not as a representative, class and/or collective action proceeding on behalf of other individuals. Any issue concerning the validity of this representative, class and/or collective action waiver must be decided by a Court and if for any reason it is found to be unenforceable, the representative, class and/or collective action claim may only be heard in Court and may not be arbitrated. Claims will be governed by applicable statutes of limitations. This arbitration agreement does not cover any action seeking only emergency, temporary or preliminary injunctive relief (including a temporary restraining order) in a court of competent jurisdiction in accordance with applicable law. This arbitration agreement shall be construed and interpreted in accordance with the Federal Arbitration Act.</w:t>
      </w:r>
    </w:p>
    <w:p>
      <w:pPr>
        <w:sectPr>
          <w:pgSz w:w="11900" w:h="16838" w:orient="portrait"/>
          <w:cols w:equalWidth="0" w:num="1">
            <w:col w:w="10260"/>
          </w:cols>
          <w:pgMar w:left="1300" w:top="1176" w:right="339" w:bottom="1440" w:gutter="0" w:footer="0" w:header="0"/>
        </w:sectPr>
      </w:pPr>
    </w:p>
    <w:bookmarkStart w:id="104" w:name="page105"/>
    <w:bookmarkEnd w:id="104"/>
    <w:p>
      <w:pPr>
        <w:spacing w:after="0" w:line="236" w:lineRule="exact"/>
        <w:rPr>
          <w:sz w:val="20"/>
          <w:szCs w:val="20"/>
          <w:color w:val="auto"/>
        </w:rPr>
      </w:pPr>
    </w:p>
    <w:p>
      <w:pPr>
        <w:jc w:val="both"/>
        <w:spacing w:after="0" w:line="257" w:lineRule="auto"/>
        <w:tabs>
          <w:tab w:leader="none" w:pos="47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You agree that except for the Confidential Information Agreement, the Indemnification Agreement and the Equity Documents, and except as otherwise expressly provided in this Agreement, this Agreement renders null and void any and all prior or contemporaneous agreements between you and the Company or any affiliate of the Company, including, but not limited to, the offer letter entered into by and between you and the Company dated December 9, 2019. You and the Company agree that this Agreement constitutes the entire agreement between you and the Company and any affiliate of the Company regarding the subject matter of this Agreement, and that this Agreement may be modified only in a written document signed by you and a duly authorized officer of the Company.</w:t>
      </w:r>
    </w:p>
    <w:p>
      <w:pPr>
        <w:spacing w:after="0" w:line="184" w:lineRule="exact"/>
        <w:rPr>
          <w:rFonts w:ascii="Arial" w:cs="Arial" w:eastAsia="Arial" w:hAnsi="Arial"/>
          <w:sz w:val="19"/>
          <w:szCs w:val="19"/>
          <w:color w:val="auto"/>
        </w:rPr>
      </w:pPr>
    </w:p>
    <w:p>
      <w:pPr>
        <w:spacing w:after="0" w:line="260" w:lineRule="auto"/>
        <w:tabs>
          <w:tab w:leader="none" w:pos="486"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Except as to the Dispute Resolution section above, this Agreement shall be construed and interpreted in accordance with the laws of the State of Maryland.</w:t>
      </w:r>
    </w:p>
    <w:p>
      <w:pPr>
        <w:spacing w:after="0" w:line="176" w:lineRule="exact"/>
        <w:rPr>
          <w:rFonts w:ascii="Arial" w:cs="Arial" w:eastAsia="Arial" w:hAnsi="Arial"/>
          <w:sz w:val="20"/>
          <w:szCs w:val="20"/>
          <w:color w:val="auto"/>
        </w:rPr>
      </w:pPr>
    </w:p>
    <w:p>
      <w:pPr>
        <w:jc w:val="both"/>
        <w:spacing w:after="0" w:line="243" w:lineRule="auto"/>
        <w:tabs>
          <w:tab w:leader="none" w:pos="594"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spacing w:after="0" w:line="195" w:lineRule="exact"/>
        <w:rPr>
          <w:rFonts w:ascii="Arial" w:cs="Arial" w:eastAsia="Arial" w:hAnsi="Arial"/>
          <w:sz w:val="20"/>
          <w:szCs w:val="20"/>
          <w:color w:val="auto"/>
        </w:rPr>
      </w:pPr>
    </w:p>
    <w:p>
      <w:pPr>
        <w:jc w:val="both"/>
        <w:spacing w:after="0" w:line="246" w:lineRule="auto"/>
        <w:tabs>
          <w:tab w:leader="none" w:pos="459"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You agree that this Agreement may be executed in counterparts, each of which shall be an original, but all of which together shall constitute one agreement. Execution via DocuSign or a similar service, or of a facsimile copy or scanned image shall have the same force and effect as execution of an original, and an electronic or facsimile signature or scanned image of a signature shall be deemed an original and valid signature.</w:t>
      </w:r>
    </w:p>
    <w:p>
      <w:pPr>
        <w:spacing w:after="0" w:line="191" w:lineRule="exact"/>
        <w:rPr>
          <w:sz w:val="20"/>
          <w:szCs w:val="20"/>
          <w:color w:val="auto"/>
        </w:rPr>
      </w:pPr>
    </w:p>
    <w:p>
      <w:pPr>
        <w:ind w:left="3620"/>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0260"/>
          </w:cols>
          <w:pgMar w:left="1300" w:top="1440" w:right="339" w:bottom="1440" w:gutter="0" w:footer="0" w:header="0"/>
        </w:sectPr>
      </w:pPr>
    </w:p>
    <w:bookmarkStart w:id="105" w:name="page106"/>
    <w:bookmarkEnd w:id="105"/>
    <w:p>
      <w:pPr>
        <w:jc w:val="both"/>
        <w:spacing w:after="0" w:line="274" w:lineRule="auto"/>
        <w:rPr>
          <w:sz w:val="20"/>
          <w:szCs w:val="20"/>
          <w:color w:val="auto"/>
        </w:rPr>
      </w:pPr>
      <w:r>
        <w:rPr>
          <w:rFonts w:ascii="Arial" w:cs="Arial" w:eastAsia="Arial" w:hAnsi="Arial"/>
          <w:sz w:val="20"/>
          <w:szCs w:val="20"/>
          <w:color w:val="auto"/>
        </w:rPr>
        <w:t>To accept this Agreement, please sign and date this Agreement after the Separation Date and return it to me. You have until 5:00 p.m. ET on the date that is the later of (i) twenty-one (21) days following your receipt of this Agreement or (ii) three (3) days following the Separation Date (such date, the “</w:t>
      </w:r>
      <w:r>
        <w:rPr>
          <w:rFonts w:ascii="Arial" w:cs="Arial" w:eastAsia="Arial" w:hAnsi="Arial"/>
          <w:sz w:val="20"/>
          <w:szCs w:val="20"/>
          <w:u w:val="single" w:color="auto"/>
          <w:color w:val="auto"/>
        </w:rPr>
        <w:t>Deadline</w:t>
      </w:r>
      <w:r>
        <w:rPr>
          <w:rFonts w:ascii="Arial" w:cs="Arial" w:eastAsia="Arial" w:hAnsi="Arial"/>
          <w:sz w:val="20"/>
          <w:szCs w:val="20"/>
          <w:color w:val="auto"/>
        </w:rPr>
        <w:t>”) to review and consider this Agreement and to provide me with an executed copy thereof. Please indicate your agreement with the above terms by signing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am pleased that we were able to part ways on these amicable terms. The Company and I wish you every success in your future endeavors.</w:t>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Sincerely,</w:t>
      </w:r>
    </w:p>
    <w:p>
      <w:pPr>
        <w:ind w:left="4540"/>
        <w:spacing w:after="0"/>
        <w:rPr>
          <w:sz w:val="20"/>
          <w:szCs w:val="20"/>
          <w:color w:val="auto"/>
        </w:rPr>
      </w:pPr>
      <w:r>
        <w:rPr>
          <w:rFonts w:ascii="Arial" w:cs="Arial" w:eastAsia="Arial" w:hAnsi="Arial"/>
          <w:sz w:val="20"/>
          <w:szCs w:val="20"/>
          <w:color w:val="auto"/>
        </w:rPr>
        <w:t>CLOVER HEALTH INVESTMENTS, CORP.</w:t>
      </w:r>
    </w:p>
    <w:p>
      <w:pPr>
        <w:spacing w:after="0" w:line="21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Rachel Fish</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(Signature)</w:t>
      </w:r>
    </w:p>
    <w:p>
      <w:pPr>
        <w:ind w:left="4540"/>
        <w:spacing w:after="0"/>
        <w:rPr>
          <w:sz w:val="20"/>
          <w:szCs w:val="20"/>
          <w:color w:val="auto"/>
        </w:rPr>
      </w:pPr>
      <w:r>
        <w:rPr>
          <w:rFonts w:ascii="Arial" w:cs="Arial" w:eastAsia="Arial" w:hAnsi="Arial"/>
          <w:sz w:val="20"/>
          <w:szCs w:val="20"/>
          <w:color w:val="auto"/>
        </w:rPr>
        <w:t>Name: Rachel Fish</w:t>
      </w:r>
    </w:p>
    <w:p>
      <w:pPr>
        <w:jc w:val="center"/>
        <w:ind w:right="40"/>
        <w:spacing w:after="0"/>
        <w:rPr>
          <w:sz w:val="20"/>
          <w:szCs w:val="20"/>
          <w:color w:val="auto"/>
        </w:rPr>
      </w:pPr>
      <w:r>
        <w:rPr>
          <w:rFonts w:ascii="Arial" w:cs="Arial" w:eastAsia="Arial" w:hAnsi="Arial"/>
          <w:sz w:val="20"/>
          <w:szCs w:val="20"/>
          <w:color w:val="auto"/>
        </w:rPr>
        <w:t>Title: Chief People Officer</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My agreement with the terms and conditions of this Agreement (other than Section 12) is signified by my signature below. I agree to strictly comply with all the terms and conditions of this Agreement. Furthermore, I acknowledge that I have read and understand this Agreement and that I sign this release of all claims voluntarily, with full appreciation that at no time in the future may I pursue any of the rights I have waived in this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3"/>
          </w:tcPr>
          <w:p>
            <w:pPr>
              <w:spacing w:after="0"/>
              <w:rPr>
                <w:sz w:val="20"/>
                <w:szCs w:val="20"/>
                <w:color w:val="auto"/>
              </w:rPr>
            </w:pPr>
            <w:r>
              <w:rPr>
                <w:rFonts w:ascii="Arial" w:cs="Arial" w:eastAsia="Arial" w:hAnsi="Arial"/>
                <w:sz w:val="20"/>
                <w:szCs w:val="20"/>
                <w:color w:val="auto"/>
              </w:rPr>
              <w:t>Signed:  /s/ Joseph Wagner</w:t>
            </w:r>
          </w:p>
        </w:tc>
        <w:tc>
          <w:tcPr>
            <w:tcW w:w="1780" w:type="dxa"/>
            <w:vAlign w:val="bottom"/>
          </w:tcPr>
          <w:p>
            <w:pPr>
              <w:ind w:left="400"/>
              <w:spacing w:after="0"/>
              <w:rPr>
                <w:sz w:val="20"/>
                <w:szCs w:val="20"/>
                <w:color w:val="auto"/>
              </w:rPr>
            </w:pPr>
            <w:r>
              <w:rPr>
                <w:rFonts w:ascii="Arial" w:cs="Arial" w:eastAsia="Arial" w:hAnsi="Arial"/>
                <w:sz w:val="20"/>
                <w:szCs w:val="20"/>
                <w:color w:val="auto"/>
                <w:w w:val="88"/>
              </w:rPr>
              <w:t>Dated: 8/13/2021</w:t>
            </w:r>
          </w:p>
        </w:tc>
      </w:tr>
      <w:tr>
        <w:trPr>
          <w:trHeight w:val="20"/>
        </w:trPr>
        <w:tc>
          <w:tcPr>
            <w:tcW w:w="8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8"/>
        </w:trPr>
        <w:tc>
          <w:tcPr>
            <w:tcW w:w="2640" w:type="dxa"/>
            <w:vAlign w:val="bottom"/>
            <w:gridSpan w:val="3"/>
          </w:tcPr>
          <w:p>
            <w:pPr>
              <w:ind w:left="660"/>
              <w:spacing w:after="0"/>
              <w:rPr>
                <w:sz w:val="20"/>
                <w:szCs w:val="20"/>
                <w:color w:val="auto"/>
              </w:rPr>
            </w:pPr>
            <w:r>
              <w:rPr>
                <w:rFonts w:ascii="Arial" w:cs="Arial" w:eastAsia="Arial" w:hAnsi="Arial"/>
                <w:sz w:val="20"/>
                <w:szCs w:val="20"/>
                <w:color w:val="auto"/>
              </w:rPr>
              <w:t>Joseph Wagner</w:t>
            </w:r>
          </w:p>
        </w:tc>
        <w:tc>
          <w:tcPr>
            <w:tcW w:w="1780" w:type="dxa"/>
            <w:vAlign w:val="bottom"/>
          </w:tcPr>
          <w:p>
            <w:pPr>
              <w:spacing w:after="0"/>
              <w:rPr>
                <w:sz w:val="23"/>
                <w:szCs w:val="23"/>
                <w:color w:val="auto"/>
              </w:rPr>
            </w:pPr>
          </w:p>
        </w:tc>
      </w:tr>
    </w:tbl>
    <w:p>
      <w:pPr>
        <w:spacing w:after="0" w:line="236"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My agreement with the terms and conditions of Section 12 of this Agreement is signified by my signature below. I agree to strictly comply with all the terms and conditions of Section 12 of this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5"/>
          </w:tcPr>
          <w:p>
            <w:pPr>
              <w:spacing w:after="0"/>
              <w:rPr>
                <w:sz w:val="20"/>
                <w:szCs w:val="20"/>
                <w:color w:val="auto"/>
              </w:rPr>
            </w:pPr>
            <w:r>
              <w:rPr>
                <w:rFonts w:ascii="Arial" w:cs="Arial" w:eastAsia="Arial" w:hAnsi="Arial"/>
                <w:sz w:val="20"/>
                <w:szCs w:val="20"/>
                <w:color w:val="auto"/>
              </w:rPr>
              <w:t>Signed:  /s/ Joseph Wagner</w:t>
            </w:r>
          </w:p>
        </w:tc>
        <w:tc>
          <w:tcPr>
            <w:tcW w:w="3940" w:type="dxa"/>
            <w:vAlign w:val="bottom"/>
          </w:tcPr>
          <w:p>
            <w:pPr>
              <w:ind w:left="400"/>
              <w:spacing w:after="0"/>
              <w:rPr>
                <w:sz w:val="20"/>
                <w:szCs w:val="20"/>
                <w:color w:val="auto"/>
              </w:rPr>
            </w:pPr>
            <w:r>
              <w:rPr>
                <w:rFonts w:ascii="Arial" w:cs="Arial" w:eastAsia="Arial" w:hAnsi="Arial"/>
                <w:sz w:val="20"/>
                <w:szCs w:val="20"/>
                <w:color w:val="auto"/>
              </w:rPr>
              <w:t>Dated: 8/13/2021</w:t>
            </w: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67"/>
        </w:trPr>
        <w:tc>
          <w:tcPr>
            <w:tcW w:w="2640" w:type="dxa"/>
            <w:vAlign w:val="bottom"/>
            <w:gridSpan w:val="5"/>
          </w:tcPr>
          <w:p>
            <w:pPr>
              <w:ind w:left="660"/>
              <w:spacing w:after="0"/>
              <w:rPr>
                <w:sz w:val="20"/>
                <w:szCs w:val="20"/>
                <w:color w:val="auto"/>
              </w:rPr>
            </w:pPr>
            <w:r>
              <w:rPr>
                <w:rFonts w:ascii="Arial" w:cs="Arial" w:eastAsia="Arial" w:hAnsi="Arial"/>
                <w:sz w:val="20"/>
                <w:szCs w:val="20"/>
                <w:color w:val="auto"/>
              </w:rPr>
              <w:t>Joseph Wagner</w:t>
            </w:r>
          </w:p>
        </w:tc>
        <w:tc>
          <w:tcPr>
            <w:tcW w:w="3940" w:type="dxa"/>
            <w:vAlign w:val="bottom"/>
          </w:tcPr>
          <w:p>
            <w:pPr>
              <w:spacing w:after="0"/>
              <w:rPr>
                <w:sz w:val="23"/>
                <w:szCs w:val="23"/>
                <w:color w:val="auto"/>
              </w:rPr>
            </w:pPr>
          </w:p>
        </w:tc>
      </w:tr>
      <w:tr>
        <w:trPr>
          <w:trHeight w:val="671"/>
        </w:trPr>
        <w:tc>
          <w:tcPr>
            <w:tcW w:w="1380" w:type="dxa"/>
            <w:vAlign w:val="bottom"/>
            <w:gridSpan w:val="3"/>
          </w:tcPr>
          <w:p>
            <w:pPr>
              <w:spacing w:after="0"/>
              <w:rPr>
                <w:sz w:val="20"/>
                <w:szCs w:val="20"/>
                <w:color w:val="auto"/>
              </w:rPr>
            </w:pPr>
            <w:r>
              <w:rPr>
                <w:rFonts w:ascii="Arial" w:cs="Arial" w:eastAsia="Arial" w:hAnsi="Arial"/>
                <w:sz w:val="20"/>
                <w:szCs w:val="20"/>
                <w:color w:val="auto"/>
              </w:rPr>
              <w:t>Attachment A:</w:t>
            </w:r>
          </w:p>
        </w:tc>
        <w:tc>
          <w:tcPr>
            <w:tcW w:w="5200" w:type="dxa"/>
            <w:vAlign w:val="bottom"/>
            <w:gridSpan w:val="3"/>
          </w:tcPr>
          <w:p>
            <w:pPr>
              <w:ind w:left="200"/>
              <w:spacing w:after="0"/>
              <w:rPr>
                <w:sz w:val="20"/>
                <w:szCs w:val="20"/>
                <w:color w:val="auto"/>
              </w:rPr>
            </w:pPr>
            <w:r>
              <w:rPr>
                <w:rFonts w:ascii="Arial" w:cs="Arial" w:eastAsia="Arial" w:hAnsi="Arial"/>
                <w:sz w:val="20"/>
                <w:szCs w:val="20"/>
                <w:color w:val="auto"/>
                <w:w w:val="91"/>
              </w:rPr>
              <w:t>Nondisclosure, Confidentiality, and Nonsolicitation Agreement</w:t>
            </w:r>
          </w:p>
        </w:tc>
      </w:tr>
      <w:tr>
        <w:trPr>
          <w:trHeight w:val="20"/>
        </w:trPr>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ectPr>
          <w:pgSz w:w="11900" w:h="16838" w:orient="portrait"/>
          <w:cols w:equalWidth="0" w:num="1">
            <w:col w:w="11240"/>
          </w:cols>
          <w:pgMar w:left="320" w:top="784"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500380</wp:posOffset>
            </wp:positionV>
            <wp:extent cx="1962785" cy="300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962785" cy="300355"/>
                    </a:xfrm>
                    <a:prstGeom prst="rect">
                      <a:avLst/>
                    </a:prstGeom>
                    <a:noFill/>
                  </pic:spPr>
                </pic:pic>
              </a:graphicData>
            </a:graphic>
          </wp:anchor>
        </w:drawing>
      </w:r>
    </w:p>
    <w:p>
      <w:pPr>
        <w:spacing w:after="0" w:line="25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Mr. Vivek Garipalli</w:t>
        <w:tab/>
        <w:t>July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Clover Health Investments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725 Cool Sprigs Blvd., Suite 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TN 37067</w:t>
      </w:r>
    </w:p>
    <w:p>
      <w:pPr>
        <w:spacing w:after="0" w:line="338" w:lineRule="exact"/>
        <w:rPr>
          <w:sz w:val="20"/>
          <w:szCs w:val="20"/>
          <w:color w:val="auto"/>
        </w:rPr>
      </w:pPr>
    </w:p>
    <w:p>
      <w:pPr>
        <w:ind w:right="4520"/>
        <w:spacing w:after="0" w:line="412" w:lineRule="auto"/>
        <w:rPr>
          <w:sz w:val="20"/>
          <w:szCs w:val="20"/>
          <w:color w:val="auto"/>
        </w:rPr>
      </w:pPr>
      <w:r>
        <w:rPr>
          <w:rFonts w:ascii="Arial" w:cs="Arial" w:eastAsia="Arial" w:hAnsi="Arial"/>
          <w:sz w:val="18"/>
          <w:szCs w:val="18"/>
          <w:b w:val="1"/>
          <w:bCs w:val="1"/>
          <w:color w:val="auto"/>
        </w:rPr>
        <w:t xml:space="preserve">Re: Agreement for the Provision of Interim Management Services </w:t>
      </w:r>
      <w:r>
        <w:rPr>
          <w:rFonts w:ascii="Arial" w:cs="Arial" w:eastAsia="Arial" w:hAnsi="Arial"/>
          <w:sz w:val="18"/>
          <w:szCs w:val="18"/>
          <w:color w:val="auto"/>
        </w:rPr>
        <w:t>Dear Mr. Garipalli:</w:t>
      </w:r>
    </w:p>
    <w:p>
      <w:pPr>
        <w:spacing w:after="0" w:line="54" w:lineRule="exact"/>
        <w:rPr>
          <w:sz w:val="20"/>
          <w:szCs w:val="20"/>
          <w:color w:val="auto"/>
        </w:rPr>
      </w:pPr>
    </w:p>
    <w:p>
      <w:pPr>
        <w:jc w:val="both"/>
        <w:ind w:right="1320"/>
        <w:spacing w:after="0" w:line="256" w:lineRule="auto"/>
        <w:rPr>
          <w:sz w:val="20"/>
          <w:szCs w:val="20"/>
          <w:color w:val="auto"/>
        </w:rPr>
      </w:pPr>
      <w:r>
        <w:rPr>
          <w:rFonts w:ascii="Arial" w:cs="Arial" w:eastAsia="Arial" w:hAnsi="Arial"/>
          <w:sz w:val="18"/>
          <w:szCs w:val="18"/>
          <w:color w:val="auto"/>
        </w:rPr>
        <w:t>This letter, together with the attached Schedule(s) and General Terms and Conditions, sets forth the agreement (“Agreement”) between AP Services, LLC (“APS”), and Clover Health Investments Corp. (the “Company”) for the engagement of APS to provide interim management services to the Company.</w:t>
      </w:r>
    </w:p>
    <w:p>
      <w:pPr>
        <w:spacing w:after="0" w:line="20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All defined terms shall have the meanings ascribed to them in this letter and in the attached Schedule(s) and General Terms and Conditions. The Company and APS are each a “party,” and together the “parties.”</w:t>
      </w:r>
    </w:p>
    <w:p>
      <w:pPr>
        <w:spacing w:after="0" w:line="211" w:lineRule="exact"/>
        <w:rPr>
          <w:sz w:val="20"/>
          <w:szCs w:val="20"/>
          <w:color w:val="auto"/>
        </w:rPr>
      </w:pPr>
    </w:p>
    <w:p>
      <w:pPr>
        <w:ind w:right="3320"/>
        <w:spacing w:after="0" w:line="291" w:lineRule="auto"/>
        <w:rPr>
          <w:sz w:val="20"/>
          <w:szCs w:val="20"/>
          <w:color w:val="auto"/>
        </w:rPr>
      </w:pPr>
      <w:r>
        <w:rPr>
          <w:rFonts w:ascii="Arial" w:cs="Arial" w:eastAsia="Arial" w:hAnsi="Arial"/>
          <w:sz w:val="17"/>
          <w:szCs w:val="17"/>
          <w:color w:val="auto"/>
        </w:rPr>
        <w:t>The engagement of APS, including any APS employees who serve in Executive Officer positions, shall be under the supervision of the Board of Directors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and Tasks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Subject to APS’s (i) internal approval from its Risk Management Committee, (ii) confirmation the Company has a Directors and Officers Liability insurance policy in accordance with Section 7 of the General Terms and Conditions regarding Directors and Officers Liability Insurance coverage, and (iii) receipt of a copy of the signed Board of Directors’ resolution (or similar document as required by the Company's governance documents) as official confirmation of the appointment, APS will provide Mark Herbers to serve as the Company’s Senior Vice President of Finance and, when the office becomes vacant, will become Chief Financial Officer ("CFO"), reporting to the Company’s Chief Executive Officer. In addition to the ordinary course responsibilities of CFO, Mr. Herbers will work collaboratively with the senior management team, the Board of Directors and other Company professionals to assist the Company with the following:</w:t>
      </w:r>
    </w:p>
    <w:p>
      <w:pPr>
        <w:spacing w:after="0" w:line="97" w:lineRule="exact"/>
        <w:rPr>
          <w:sz w:val="20"/>
          <w:szCs w:val="20"/>
          <w:color w:val="auto"/>
        </w:rPr>
      </w:pPr>
    </w:p>
    <w:p>
      <w:pPr>
        <w:ind w:left="720" w:right="960" w:hanging="331"/>
        <w:spacing w:after="0" w:line="261" w:lineRule="auto"/>
        <w:tabs>
          <w:tab w:leader="none" w:pos="7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 tasks ordinarily in the purview of the Company’s Chief Financial Officer, including supervision of the finance staff, communicating with the Company’s directors, executives and employees.</w:t>
      </w:r>
    </w:p>
    <w:p>
      <w:pPr>
        <w:spacing w:after="0" w:line="89" w:lineRule="exact"/>
        <w:rPr>
          <w:rFonts w:ascii="Arial" w:cs="Arial" w:eastAsia="Arial" w:hAnsi="Arial"/>
          <w:sz w:val="18"/>
          <w:szCs w:val="18"/>
          <w:color w:val="auto"/>
        </w:rPr>
      </w:pPr>
    </w:p>
    <w:p>
      <w:pPr>
        <w:ind w:left="700" w:hanging="311"/>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Prepare budgets and cash forecasts and evaluate variances thereto.</w:t>
      </w:r>
    </w:p>
    <w:p>
      <w:pPr>
        <w:spacing w:after="0" w:line="117" w:lineRule="exact"/>
        <w:rPr>
          <w:rFonts w:ascii="Arial" w:cs="Arial" w:eastAsia="Arial" w:hAnsi="Arial"/>
          <w:sz w:val="18"/>
          <w:szCs w:val="18"/>
          <w:color w:val="auto"/>
        </w:rPr>
      </w:pPr>
    </w:p>
    <w:p>
      <w:pPr>
        <w:ind w:left="720" w:right="360" w:hanging="331"/>
        <w:spacing w:after="0" w:line="261" w:lineRule="auto"/>
        <w:tabs>
          <w:tab w:leader="none" w:pos="7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Strengthen the Company’s core competencies in the finance organization, particularly cash management, planning, general accounting and financial reporting information management.</w:t>
      </w:r>
    </w:p>
    <w:p>
      <w:pPr>
        <w:spacing w:after="0" w:line="89" w:lineRule="exact"/>
        <w:rPr>
          <w:rFonts w:ascii="Arial" w:cs="Arial" w:eastAsia="Arial" w:hAnsi="Arial"/>
          <w:sz w:val="18"/>
          <w:szCs w:val="18"/>
          <w:color w:val="auto"/>
        </w:rPr>
      </w:pPr>
    </w:p>
    <w:p>
      <w:pPr>
        <w:ind w:left="720" w:right="940" w:hanging="331"/>
        <w:spacing w:after="0" w:line="261" w:lineRule="auto"/>
        <w:tabs>
          <w:tab w:leader="none" w:pos="7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required, lead development of the Company’s business plan, and such other related forecasts as may be required by the Company for its corporate purposes.</w:t>
      </w:r>
    </w:p>
    <w:p>
      <w:pPr>
        <w:spacing w:after="0" w:line="89" w:lineRule="exact"/>
        <w:rPr>
          <w:rFonts w:ascii="Arial" w:cs="Arial" w:eastAsia="Arial" w:hAnsi="Arial"/>
          <w:sz w:val="18"/>
          <w:szCs w:val="18"/>
          <w:color w:val="auto"/>
        </w:rPr>
      </w:pPr>
    </w:p>
    <w:p>
      <w:pPr>
        <w:ind w:left="700" w:hanging="311"/>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 and enhance management and Board reporting packages.</w:t>
      </w:r>
    </w:p>
    <w:p>
      <w:pPr>
        <w:spacing w:after="0" w:line="117" w:lineRule="exact"/>
        <w:rPr>
          <w:rFonts w:ascii="Arial" w:cs="Arial" w:eastAsia="Arial" w:hAnsi="Arial"/>
          <w:sz w:val="18"/>
          <w:szCs w:val="18"/>
          <w:color w:val="auto"/>
        </w:rPr>
      </w:pPr>
    </w:p>
    <w:p>
      <w:pPr>
        <w:ind w:left="720" w:right="480" w:hanging="331"/>
        <w:spacing w:after="0" w:line="261" w:lineRule="auto"/>
        <w:tabs>
          <w:tab w:leader="none" w:pos="7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Communicate and/or negotiate with outside constituents, as appropriate, including the Company’s banks and their advisers.</w:t>
      </w:r>
    </w:p>
    <w:p>
      <w:pPr>
        <w:spacing w:after="0" w:line="89" w:lineRule="exact"/>
        <w:rPr>
          <w:rFonts w:ascii="Arial" w:cs="Arial" w:eastAsia="Arial" w:hAnsi="Arial"/>
          <w:sz w:val="18"/>
          <w:szCs w:val="18"/>
          <w:color w:val="auto"/>
        </w:rPr>
      </w:pPr>
    </w:p>
    <w:p>
      <w:pPr>
        <w:ind w:left="700" w:hanging="311"/>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Assist the Company with such other matters as may be requested by the Company and are mutually agreeable.</w:t>
      </w:r>
    </w:p>
    <w:p>
      <w:pPr>
        <w:spacing w:after="0" w:line="200" w:lineRule="exact"/>
        <w:rPr>
          <w:sz w:val="20"/>
          <w:szCs w:val="20"/>
          <w:color w:val="auto"/>
        </w:rPr>
      </w:pPr>
    </w:p>
    <w:p>
      <w:pPr>
        <w:spacing w:after="0" w:line="287" w:lineRule="exact"/>
        <w:rPr>
          <w:sz w:val="20"/>
          <w:szCs w:val="20"/>
          <w:color w:val="auto"/>
        </w:rPr>
      </w:pPr>
    </w:p>
    <w:p>
      <w:pPr>
        <w:ind w:left="1760"/>
        <w:spacing w:after="0"/>
        <w:rPr>
          <w:sz w:val="20"/>
          <w:szCs w:val="20"/>
          <w:color w:val="auto"/>
        </w:rPr>
      </w:pPr>
      <w:r>
        <w:rPr>
          <w:rFonts w:ascii="Arial" w:cs="Arial" w:eastAsia="Arial" w:hAnsi="Arial"/>
          <w:sz w:val="13"/>
          <w:szCs w:val="13"/>
          <w:color w:val="auto"/>
        </w:rPr>
        <w:t xml:space="preserve">AP Services | 2000 Town Center | Suite 2400 | Southfield, MI 48075 | 248.358.4420 | </w:t>
      </w:r>
      <w:r>
        <w:rPr>
          <w:rFonts w:ascii="Arial" w:cs="Arial" w:eastAsia="Arial" w:hAnsi="Arial"/>
          <w:sz w:val="13"/>
          <w:szCs w:val="13"/>
          <w:b w:val="1"/>
          <w:bCs w:val="1"/>
          <w:u w:val="single" w:color="auto"/>
          <w:color w:val="0000FF"/>
        </w:rPr>
        <w:t>alixpartners.com</w:t>
      </w:r>
    </w:p>
    <w:p>
      <w:pPr>
        <w:sectPr>
          <w:pgSz w:w="11900" w:h="16838" w:orient="portrait"/>
          <w:cols w:equalWidth="0" w:num="1">
            <w:col w:w="10240"/>
          </w:cols>
          <w:pgMar w:left="1300" w:top="1440" w:right="359" w:bottom="1440" w:gutter="0" w:footer="0" w:header="0"/>
        </w:sectPr>
      </w:pPr>
    </w:p>
    <w:bookmarkStart w:id="107" w:name="page108"/>
    <w:bookmarkEnd w:id="107"/>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500380</wp:posOffset>
            </wp:positionV>
            <wp:extent cx="1962785" cy="3003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962785"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Clover Health investments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10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23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Al Koch will be the managing director responsible for the overall engagement, assisted by a staff of consultants at various levels who have a wide range of skills and abilities related to this type of assignment. In addition, APS has relationships with, and may periodically use, independent contractors with specialized skills and abilities to assist in this engagement.</w:t>
      </w:r>
    </w:p>
    <w:p>
      <w:pPr>
        <w:spacing w:after="0" w:line="2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will periodically review the staffing levels to determine the proper mix for this assignment. We will only use the necessary staff required to complete the requested or planned tasks. If we believe that staff in addition to Mr. Herbers is advisable we will review this with you and will not add any additional staff without your consent.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Fees and Retainer</w:t>
      </w:r>
    </w:p>
    <w:p>
      <w:pPr>
        <w:spacing w:after="0" w:line="24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APS will commence this engagement on or about July 14, 2021 after receipt of a copy of the executed Agreement accompanied by the retainer, as set forth on Schedule 1 and confirmation of the Company’s compliance with the requirements set forth in the first paragraph of the Objective and Tasks section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compensate APS for its services, and reimburse APS for expenses, as set forth on Schedule 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APS recognizes that, APS and its employees may receive from the Company or others, information that may be considered "material, nonpublic information" concerning the Company or another public company that is subject to the reporting requirements of the Securities and Exchange Act of 1934, as amended. APS and each of its employees performing services under this Agreement agree NOT to: (a) buy, sell or effect any other transaction relating to any stock, option, bond, warrant or other security of any issuer (including the Company) with respect to which APS is then in possession of material, nonpublic information received from the Company or others; (b) provide Company with information with respect to any public company that may be considered material, nonpublic information; or (c) communicate or provide any material, nonpublic information to any other person, including any relative, associate, or other individual, who intends to, may, or in which it is reasonably foreseeable that such person is likely to (i) purchase or sell securities of any company with respect to which such information relates, or (ii) otherwise directly or indirectly benefit from such information. In addition, APS represents and warrants it will abide by applicable insider trading laws and does require its employees to undergo annual compliance training with respect thereto. Without limiting any of the confidentiality and insider trading obligations included in this Agreement, neither APS nor any of APS’s employees performing services under this agreement, shall discuss any information concerning the Company obtained by APS in the course of performing the Services with any financial, securities or industry analyst or with the media without the written agreement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2 of 10</w:t>
      </w:r>
    </w:p>
    <w:p>
      <w:pPr>
        <w:sectPr>
          <w:pgSz w:w="11900" w:h="16838" w:orient="portrait"/>
          <w:cols w:equalWidth="0" w:num="1">
            <w:col w:w="10260"/>
          </w:cols>
          <w:pgMar w:left="1300" w:top="1440" w:right="339" w:bottom="1440" w:gutter="0" w:footer="0" w:header="0"/>
        </w:sectPr>
      </w:pPr>
    </w:p>
    <w:bookmarkStart w:id="108" w:name="page109"/>
    <w:bookmarkEnd w:id="108"/>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825500</wp:posOffset>
            </wp:positionH>
            <wp:positionV relativeFrom="page">
              <wp:posOffset>500380</wp:posOffset>
            </wp:positionV>
            <wp:extent cx="1962785" cy="300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962785" cy="3003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Clover Health investments Corp.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Page 3 of 10</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ind w:left="320"/>
        <w:spacing w:after="0" w:line="261" w:lineRule="auto"/>
        <w:rPr>
          <w:sz w:val="20"/>
          <w:szCs w:val="20"/>
          <w:color w:val="auto"/>
        </w:rPr>
      </w:pPr>
      <w:r>
        <w:rPr>
          <w:rFonts w:ascii="Arial" w:cs="Arial" w:eastAsia="Arial" w:hAnsi="Arial"/>
          <w:sz w:val="18"/>
          <w:szCs w:val="18"/>
          <w:color w:val="auto"/>
        </w:rPr>
        <w:t>If these terms meet with your approval, please sign and return a copy of this Agreement and wire transfer the amount to establish the retainer.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look forward to working with you.</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AP SERVICES, LLC</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/s/ A. A. Koch</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A. Koch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Managing Director</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Acknowledged and Agreed to:</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CLOVER HEALTH INVESTMENTS CORP.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/s/ Vivek Garipalli</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6"/>
          <w:szCs w:val="16"/>
          <w:color w:val="auto"/>
        </w:rPr>
        <w:t>7/12/2021 | 8:08 PM EDT</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 of 10</w:t>
      </w:r>
    </w:p>
    <w:p>
      <w:pPr>
        <w:sectPr>
          <w:pgSz w:w="11900" w:h="16838" w:orient="portrait"/>
          <w:cols w:equalWidth="0" w:num="1">
            <w:col w:w="9840"/>
          </w:cols>
          <w:pgMar w:left="980" w:top="1440" w:right="107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825500</wp:posOffset>
            </wp:positionH>
            <wp:positionV relativeFrom="page">
              <wp:posOffset>500380</wp:posOffset>
            </wp:positionV>
            <wp:extent cx="1962785" cy="3003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962785" cy="300355"/>
                    </a:xfrm>
                    <a:prstGeom prst="rect">
                      <a:avLst/>
                    </a:prstGeom>
                    <a:noFill/>
                  </pic:spPr>
                </pic:pic>
              </a:graphicData>
            </a:graphic>
          </wp:anchor>
        </w:drawing>
      </w:r>
    </w:p>
    <w:p>
      <w:pPr>
        <w:spacing w:after="0" w:line="259"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Fees and Expenses</w:t>
      </w:r>
    </w:p>
    <w:p>
      <w:pPr>
        <w:spacing w:after="0" w:line="212" w:lineRule="exact"/>
        <w:rPr>
          <w:sz w:val="20"/>
          <w:szCs w:val="20"/>
          <w:color w:val="auto"/>
        </w:rPr>
      </w:pPr>
    </w:p>
    <w:p>
      <w:pPr>
        <w:ind w:left="332" w:right="80" w:hanging="332"/>
        <w:spacing w:after="0" w:line="262" w:lineRule="auto"/>
        <w:tabs>
          <w:tab w:leader="none" w:pos="35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Fees: </w:t>
      </w:r>
      <w:r>
        <w:rPr>
          <w:rFonts w:ascii="Arial" w:cs="Arial" w:eastAsia="Arial" w:hAnsi="Arial"/>
          <w:sz w:val="18"/>
          <w:szCs w:val="18"/>
          <w:color w:val="auto"/>
        </w:rPr>
        <w:t>APS commits to a fixed price of US$175,000 per month in professional fees for Mr. Herbers for this engagement,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scope, assumptions and personnel requirements herein remaining unchanged. In the event that changes occur with respect to such scope, assumptions and/or personnel requirements, including those due to unforeseen events, the parties shall meet in good faith and agree to a revised fee arrangement.</w:t>
      </w:r>
    </w:p>
    <w:p>
      <w:pPr>
        <w:spacing w:after="0" w:line="198" w:lineRule="exact"/>
        <w:rPr>
          <w:sz w:val="20"/>
          <w:szCs w:val="20"/>
          <w:color w:val="auto"/>
        </w:rPr>
      </w:pPr>
    </w:p>
    <w:p>
      <w:pPr>
        <w:ind w:left="392" w:right="60"/>
        <w:spacing w:after="0" w:line="261" w:lineRule="auto"/>
        <w:rPr>
          <w:sz w:val="20"/>
          <w:szCs w:val="20"/>
          <w:color w:val="auto"/>
        </w:rPr>
      </w:pPr>
      <w:r>
        <w:rPr>
          <w:rFonts w:ascii="Arial" w:cs="Arial" w:eastAsia="Arial" w:hAnsi="Arial"/>
          <w:sz w:val="18"/>
          <w:szCs w:val="18"/>
          <w:color w:val="auto"/>
        </w:rPr>
        <w:t>In the event it is mutually agreed additional APS staff is required, such staff shall be invoiced at their regular hourly rates. Hourly rates are based upon the experience and level of staff and are as follows:</w:t>
      </w:r>
    </w:p>
    <w:p>
      <w:pPr>
        <w:spacing w:after="0" w:line="200" w:lineRule="exact"/>
        <w:rPr>
          <w:sz w:val="20"/>
          <w:szCs w:val="20"/>
          <w:color w:val="auto"/>
        </w:rPr>
      </w:pPr>
    </w:p>
    <w:p>
      <w:pPr>
        <w:spacing w:after="0" w:line="335" w:lineRule="exact"/>
        <w:rPr>
          <w:sz w:val="20"/>
          <w:szCs w:val="20"/>
          <w:color w:val="auto"/>
        </w:rPr>
      </w:pPr>
    </w:p>
    <w:p>
      <w:pPr>
        <w:ind w:left="392"/>
        <w:spacing w:after="0"/>
        <w:tabs>
          <w:tab w:leader="none" w:pos="2032" w:val="left"/>
        </w:tabs>
        <w:rPr>
          <w:sz w:val="20"/>
          <w:szCs w:val="20"/>
          <w:color w:val="auto"/>
        </w:rPr>
      </w:pPr>
      <w:r>
        <w:rPr>
          <w:rFonts w:ascii="Arial" w:cs="Arial" w:eastAsia="Arial" w:hAnsi="Arial"/>
          <w:sz w:val="18"/>
          <w:szCs w:val="18"/>
          <w:color w:val="auto"/>
        </w:rPr>
        <w:t>Managing Director</w:t>
      </w:r>
      <w:r>
        <w:rPr>
          <w:sz w:val="20"/>
          <w:szCs w:val="20"/>
          <w:color w:val="auto"/>
        </w:rPr>
        <w:tab/>
      </w:r>
      <w:r>
        <w:rPr>
          <w:rFonts w:ascii="Arial" w:cs="Arial" w:eastAsia="Arial" w:hAnsi="Arial"/>
          <w:sz w:val="17"/>
          <w:szCs w:val="17"/>
          <w:color w:val="auto"/>
        </w:rPr>
        <w:t>US$1,030 – US$1,295</w:t>
      </w:r>
    </w:p>
    <w:p>
      <w:pPr>
        <w:spacing w:after="0" w:line="117" w:lineRule="exact"/>
        <w:rPr>
          <w:sz w:val="20"/>
          <w:szCs w:val="20"/>
          <w:color w:val="auto"/>
        </w:rPr>
      </w:pPr>
    </w:p>
    <w:p>
      <w:pPr>
        <w:ind w:left="392"/>
        <w:spacing w:after="0"/>
        <w:tabs>
          <w:tab w:leader="none" w:pos="1192" w:val="left"/>
        </w:tabs>
        <w:rPr>
          <w:sz w:val="20"/>
          <w:szCs w:val="20"/>
          <w:color w:val="auto"/>
        </w:rPr>
      </w:pPr>
      <w:r>
        <w:rPr>
          <w:rFonts w:ascii="Arial" w:cs="Arial" w:eastAsia="Arial" w:hAnsi="Arial"/>
          <w:sz w:val="18"/>
          <w:szCs w:val="18"/>
          <w:color w:val="auto"/>
        </w:rPr>
        <w:t>Director</w:t>
        <w:tab/>
        <w:t>US$825 - US$980</w:t>
      </w:r>
    </w:p>
    <w:p>
      <w:pPr>
        <w:spacing w:after="0" w:line="117" w:lineRule="exact"/>
        <w:rPr>
          <w:sz w:val="20"/>
          <w:szCs w:val="20"/>
          <w:color w:val="auto"/>
        </w:rPr>
      </w:pPr>
    </w:p>
    <w:p>
      <w:pPr>
        <w:ind w:left="392"/>
        <w:spacing w:after="0"/>
        <w:tabs>
          <w:tab w:leader="none" w:pos="2292" w:val="left"/>
        </w:tabs>
        <w:rPr>
          <w:sz w:val="20"/>
          <w:szCs w:val="20"/>
          <w:color w:val="auto"/>
        </w:rPr>
      </w:pPr>
      <w:r>
        <w:rPr>
          <w:rFonts w:ascii="Arial" w:cs="Arial" w:eastAsia="Arial" w:hAnsi="Arial"/>
          <w:sz w:val="18"/>
          <w:szCs w:val="18"/>
          <w:color w:val="auto"/>
        </w:rPr>
        <w:t>Senior Vice President</w:t>
      </w:r>
      <w:r>
        <w:rPr>
          <w:sz w:val="20"/>
          <w:szCs w:val="20"/>
          <w:color w:val="auto"/>
        </w:rPr>
        <w:tab/>
      </w:r>
      <w:r>
        <w:rPr>
          <w:rFonts w:ascii="Arial" w:cs="Arial" w:eastAsia="Arial" w:hAnsi="Arial"/>
          <w:sz w:val="17"/>
          <w:szCs w:val="17"/>
          <w:color w:val="auto"/>
        </w:rPr>
        <w:t>US$665 – US$755</w:t>
      </w:r>
    </w:p>
    <w:p>
      <w:pPr>
        <w:spacing w:after="0" w:line="117" w:lineRule="exact"/>
        <w:rPr>
          <w:sz w:val="20"/>
          <w:szCs w:val="20"/>
          <w:color w:val="auto"/>
        </w:rPr>
      </w:pPr>
    </w:p>
    <w:p>
      <w:pPr>
        <w:ind w:left="392"/>
        <w:spacing w:after="0"/>
        <w:tabs>
          <w:tab w:leader="none" w:pos="1732" w:val="left"/>
        </w:tabs>
        <w:rPr>
          <w:sz w:val="20"/>
          <w:szCs w:val="20"/>
          <w:color w:val="auto"/>
        </w:rPr>
      </w:pPr>
      <w:r>
        <w:rPr>
          <w:rFonts w:ascii="Arial" w:cs="Arial" w:eastAsia="Arial" w:hAnsi="Arial"/>
          <w:sz w:val="18"/>
          <w:szCs w:val="18"/>
          <w:color w:val="auto"/>
        </w:rPr>
        <w:t>Vice President</w:t>
      </w:r>
      <w:r>
        <w:rPr>
          <w:sz w:val="20"/>
          <w:szCs w:val="20"/>
          <w:color w:val="auto"/>
        </w:rPr>
        <w:tab/>
      </w:r>
      <w:r>
        <w:rPr>
          <w:rFonts w:ascii="Arial" w:cs="Arial" w:eastAsia="Arial" w:hAnsi="Arial"/>
          <w:sz w:val="17"/>
          <w:szCs w:val="17"/>
          <w:color w:val="auto"/>
        </w:rPr>
        <w:t>US$485 – US$650</w:t>
      </w:r>
    </w:p>
    <w:p>
      <w:pPr>
        <w:spacing w:after="0" w:line="117" w:lineRule="exact"/>
        <w:rPr>
          <w:sz w:val="20"/>
          <w:szCs w:val="20"/>
          <w:color w:val="auto"/>
        </w:rPr>
      </w:pPr>
    </w:p>
    <w:p>
      <w:pPr>
        <w:ind w:left="392"/>
        <w:spacing w:after="0"/>
        <w:tabs>
          <w:tab w:leader="none" w:pos="1432" w:val="left"/>
        </w:tabs>
        <w:rPr>
          <w:sz w:val="20"/>
          <w:szCs w:val="20"/>
          <w:color w:val="auto"/>
        </w:rPr>
      </w:pPr>
      <w:r>
        <w:rPr>
          <w:rFonts w:ascii="Arial" w:cs="Arial" w:eastAsia="Arial" w:hAnsi="Arial"/>
          <w:sz w:val="18"/>
          <w:szCs w:val="18"/>
          <w:color w:val="auto"/>
        </w:rPr>
        <w:t>Consultant</w:t>
        <w:tab/>
        <w:t>US$180 – US$480</w:t>
      </w:r>
    </w:p>
    <w:p>
      <w:pPr>
        <w:spacing w:after="0" w:line="225" w:lineRule="exact"/>
        <w:rPr>
          <w:sz w:val="20"/>
          <w:szCs w:val="20"/>
          <w:color w:val="auto"/>
        </w:rPr>
      </w:pPr>
    </w:p>
    <w:p>
      <w:pPr>
        <w:ind w:left="392"/>
        <w:spacing w:after="0"/>
        <w:rPr>
          <w:sz w:val="20"/>
          <w:szCs w:val="20"/>
          <w:color w:val="auto"/>
        </w:rPr>
      </w:pPr>
      <w:r>
        <w:rPr>
          <w:rFonts w:ascii="Arial" w:cs="Arial" w:eastAsia="Arial" w:hAnsi="Arial"/>
          <w:sz w:val="18"/>
          <w:szCs w:val="18"/>
          <w:color w:val="auto"/>
        </w:rPr>
        <w:t>APS reviews and revises its billing rates on January 1 of each year.</w:t>
      </w:r>
    </w:p>
    <w:p>
      <w:pPr>
        <w:spacing w:after="0" w:line="203" w:lineRule="exact"/>
        <w:rPr>
          <w:sz w:val="20"/>
          <w:szCs w:val="20"/>
          <w:color w:val="auto"/>
        </w:rPr>
      </w:pPr>
    </w:p>
    <w:p>
      <w:pPr>
        <w:ind w:left="332" w:hanging="332"/>
        <w:spacing w:after="0"/>
        <w:tabs>
          <w:tab w:leader="none" w:pos="33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 Fee: </w:t>
      </w:r>
      <w:r>
        <w:rPr>
          <w:rFonts w:ascii="Arial" w:cs="Arial" w:eastAsia="Arial" w:hAnsi="Arial"/>
          <w:sz w:val="18"/>
          <w:szCs w:val="18"/>
          <w:color w:val="auto"/>
        </w:rPr>
        <w:t>APS does not seek a success fee in connection with this engagement.</w:t>
      </w:r>
    </w:p>
    <w:p>
      <w:pPr>
        <w:spacing w:after="0" w:line="225" w:lineRule="exact"/>
        <w:rPr>
          <w:rFonts w:ascii="Arial" w:cs="Arial" w:eastAsia="Arial" w:hAnsi="Arial"/>
          <w:sz w:val="18"/>
          <w:szCs w:val="18"/>
          <w:b w:val="1"/>
          <w:bCs w:val="1"/>
          <w:color w:val="auto"/>
        </w:rPr>
      </w:pPr>
    </w:p>
    <w:p>
      <w:pPr>
        <w:ind w:left="392" w:hanging="392"/>
        <w:spacing w:after="0" w:line="278" w:lineRule="auto"/>
        <w:tabs>
          <w:tab w:leader="none" w:pos="342"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Expenses: </w:t>
      </w:r>
      <w:r>
        <w:rPr>
          <w:rFonts w:ascii="Arial" w:cs="Arial" w:eastAsia="Arial" w:hAnsi="Arial"/>
          <w:sz w:val="17"/>
          <w:szCs w:val="17"/>
          <w:color w:val="auto"/>
        </w:rPr>
        <w:t>In addition to the Fees set forth in this Schedule, the Company shall pay directly, or reimburse APS upon receipt of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billings, for all reasonable out-of-pocket expenses incurred in connection with this assignment, such as travel, lodging and meals, and an administrative fee of 2% of the Fees to cover all other indirect administrative costs including general administrative support, legal and IT support, as well as any technology costs associated with secure storage and handling of client data that are not otherwise specified in this Agreement. All expenses must comply with the Company’s expense reimbursement policy, as provided to APS.</w:t>
      </w:r>
    </w:p>
    <w:p>
      <w:pPr>
        <w:spacing w:after="0" w:line="163" w:lineRule="exact"/>
        <w:rPr>
          <w:rFonts w:ascii="Arial" w:cs="Arial" w:eastAsia="Arial" w:hAnsi="Arial"/>
          <w:sz w:val="17"/>
          <w:szCs w:val="17"/>
          <w:b w:val="1"/>
          <w:bCs w:val="1"/>
          <w:color w:val="auto"/>
        </w:rPr>
      </w:pPr>
    </w:p>
    <w:p>
      <w:pPr>
        <w:ind w:left="332" w:hanging="332"/>
        <w:spacing w:after="0"/>
        <w:tabs>
          <w:tab w:leader="none" w:pos="33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Break Fee: </w:t>
      </w:r>
      <w:r>
        <w:rPr>
          <w:rFonts w:ascii="Arial" w:cs="Arial" w:eastAsia="Arial" w:hAnsi="Arial"/>
          <w:sz w:val="18"/>
          <w:szCs w:val="18"/>
          <w:color w:val="auto"/>
        </w:rPr>
        <w:t>APS does not seek a break fee in connection with this engagement.</w:t>
      </w:r>
    </w:p>
    <w:p>
      <w:pPr>
        <w:spacing w:after="0" w:line="225" w:lineRule="exact"/>
        <w:rPr>
          <w:rFonts w:ascii="Arial" w:cs="Arial" w:eastAsia="Arial" w:hAnsi="Arial"/>
          <w:sz w:val="18"/>
          <w:szCs w:val="18"/>
          <w:b w:val="1"/>
          <w:bCs w:val="1"/>
          <w:color w:val="auto"/>
        </w:rPr>
      </w:pPr>
    </w:p>
    <w:p>
      <w:pPr>
        <w:ind w:left="392" w:right="760" w:hanging="392"/>
        <w:spacing w:after="0" w:line="287" w:lineRule="auto"/>
        <w:tabs>
          <w:tab w:leader="none" w:pos="34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Retainer: </w:t>
      </w:r>
      <w:r>
        <w:rPr>
          <w:rFonts w:ascii="Arial" w:cs="Arial" w:eastAsia="Arial" w:hAnsi="Arial"/>
          <w:sz w:val="18"/>
          <w:szCs w:val="18"/>
          <w:color w:val="auto"/>
        </w:rPr>
        <w:t>The Company shall pay APS a retainer of US$175,000 to be applied against Fees and expenses as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and in accordance with Section 2 of the General Terms and Conditions.</w:t>
      </w:r>
    </w:p>
    <w:p>
      <w:pPr>
        <w:spacing w:after="0" w:line="152" w:lineRule="exact"/>
        <w:rPr>
          <w:rFonts w:ascii="Arial" w:cs="Arial" w:eastAsia="Arial" w:hAnsi="Arial"/>
          <w:sz w:val="18"/>
          <w:szCs w:val="18"/>
          <w:b w:val="1"/>
          <w:bCs w:val="1"/>
          <w:color w:val="auto"/>
        </w:rPr>
      </w:pPr>
    </w:p>
    <w:p>
      <w:pPr>
        <w:ind w:left="392" w:right="80" w:hanging="392"/>
        <w:spacing w:after="0" w:line="268" w:lineRule="auto"/>
        <w:tabs>
          <w:tab w:leader="none" w:pos="34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APS will submit monthly invoices for services rendered and expenses incurred. All invoices shall be due and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upon receipt. No discount is provided for prompt payment, and none shall be taken, but interest on any invoices paid late shall accrue in accordance with the General Terms and Conditions. Invoices should be submitted to </w:t>
      </w:r>
      <w:r>
        <w:rPr>
          <w:rFonts w:ascii="Arial" w:cs="Arial" w:eastAsia="Arial" w:hAnsi="Arial"/>
          <w:sz w:val="18"/>
          <w:szCs w:val="18"/>
          <w:u w:val="single" w:color="auto"/>
          <w:color w:val="0000FF"/>
        </w:rPr>
        <w:t>ap@cloverhealth.com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1"/>
        <w:spacing w:after="0"/>
        <w:rPr>
          <w:sz w:val="20"/>
          <w:szCs w:val="20"/>
          <w:color w:val="auto"/>
        </w:rPr>
      </w:pPr>
      <w:r>
        <w:rPr>
          <w:rFonts w:ascii="Arial" w:cs="Arial" w:eastAsia="Arial" w:hAnsi="Arial"/>
          <w:sz w:val="20"/>
          <w:szCs w:val="20"/>
          <w:color w:val="auto"/>
        </w:rPr>
        <w:t>4 of 10</w:t>
      </w:r>
    </w:p>
    <w:p>
      <w:pPr>
        <w:sectPr>
          <w:pgSz w:w="11900" w:h="16838" w:orient="portrait"/>
          <w:cols w:equalWidth="0" w:num="1">
            <w:col w:w="11072"/>
          </w:cols>
          <w:pgMar w:left="328" w:top="1440" w:right="499" w:bottom="1440" w:gutter="0" w:footer="0" w:header="0"/>
        </w:sectPr>
      </w:pPr>
    </w:p>
    <w:bookmarkStart w:id="110" w:name="page111"/>
    <w:bookmarkEnd w:id="110"/>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500380</wp:posOffset>
            </wp:positionV>
            <wp:extent cx="1962785" cy="3003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962785" cy="300355"/>
                    </a:xfrm>
                    <a:prstGeom prst="rect">
                      <a:avLst/>
                    </a:prstGeom>
                    <a:noFill/>
                  </pic:spPr>
                </pic:pic>
              </a:graphicData>
            </a:graphic>
          </wp:anchor>
        </w:drawing>
      </w:r>
    </w:p>
    <w:p>
      <w:pPr>
        <w:jc w:val="center"/>
        <w:ind w:right="-1112"/>
        <w:spacing w:after="0"/>
        <w:rPr>
          <w:sz w:val="20"/>
          <w:szCs w:val="20"/>
          <w:color w:val="auto"/>
        </w:rPr>
      </w:pPr>
      <w:r>
        <w:rPr>
          <w:rFonts w:ascii="Arial" w:cs="Arial" w:eastAsia="Arial" w:hAnsi="Arial"/>
          <w:sz w:val="18"/>
          <w:szCs w:val="18"/>
          <w:b w:val="1"/>
          <w:bCs w:val="1"/>
          <w:color w:val="auto"/>
        </w:rPr>
        <w:t>Data Protection Schedule</w:t>
      </w:r>
    </w:p>
    <w:p>
      <w:pPr>
        <w:spacing w:after="0" w:line="212" w:lineRule="exact"/>
        <w:rPr>
          <w:sz w:val="20"/>
          <w:szCs w:val="20"/>
          <w:color w:val="auto"/>
        </w:rPr>
      </w:pPr>
    </w:p>
    <w:p>
      <w:pPr>
        <w:ind w:left="3672"/>
        <w:spacing w:after="0"/>
        <w:rPr>
          <w:sz w:val="20"/>
          <w:szCs w:val="20"/>
          <w:color w:val="auto"/>
        </w:rPr>
      </w:pPr>
      <w:r>
        <w:rPr>
          <w:rFonts w:ascii="Arial" w:cs="Arial" w:eastAsia="Arial" w:hAnsi="Arial"/>
          <w:sz w:val="18"/>
          <w:szCs w:val="18"/>
          <w:b w:val="1"/>
          <w:bCs w:val="1"/>
          <w:color w:val="auto"/>
        </w:rPr>
        <w:t>Processing, Personal Data and Data Subjects</w:t>
      </w:r>
    </w:p>
    <w:p>
      <w:pPr>
        <w:spacing w:after="0" w:line="225" w:lineRule="exact"/>
        <w:rPr>
          <w:sz w:val="20"/>
          <w:szCs w:val="20"/>
          <w:color w:val="auto"/>
        </w:rPr>
      </w:pPr>
    </w:p>
    <w:p>
      <w:pPr>
        <w:ind w:left="352" w:hanging="352"/>
        <w:spacing w:after="0"/>
        <w:tabs>
          <w:tab w:leader="none" w:pos="35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Processing by APS</w:t>
      </w:r>
    </w:p>
    <w:p>
      <w:pPr>
        <w:spacing w:after="0" w:line="126" w:lineRule="exact"/>
        <w:rPr>
          <w:sz w:val="20"/>
          <w:szCs w:val="20"/>
          <w:color w:val="auto"/>
        </w:rPr>
      </w:pPr>
    </w:p>
    <w:p>
      <w:pPr>
        <w:ind w:left="412"/>
        <w:spacing w:after="0"/>
        <w:rPr>
          <w:sz w:val="20"/>
          <w:szCs w:val="20"/>
          <w:color w:val="auto"/>
        </w:rPr>
      </w:pPr>
      <w:r>
        <w:rPr>
          <w:rFonts w:ascii="Arial" w:cs="Arial" w:eastAsia="Arial" w:hAnsi="Arial"/>
          <w:sz w:val="18"/>
          <w:szCs w:val="18"/>
          <w:color w:val="auto"/>
        </w:rPr>
        <w:t>1.1. Scope: Scope of the processing is described in the agreement above and limited to the purposes described above.</w:t>
      </w:r>
    </w:p>
    <w:p>
      <w:pPr>
        <w:spacing w:after="0" w:line="117" w:lineRule="exact"/>
        <w:rPr>
          <w:sz w:val="20"/>
          <w:szCs w:val="20"/>
          <w:color w:val="auto"/>
        </w:rPr>
      </w:pPr>
    </w:p>
    <w:p>
      <w:pPr>
        <w:ind w:left="812" w:right="379" w:hanging="404"/>
        <w:spacing w:after="0" w:line="261" w:lineRule="auto"/>
        <w:rPr>
          <w:sz w:val="20"/>
          <w:szCs w:val="20"/>
          <w:color w:val="auto"/>
        </w:rPr>
      </w:pPr>
      <w:r>
        <w:rPr>
          <w:rFonts w:ascii="Arial" w:cs="Arial" w:eastAsia="Arial" w:hAnsi="Arial"/>
          <w:sz w:val="18"/>
          <w:szCs w:val="18"/>
          <w:color w:val="auto"/>
        </w:rPr>
        <w:t>1.2. Nature: The nature of processing will include receiving, storing, analyzing, transmitting to appropriate parties, and disposing of Personal Data.</w:t>
      </w:r>
    </w:p>
    <w:p>
      <w:pPr>
        <w:spacing w:after="0" w:line="103" w:lineRule="exact"/>
        <w:rPr>
          <w:sz w:val="20"/>
          <w:szCs w:val="20"/>
          <w:color w:val="auto"/>
        </w:rPr>
      </w:pPr>
    </w:p>
    <w:p>
      <w:pPr>
        <w:ind w:left="412"/>
        <w:spacing w:after="0"/>
        <w:rPr>
          <w:sz w:val="20"/>
          <w:szCs w:val="20"/>
          <w:color w:val="auto"/>
        </w:rPr>
      </w:pPr>
      <w:r>
        <w:rPr>
          <w:rFonts w:ascii="Arial" w:cs="Arial" w:eastAsia="Arial" w:hAnsi="Arial"/>
          <w:sz w:val="17"/>
          <w:szCs w:val="17"/>
          <w:color w:val="auto"/>
        </w:rPr>
        <w:t>1.3. Purpose of the Processing: The purpose of processing is to provide the services described in the agreement above.</w:t>
      </w:r>
    </w:p>
    <w:p>
      <w:pPr>
        <w:spacing w:after="0" w:line="115" w:lineRule="exact"/>
        <w:rPr>
          <w:sz w:val="20"/>
          <w:szCs w:val="20"/>
          <w:color w:val="auto"/>
        </w:rPr>
      </w:pPr>
    </w:p>
    <w:p>
      <w:pPr>
        <w:ind w:left="412"/>
        <w:spacing w:after="0"/>
        <w:rPr>
          <w:sz w:val="20"/>
          <w:szCs w:val="20"/>
          <w:color w:val="auto"/>
        </w:rPr>
      </w:pPr>
      <w:r>
        <w:rPr>
          <w:rFonts w:ascii="Arial" w:cs="Arial" w:eastAsia="Arial" w:hAnsi="Arial"/>
          <w:sz w:val="18"/>
          <w:szCs w:val="18"/>
          <w:color w:val="auto"/>
        </w:rPr>
        <w:t>1.4. Duration of the Processing: APS will process Personal Data for the duration of the engagement life cycle.</w:t>
      </w:r>
    </w:p>
    <w:p>
      <w:pPr>
        <w:spacing w:after="0" w:line="217" w:lineRule="exact"/>
        <w:rPr>
          <w:sz w:val="20"/>
          <w:szCs w:val="20"/>
          <w:color w:val="auto"/>
        </w:rPr>
      </w:pPr>
    </w:p>
    <w:p>
      <w:pPr>
        <w:ind w:left="72"/>
        <w:spacing w:after="0"/>
        <w:rPr>
          <w:sz w:val="20"/>
          <w:szCs w:val="20"/>
          <w:color w:val="auto"/>
        </w:rPr>
      </w:pPr>
      <w:r>
        <w:rPr>
          <w:rFonts w:ascii="Arial" w:cs="Arial" w:eastAsia="Arial" w:hAnsi="Arial"/>
          <w:sz w:val="18"/>
          <w:szCs w:val="18"/>
          <w:b w:val="1"/>
          <w:bCs w:val="1"/>
          <w:color w:val="auto"/>
        </w:rPr>
        <w:t>2.  Types of Personal Data</w:t>
      </w:r>
    </w:p>
    <w:p>
      <w:pPr>
        <w:spacing w:after="0" w:line="247"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Background Check Data </w:t>
      </w:r>
      <w:r>
        <w:rPr>
          <w:rFonts w:ascii="Arial" w:cs="Arial" w:eastAsia="Arial" w:hAnsi="Arial"/>
          <w:sz w:val="14"/>
          <w:szCs w:val="14"/>
          <w:color w:val="auto"/>
        </w:rPr>
        <w:t>(Criminal History, Drug Test Results, References,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Biometric Data </w:t>
      </w:r>
      <w:r>
        <w:rPr>
          <w:rFonts w:ascii="Arial" w:cs="Arial" w:eastAsia="Arial" w:hAnsi="Arial"/>
          <w:sz w:val="14"/>
          <w:szCs w:val="14"/>
          <w:color w:val="auto"/>
        </w:rPr>
        <w:t>(Facial Recognition, Fingerprints, Voice Recording,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Browsing Data </w:t>
      </w:r>
      <w:r>
        <w:rPr>
          <w:rFonts w:ascii="Arial" w:cs="Arial" w:eastAsia="Arial" w:hAnsi="Arial"/>
          <w:sz w:val="14"/>
          <w:szCs w:val="14"/>
          <w:color w:val="auto"/>
        </w:rPr>
        <w:t>(Cookies, Website History, IP Address,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7"/>
          <w:szCs w:val="17"/>
          <w:color w:val="auto"/>
        </w:rPr>
        <w:t>Contact Information</w:t>
      </w:r>
      <w:r>
        <w:rPr>
          <w:rFonts w:ascii="Arial" w:cs="Arial" w:eastAsia="Arial" w:hAnsi="Arial"/>
          <w:sz w:val="16"/>
          <w:szCs w:val="16"/>
          <w:color w:val="auto"/>
        </w:rPr>
        <w:t xml:space="preserve"> </w:t>
      </w:r>
      <w:r>
        <w:rPr>
          <w:rFonts w:ascii="Arial" w:cs="Arial" w:eastAsia="Arial" w:hAnsi="Arial"/>
          <w:sz w:val="14"/>
          <w:szCs w:val="14"/>
          <w:color w:val="auto"/>
        </w:rPr>
        <w:t>(Contact Details, Address, Email Address, Phone Numbers, etc.)</w:t>
      </w:r>
    </w:p>
    <w:p>
      <w:pPr>
        <w:spacing w:after="0" w:line="102"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Education and Skills </w:t>
      </w:r>
      <w:r>
        <w:rPr>
          <w:rFonts w:ascii="Arial" w:cs="Arial" w:eastAsia="Arial" w:hAnsi="Arial"/>
          <w:sz w:val="14"/>
          <w:szCs w:val="14"/>
          <w:color w:val="auto"/>
        </w:rPr>
        <w:t>(Academic Transcripts, Educational Degrees, Languages, Training,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7"/>
          <w:szCs w:val="17"/>
          <w:color w:val="auto"/>
        </w:rPr>
        <w:t>Employment Information</w:t>
      </w:r>
      <w:r>
        <w:rPr>
          <w:rFonts w:ascii="Arial" w:cs="Arial" w:eastAsia="Arial" w:hAnsi="Arial"/>
          <w:sz w:val="16"/>
          <w:szCs w:val="16"/>
          <w:color w:val="auto"/>
        </w:rPr>
        <w:t xml:space="preserve"> </w:t>
      </w:r>
      <w:r>
        <w:rPr>
          <w:rFonts w:ascii="Arial" w:cs="Arial" w:eastAsia="Arial" w:hAnsi="Arial"/>
          <w:sz w:val="14"/>
          <w:szCs w:val="14"/>
          <w:color w:val="auto"/>
        </w:rPr>
        <w:t>(Salary, Job Title, Personnel Number, Workers Comp, Office Location, etc.)</w:t>
      </w:r>
    </w:p>
    <w:p>
      <w:pPr>
        <w:spacing w:after="0" w:line="102"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Family Information </w:t>
      </w:r>
      <w:r>
        <w:rPr>
          <w:rFonts w:ascii="Arial" w:cs="Arial" w:eastAsia="Arial" w:hAnsi="Arial"/>
          <w:sz w:val="14"/>
          <w:szCs w:val="14"/>
          <w:color w:val="auto"/>
        </w:rPr>
        <w:t>(Children, Parents,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Genetic Information </w:t>
      </w:r>
      <w:r>
        <w:rPr>
          <w:rFonts w:ascii="Arial" w:cs="Arial" w:eastAsia="Arial" w:hAnsi="Arial"/>
          <w:sz w:val="14"/>
          <w:szCs w:val="14"/>
          <w:color w:val="auto"/>
        </w:rPr>
        <w:t>(Genetic Sequence)</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Government Identifiers </w:t>
      </w:r>
      <w:r>
        <w:rPr>
          <w:rFonts w:ascii="Arial" w:cs="Arial" w:eastAsia="Arial" w:hAnsi="Arial"/>
          <w:sz w:val="14"/>
          <w:szCs w:val="14"/>
          <w:color w:val="auto"/>
        </w:rPr>
        <w:t>(National Identification Number, SSN, Driving License,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Personal Identifiers </w:t>
      </w:r>
      <w:r>
        <w:rPr>
          <w:rFonts w:ascii="Arial" w:cs="Arial" w:eastAsia="Arial" w:hAnsi="Arial"/>
          <w:sz w:val="14"/>
          <w:szCs w:val="14"/>
          <w:color w:val="auto"/>
        </w:rPr>
        <w:t>(Name, Age, Date of Birth, Race, Video/Photo, Signature,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Professional Experience &amp; Affiliations </w:t>
      </w:r>
      <w:r>
        <w:rPr>
          <w:rFonts w:ascii="Arial" w:cs="Arial" w:eastAsia="Arial" w:hAnsi="Arial"/>
          <w:sz w:val="14"/>
          <w:szCs w:val="14"/>
          <w:color w:val="auto"/>
        </w:rPr>
        <w:t>(Trade Union Membership, Qualifications/Certifications,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Social Media Data </w:t>
      </w:r>
      <w:r>
        <w:rPr>
          <w:rFonts w:ascii="Arial" w:cs="Arial" w:eastAsia="Arial" w:hAnsi="Arial"/>
          <w:sz w:val="14"/>
          <w:szCs w:val="14"/>
          <w:color w:val="auto"/>
        </w:rPr>
        <w:t>(Social Media Accounts, Social Media History,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7"/>
          <w:szCs w:val="17"/>
          <w:color w:val="auto"/>
        </w:rPr>
        <w:t>Travel and Expense</w:t>
      </w:r>
      <w:r>
        <w:rPr>
          <w:rFonts w:ascii="Arial" w:cs="Arial" w:eastAsia="Arial" w:hAnsi="Arial"/>
          <w:sz w:val="16"/>
          <w:szCs w:val="16"/>
          <w:color w:val="auto"/>
        </w:rPr>
        <w:t xml:space="preserve"> </w:t>
      </w:r>
      <w:r>
        <w:rPr>
          <w:rFonts w:ascii="Arial" w:cs="Arial" w:eastAsia="Arial" w:hAnsi="Arial"/>
          <w:sz w:val="14"/>
          <w:szCs w:val="14"/>
          <w:color w:val="auto"/>
        </w:rPr>
        <w:t>(Travel History, Expense Details, etc.)</w:t>
      </w:r>
    </w:p>
    <w:p>
      <w:pPr>
        <w:spacing w:after="0" w:line="102"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User Account Information </w:t>
      </w:r>
      <w:r>
        <w:rPr>
          <w:rFonts w:ascii="Arial" w:cs="Arial" w:eastAsia="Arial" w:hAnsi="Arial"/>
          <w:sz w:val="14"/>
          <w:szCs w:val="14"/>
          <w:color w:val="auto"/>
        </w:rPr>
        <w:t>(Account Age, Account Number, Account Password,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 xml:space="preserve">___ Workplace Welfare </w:t>
      </w:r>
      <w:r>
        <w:rPr>
          <w:rFonts w:ascii="Arial" w:cs="Arial" w:eastAsia="Arial" w:hAnsi="Arial"/>
          <w:sz w:val="14"/>
          <w:szCs w:val="14"/>
          <w:color w:val="auto"/>
        </w:rPr>
        <w:t>(Harassment Reports, Disciplinary Action, etc.)</w:t>
      </w:r>
    </w:p>
    <w:p>
      <w:pPr>
        <w:spacing w:after="0" w:line="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___ Other:</w:t>
      </w:r>
    </w:p>
    <w:p>
      <w:pPr>
        <w:spacing w:after="0" w:line="200" w:lineRule="exact"/>
        <w:rPr>
          <w:sz w:val="20"/>
          <w:szCs w:val="20"/>
          <w:color w:val="auto"/>
        </w:rPr>
      </w:pPr>
    </w:p>
    <w:p>
      <w:pPr>
        <w:spacing w:after="0" w:line="273" w:lineRule="exact"/>
        <w:rPr>
          <w:sz w:val="20"/>
          <w:szCs w:val="20"/>
          <w:color w:val="auto"/>
        </w:rPr>
      </w:pPr>
    </w:p>
    <w:p>
      <w:pPr>
        <w:ind w:left="432" w:hanging="351"/>
        <w:spacing w:after="0"/>
        <w:tabs>
          <w:tab w:leader="none" w:pos="4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Categories of Data Subjects</w:t>
      </w:r>
    </w:p>
    <w:p>
      <w:pPr>
        <w:spacing w:after="0" w:line="247" w:lineRule="exact"/>
        <w:rPr>
          <w:sz w:val="20"/>
          <w:szCs w:val="20"/>
          <w:color w:val="auto"/>
        </w:rPr>
      </w:pPr>
    </w:p>
    <w:p>
      <w:pPr>
        <w:ind w:left="412"/>
        <w:spacing w:after="0"/>
        <w:rPr>
          <w:sz w:val="20"/>
          <w:szCs w:val="20"/>
          <w:color w:val="auto"/>
        </w:rPr>
      </w:pP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7"/>
          <w:szCs w:val="17"/>
          <w:color w:val="auto"/>
        </w:rPr>
        <w:t>Employees / Members / Contractors of Data Controller</w:t>
      </w:r>
    </w:p>
    <w:p>
      <w:pPr>
        <w:spacing w:after="0" w:line="102" w:lineRule="exact"/>
        <w:rPr>
          <w:sz w:val="20"/>
          <w:szCs w:val="20"/>
          <w:color w:val="auto"/>
        </w:rPr>
      </w:pPr>
    </w:p>
    <w:p>
      <w:pPr>
        <w:ind w:left="412"/>
        <w:spacing w:after="0"/>
        <w:rPr>
          <w:sz w:val="20"/>
          <w:szCs w:val="20"/>
          <w:color w:val="auto"/>
        </w:rPr>
      </w:pPr>
      <w:r>
        <w:rPr>
          <w:rFonts w:ascii="Arial" w:cs="Arial" w:eastAsia="Arial" w:hAnsi="Arial"/>
          <w:sz w:val="18"/>
          <w:szCs w:val="18"/>
          <w:color w:val="auto"/>
        </w:rPr>
        <w:t>___ Clients of Data Controller</w:t>
      </w:r>
    </w:p>
    <w:p>
      <w:pPr>
        <w:spacing w:after="0" w:line="63" w:lineRule="exact"/>
        <w:rPr>
          <w:sz w:val="20"/>
          <w:szCs w:val="20"/>
          <w:color w:val="auto"/>
        </w:rPr>
      </w:pPr>
    </w:p>
    <w:p>
      <w:pPr>
        <w:ind w:left="412"/>
        <w:spacing w:after="0"/>
        <w:rPr>
          <w:sz w:val="20"/>
          <w:szCs w:val="20"/>
          <w:color w:val="auto"/>
        </w:rPr>
      </w:pPr>
      <w:r>
        <w:rPr>
          <w:rFonts w:ascii="Arial" w:cs="Arial" w:eastAsia="Arial" w:hAnsi="Arial"/>
          <w:sz w:val="18"/>
          <w:szCs w:val="18"/>
          <w:color w:val="auto"/>
        </w:rPr>
        <w:t>___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332"/>
        <w:spacing w:after="0"/>
        <w:rPr>
          <w:sz w:val="20"/>
          <w:szCs w:val="20"/>
          <w:color w:val="auto"/>
        </w:rPr>
      </w:pPr>
      <w:r>
        <w:rPr>
          <w:rFonts w:ascii="Arial" w:cs="Arial" w:eastAsia="Arial" w:hAnsi="Arial"/>
          <w:sz w:val="20"/>
          <w:szCs w:val="20"/>
          <w:color w:val="auto"/>
        </w:rPr>
        <w:t>5 of 10</w:t>
      </w:r>
    </w:p>
    <w:p>
      <w:pPr>
        <w:sectPr>
          <w:pgSz w:w="11900" w:h="16838" w:orient="portrait"/>
          <w:cols w:equalWidth="0" w:num="1">
            <w:col w:w="10131"/>
          </w:cols>
          <w:pgMar w:left="328" w:top="1440" w:right="1440" w:bottom="1440" w:gutter="0" w:footer="0" w:header="0"/>
        </w:sectPr>
      </w:pPr>
    </w:p>
    <w:bookmarkStart w:id="111" w:name="page112"/>
    <w:bookmarkEnd w:id="111"/>
    <w:p>
      <w:pPr>
        <w:jc w:val="center"/>
        <w:ind w:right="-9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15175" cy="2400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t>AP Services, LLC</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General Terms and Conditions</w:t>
      </w:r>
    </w:p>
    <w:p>
      <w:pPr>
        <w:spacing w:after="0" w:line="96" w:lineRule="exact"/>
        <w:rPr>
          <w:sz w:val="20"/>
          <w:szCs w:val="20"/>
          <w:color w:val="auto"/>
        </w:rPr>
      </w:pPr>
    </w:p>
    <w:p>
      <w:pPr>
        <w:ind w:right="3940"/>
        <w:spacing w:after="0" w:line="206" w:lineRule="auto"/>
        <w:rPr>
          <w:sz w:val="20"/>
          <w:szCs w:val="20"/>
          <w:color w:val="auto"/>
        </w:rPr>
      </w:pPr>
      <w:r>
        <w:rPr>
          <w:rFonts w:ascii="Arial" w:cs="Arial" w:eastAsia="Arial" w:hAnsi="Arial"/>
          <w:sz w:val="14"/>
          <w:szCs w:val="14"/>
          <w:color w:val="auto"/>
        </w:rPr>
        <w:t>These General Terms and Conditions (“Terms”) are incorporated into the Agreement to which these Terms are attached. In case of conflict between the wording in the letter and/or schedule(s) and these Terms, the wording of the letter and/or schedule(s) shall prevail.</w:t>
      </w:r>
    </w:p>
    <w:p>
      <w:pPr>
        <w:sectPr>
          <w:pgSz w:w="11900" w:h="16838" w:orient="portrait"/>
          <w:cols w:equalWidth="0" w:num="1">
            <w:col w:w="11120"/>
          </w:cols>
          <w:pgMar w:left="320" w:top="815" w:right="45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 Company Responsibilities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The Company will undertake responsibilities as set forth below:</w:t>
      </w:r>
    </w:p>
    <w:p>
      <w:pPr>
        <w:spacing w:after="0" w:line="69" w:lineRule="exact"/>
        <w:rPr>
          <w:sz w:val="20"/>
          <w:szCs w:val="20"/>
          <w:color w:val="auto"/>
        </w:rPr>
      </w:pPr>
    </w:p>
    <w:p>
      <w:pPr>
        <w:ind w:right="20" w:firstLine="8"/>
        <w:spacing w:after="0" w:line="218" w:lineRule="auto"/>
        <w:tabs>
          <w:tab w:leader="none" w:pos="619"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Provide reliable and accurate detailed information, materials, documentation and</w:t>
      </w:r>
    </w:p>
    <w:p>
      <w:pPr>
        <w:spacing w:after="0" w:line="112" w:lineRule="exact"/>
        <w:rPr>
          <w:rFonts w:ascii="Arial" w:cs="Arial" w:eastAsia="Arial" w:hAnsi="Arial"/>
          <w:sz w:val="14"/>
          <w:szCs w:val="14"/>
          <w:color w:val="auto"/>
        </w:rPr>
      </w:pPr>
    </w:p>
    <w:p>
      <w:pPr>
        <w:jc w:val="both"/>
        <w:ind w:right="40" w:firstLine="8"/>
        <w:spacing w:after="0" w:line="206" w:lineRule="auto"/>
        <w:tabs>
          <w:tab w:leader="none" w:pos="619" w:val="left"/>
        </w:tabs>
        <w:numPr>
          <w:ilvl w:val="0"/>
          <w:numId w:val="59"/>
        </w:numPr>
        <w:rPr>
          <w:rFonts w:ascii="Arial" w:cs="Arial" w:eastAsia="Arial" w:hAnsi="Arial"/>
          <w:sz w:val="14"/>
          <w:szCs w:val="14"/>
          <w:color w:val="auto"/>
        </w:rPr>
      </w:pPr>
      <w:r>
        <w:rPr>
          <w:rFonts w:ascii="Arial" w:cs="Arial" w:eastAsia="Arial" w:hAnsi="Arial"/>
          <w:sz w:val="14"/>
          <w:szCs w:val="14"/>
          <w:color w:val="auto"/>
        </w:rPr>
        <w:t>Make decisions and take future actions, as the Company determines in its sole discretion, on any recommendations made by APS in connection with this Agreement.</w:t>
      </w:r>
    </w:p>
    <w:p>
      <w:pPr>
        <w:spacing w:after="0" w:line="112" w:lineRule="exact"/>
        <w:rPr>
          <w:sz w:val="20"/>
          <w:szCs w:val="20"/>
          <w:color w:val="auto"/>
        </w:rPr>
      </w:pPr>
    </w:p>
    <w:p>
      <w:pPr>
        <w:jc w:val="both"/>
        <w:ind w:right="20"/>
        <w:spacing w:after="0" w:line="206" w:lineRule="auto"/>
        <w:rPr>
          <w:sz w:val="20"/>
          <w:szCs w:val="20"/>
          <w:color w:val="auto"/>
        </w:rPr>
      </w:pPr>
      <w:r>
        <w:rPr>
          <w:rFonts w:ascii="Arial" w:cs="Arial" w:eastAsia="Arial" w:hAnsi="Arial"/>
          <w:sz w:val="14"/>
          <w:szCs w:val="14"/>
          <w:color w:val="auto"/>
        </w:rPr>
        <w:t>APS’s delivery of the services and the fees charged are dependent on (i) the Company’s timely and effective completion of its responsibilities; and (ii) timely decisions and approvals made by the Company’s management.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 Retainer, Billing, Payments and Taxes</w:t>
      </w:r>
    </w:p>
    <w:p>
      <w:pPr>
        <w:spacing w:after="0" w:line="204" w:lineRule="exact"/>
        <w:rPr>
          <w:sz w:val="20"/>
          <w:szCs w:val="20"/>
          <w:color w:val="auto"/>
        </w:rPr>
      </w:pPr>
    </w:p>
    <w:p>
      <w:pPr>
        <w:jc w:val="both"/>
        <w:ind w:right="20"/>
        <w:spacing w:after="0" w:line="198" w:lineRule="auto"/>
        <w:rPr>
          <w:sz w:val="20"/>
          <w:szCs w:val="20"/>
          <w:color w:val="auto"/>
        </w:rPr>
      </w:pPr>
      <w:r>
        <w:rPr>
          <w:rFonts w:ascii="Arial" w:cs="Arial" w:eastAsia="Arial" w:hAnsi="Arial"/>
          <w:sz w:val="14"/>
          <w:szCs w:val="14"/>
          <w:b w:val="1"/>
          <w:bCs w:val="1"/>
          <w:color w:val="auto"/>
        </w:rPr>
        <w:t xml:space="preserve">Retainer. </w:t>
      </w:r>
      <w:r>
        <w:rPr>
          <w:rFonts w:ascii="Arial" w:cs="Arial" w:eastAsia="Arial" w:hAnsi="Arial"/>
          <w:sz w:val="14"/>
          <w:szCs w:val="14"/>
          <w:color w:val="auto"/>
        </w:rPr>
        <w:t>Upon execution of the Agreement, the Company shall promptly pay</w:t>
      </w:r>
      <w:r>
        <w:rPr>
          <w:rFonts w:ascii="Arial" w:cs="Arial" w:eastAsia="Arial" w:hAnsi="Arial"/>
          <w:sz w:val="14"/>
          <w:szCs w:val="14"/>
          <w:b w:val="1"/>
          <w:bCs w:val="1"/>
          <w:color w:val="auto"/>
        </w:rPr>
        <w:t xml:space="preserve"> </w:t>
      </w:r>
      <w:r>
        <w:rPr>
          <w:rFonts w:ascii="Arial" w:cs="Arial" w:eastAsia="Arial" w:hAnsi="Arial"/>
          <w:sz w:val="14"/>
          <w:szCs w:val="14"/>
          <w:color w:val="auto"/>
        </w:rPr>
        <w:t>APS the agreed-upon advance retainer as set forth on Schedule 1. Invoices shall be offset against the retainer. Payments of invoices will be used to replenish the retainer to the agreed-upon amount. Any unearned portion of the retainer will be applied against the final invoice or returned to the Company at the end of the engagement.</w:t>
      </w:r>
    </w:p>
    <w:p>
      <w:pPr>
        <w:spacing w:after="0" w:line="94" w:lineRule="exact"/>
        <w:rPr>
          <w:sz w:val="20"/>
          <w:szCs w:val="20"/>
          <w:color w:val="auto"/>
        </w:rPr>
      </w:pPr>
    </w:p>
    <w:p>
      <w:pPr>
        <w:jc w:val="both"/>
        <w:ind w:right="20"/>
        <w:spacing w:after="0" w:line="193" w:lineRule="auto"/>
        <w:rPr>
          <w:sz w:val="20"/>
          <w:szCs w:val="20"/>
          <w:color w:val="auto"/>
        </w:rPr>
      </w:pPr>
      <w:r>
        <w:rPr>
          <w:rFonts w:ascii="Arial" w:cs="Arial" w:eastAsia="Arial" w:hAnsi="Arial"/>
          <w:sz w:val="14"/>
          <w:szCs w:val="14"/>
          <w:b w:val="1"/>
          <w:bCs w:val="1"/>
          <w:color w:val="auto"/>
        </w:rPr>
        <w:t xml:space="preserve">Billing and Payments. </w:t>
      </w:r>
      <w:r>
        <w:rPr>
          <w:rFonts w:ascii="Arial" w:cs="Arial" w:eastAsia="Arial" w:hAnsi="Arial"/>
          <w:sz w:val="14"/>
          <w:szCs w:val="14"/>
          <w:color w:val="auto"/>
        </w:rPr>
        <w:t>All payments to be made to APS shall be due and</w:t>
      </w:r>
      <w:r>
        <w:rPr>
          <w:rFonts w:ascii="Arial" w:cs="Arial" w:eastAsia="Arial" w:hAnsi="Arial"/>
          <w:sz w:val="14"/>
          <w:szCs w:val="14"/>
          <w:b w:val="1"/>
          <w:bCs w:val="1"/>
          <w:color w:val="auto"/>
        </w:rPr>
        <w:t xml:space="preserve"> </w:t>
      </w:r>
      <w:r>
        <w:rPr>
          <w:rFonts w:ascii="Arial" w:cs="Arial" w:eastAsia="Arial" w:hAnsi="Arial"/>
          <w:sz w:val="14"/>
          <w:szCs w:val="14"/>
          <w:color w:val="auto"/>
        </w:rPr>
        <w:t>payable upon delivery of invoice via check or wire transfer to APS’ bank account, as shown on the invoice. All amounts invoiced are based on services rendered and expenses incurred to date, and are not contingent upon future services or Work Product (as defined below), or the outcome of any case or matter. “Fees,” as used in this Agreement, shall include all amounts payable by the Company to APS in accordance with Schedule 1, including any success fee or break fee, but excluding reimbursable expenses.</w:t>
      </w:r>
    </w:p>
    <w:p>
      <w:pPr>
        <w:spacing w:after="0" w:line="116" w:lineRule="exact"/>
        <w:rPr>
          <w:sz w:val="20"/>
          <w:szCs w:val="20"/>
          <w:color w:val="auto"/>
        </w:rPr>
      </w:pPr>
    </w:p>
    <w:p>
      <w:pPr>
        <w:jc w:val="both"/>
        <w:ind w:right="40"/>
        <w:spacing w:after="0" w:line="200" w:lineRule="auto"/>
        <w:rPr>
          <w:sz w:val="20"/>
          <w:szCs w:val="20"/>
          <w:color w:val="auto"/>
        </w:rPr>
      </w:pPr>
      <w:r>
        <w:rPr>
          <w:rFonts w:ascii="Arial" w:cs="Arial" w:eastAsia="Arial" w:hAnsi="Arial"/>
          <w:sz w:val="14"/>
          <w:szCs w:val="14"/>
          <w:color w:val="auto"/>
        </w:rPr>
        <w:t>If any Fees and/or expenses are not paid by the Company on the relevant due date, APS shall be entitled to charge interest on the unpaid amount until payment is made in full. Interest shall be calculated using the lesser of (i) one percent (1%) per month (12% per annum) or (ii) to the maximum extent permitted by law.</w:t>
      </w:r>
    </w:p>
    <w:p>
      <w:pPr>
        <w:spacing w:after="0" w:line="93" w:lineRule="exact"/>
        <w:rPr>
          <w:sz w:val="20"/>
          <w:szCs w:val="20"/>
          <w:color w:val="auto"/>
        </w:rPr>
      </w:pPr>
    </w:p>
    <w:p>
      <w:pPr>
        <w:jc w:val="both"/>
        <w:ind w:right="40"/>
        <w:spacing w:after="0" w:line="201" w:lineRule="auto"/>
        <w:rPr>
          <w:sz w:val="20"/>
          <w:szCs w:val="20"/>
          <w:color w:val="auto"/>
        </w:rPr>
      </w:pPr>
      <w:r>
        <w:rPr>
          <w:rFonts w:ascii="Arial" w:cs="Arial" w:eastAsia="Arial" w:hAnsi="Arial"/>
          <w:sz w:val="14"/>
          <w:szCs w:val="14"/>
          <w:b w:val="1"/>
          <w:bCs w:val="1"/>
          <w:color w:val="auto"/>
        </w:rPr>
        <w:t xml:space="preserve">Taxes. </w:t>
      </w:r>
      <w:r>
        <w:rPr>
          <w:rFonts w:ascii="Arial" w:cs="Arial" w:eastAsia="Arial" w:hAnsi="Arial"/>
          <w:sz w:val="14"/>
          <w:szCs w:val="14"/>
          <w:color w:val="auto"/>
        </w:rPr>
        <w:t>APS’ fees are exclusive of taxes or similar charges, which shall be the</w:t>
      </w:r>
      <w:r>
        <w:rPr>
          <w:rFonts w:ascii="Arial" w:cs="Arial" w:eastAsia="Arial" w:hAnsi="Arial"/>
          <w:sz w:val="14"/>
          <w:szCs w:val="14"/>
          <w:b w:val="1"/>
          <w:bCs w:val="1"/>
          <w:color w:val="auto"/>
        </w:rPr>
        <w:t xml:space="preserve"> </w:t>
      </w:r>
      <w:r>
        <w:rPr>
          <w:rFonts w:ascii="Arial" w:cs="Arial" w:eastAsia="Arial" w:hAnsi="Arial"/>
          <w:sz w:val="14"/>
          <w:szCs w:val="14"/>
          <w:color w:val="auto"/>
        </w:rPr>
        <w:t>responsibility of the Company (other than taxes imposed on APS’ income generally). If APS’ fees are subject to any taxes, such as State sales tax, Goods and Services Tax/Harmonized Sales Tax or Value Added Tax, then APS will include such taxes on its invoices as separate line items.</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 Relationship of the Parties</w:t>
      </w:r>
    </w:p>
    <w:p>
      <w:pPr>
        <w:spacing w:after="0" w:line="141" w:lineRule="exact"/>
        <w:rPr>
          <w:sz w:val="20"/>
          <w:szCs w:val="20"/>
          <w:color w:val="auto"/>
        </w:rPr>
      </w:pPr>
    </w:p>
    <w:p>
      <w:pPr>
        <w:jc w:val="both"/>
        <w:spacing w:after="0" w:line="188" w:lineRule="auto"/>
        <w:rPr>
          <w:sz w:val="20"/>
          <w:szCs w:val="20"/>
          <w:color w:val="auto"/>
        </w:rPr>
      </w:pPr>
      <w:r>
        <w:rPr>
          <w:rFonts w:ascii="Arial" w:cs="Arial" w:eastAsia="Arial" w:hAnsi="Arial"/>
          <w:sz w:val="14"/>
          <w:szCs w:val="14"/>
          <w:color w:val="auto"/>
        </w:rPr>
        <w:t>The parties intend that an independent contractor relationship will be created by the Agreement. As an independent contractor, APS will have complete and exclusive charge of the management and operation of its business, including hiring and paying the wages and other compensation of all its employees and agents, and paying all bills, expenses and other charges incurred or payable with respect to the operation of its business. Employees of APS will not be entitled to receive from the Company any vacation pay, sick leave, retirement, pension or social security benefits, workers’ compensation, disability, unemployment insurance benefits or any other employee benefits. APS will be responsible for all employment, withholding, income and other taxes incurred in connection with the operation and conduct of its business.</w:t>
      </w:r>
    </w:p>
    <w:p>
      <w:pPr>
        <w:spacing w:after="0" w:line="111" w:lineRule="exact"/>
        <w:rPr>
          <w:sz w:val="20"/>
          <w:szCs w:val="20"/>
          <w:color w:val="auto"/>
        </w:rPr>
      </w:pPr>
    </w:p>
    <w:p>
      <w:pPr>
        <w:jc w:val="both"/>
        <w:spacing w:after="0" w:line="196" w:lineRule="auto"/>
        <w:rPr>
          <w:sz w:val="20"/>
          <w:szCs w:val="20"/>
          <w:color w:val="auto"/>
        </w:rPr>
      </w:pPr>
      <w:r>
        <w:rPr>
          <w:rFonts w:ascii="Arial" w:cs="Arial" w:eastAsia="Arial" w:hAnsi="Arial"/>
          <w:sz w:val="14"/>
          <w:szCs w:val="14"/>
          <w:color w:val="auto"/>
        </w:rPr>
        <w:t>APS is not an accounting firm and does not give accounting advice or guidance. While APS’ work may involve analysis of accounting, business and other related records, this engagement does not constitute an audit in accordance with either generally accepted auditing standards or the standards of the Public Company Accounting Oversight Board or any other similar governing body.</w:t>
      </w:r>
    </w:p>
    <w:p>
      <w:pPr>
        <w:spacing w:after="0" w:line="112" w:lineRule="exact"/>
        <w:rPr>
          <w:sz w:val="20"/>
          <w:szCs w:val="20"/>
          <w:color w:val="auto"/>
        </w:rPr>
      </w:pPr>
    </w:p>
    <w:p>
      <w:pPr>
        <w:jc w:val="both"/>
        <w:spacing w:after="0" w:line="206" w:lineRule="auto"/>
        <w:rPr>
          <w:sz w:val="20"/>
          <w:szCs w:val="20"/>
          <w:color w:val="auto"/>
        </w:rPr>
      </w:pPr>
      <w:r>
        <w:rPr>
          <w:rFonts w:ascii="Arial" w:cs="Arial" w:eastAsia="Arial" w:hAnsi="Arial"/>
          <w:sz w:val="14"/>
          <w:szCs w:val="14"/>
          <w:color w:val="auto"/>
        </w:rPr>
        <w:t>APS is not authorized to practice law or provide legal advice. No services provided under this Agreement are intended to be, nor should be construed to be, legal services.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4. Confidentiality</w:t>
      </w:r>
    </w:p>
    <w:p>
      <w:pPr>
        <w:spacing w:after="0" w:line="141" w:lineRule="exact"/>
        <w:rPr>
          <w:sz w:val="20"/>
          <w:szCs w:val="20"/>
          <w:color w:val="auto"/>
        </w:rPr>
      </w:pPr>
    </w:p>
    <w:p>
      <w:pPr>
        <w:jc w:val="both"/>
        <w:spacing w:after="0" w:line="188" w:lineRule="auto"/>
        <w:rPr>
          <w:sz w:val="20"/>
          <w:szCs w:val="20"/>
          <w:color w:val="auto"/>
        </w:rPr>
      </w:pPr>
      <w:r>
        <w:rPr>
          <w:rFonts w:ascii="Arial" w:cs="Arial" w:eastAsia="Arial" w:hAnsi="Arial"/>
          <w:sz w:val="14"/>
          <w:szCs w:val="14"/>
          <w:color w:val="auto"/>
        </w:rPr>
        <w:t>Each party shall use reasonable efforts, but in no event less effort than it would use to protect its own confidential information, to keep confidential all nonpublic confidential or proprietary information obtained from the other party during the performance of APS’ services hereunder (the “Confidential Information”), and neither party will disclose any Confidential Information to any other person or entity. “Confidential Information” includes the terms of this Agreement, non-public confidential and proprietary data, plans, reports, schedules, drawings, accounts, records, calculations, specifications, flow sheets, computer programs, source or object codes, results, models or any work product relating to the business of either party, its subsidiaries, distributors, affiliates, vendors, customers, employees, contractors and consultants.</w:t>
      </w:r>
    </w:p>
    <w:p>
      <w:pPr>
        <w:spacing w:after="0" w:line="111" w:lineRule="exact"/>
        <w:rPr>
          <w:sz w:val="20"/>
          <w:szCs w:val="20"/>
          <w:color w:val="auto"/>
        </w:rPr>
      </w:pPr>
    </w:p>
    <w:p>
      <w:pPr>
        <w:jc w:val="both"/>
        <w:spacing w:after="0" w:line="217" w:lineRule="auto"/>
        <w:rPr>
          <w:sz w:val="20"/>
          <w:szCs w:val="20"/>
          <w:color w:val="auto"/>
        </w:rPr>
      </w:pPr>
      <w:r>
        <w:rPr>
          <w:rFonts w:ascii="Arial" w:cs="Arial" w:eastAsia="Arial" w:hAnsi="Arial"/>
          <w:sz w:val="14"/>
          <w:szCs w:val="14"/>
          <w:color w:val="auto"/>
        </w:rPr>
        <w:t>The foregoing is not intended to prohibit, nor shall it be construed as prohibiting, APS from making such disclosures of Confidential Information that APS reasonably believes are required by law or any regulatory requirement or authority to clear client conflicts. APS may also disclose Confidential Information to its partners, directors, officers, employees, independent contractors and agents who have a need to know the Confidential Information as it relates to the services being provided under this Agreement, provided APS is responsible for any breach</w:t>
      </w:r>
    </w:p>
    <w:p>
      <w:pPr>
        <w:spacing w:after="0" w:line="200" w:lineRule="exact"/>
        <w:rPr>
          <w:sz w:val="20"/>
          <w:szCs w:val="20"/>
          <w:color w:val="auto"/>
        </w:rPr>
      </w:pPr>
    </w:p>
    <w:p>
      <w:pPr>
        <w:sectPr>
          <w:pgSz w:w="11900" w:h="16838" w:orient="portrait"/>
          <w:cols w:equalWidth="0" w:num="2">
            <w:col w:w="5220" w:space="720"/>
            <w:col w:w="5180"/>
          </w:cols>
          <w:pgMar w:left="320" w:top="81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 of 10</w:t>
      </w:r>
    </w:p>
    <w:p>
      <w:pPr>
        <w:sectPr>
          <w:pgSz w:w="11900" w:h="16838" w:orient="portrait"/>
          <w:cols w:equalWidth="0" w:num="1">
            <w:col w:w="11120"/>
          </w:cols>
          <w:pgMar w:left="320" w:top="815" w:right="459" w:bottom="1440" w:gutter="0" w:footer="0" w:header="0"/>
          <w:type w:val="continuous"/>
        </w:sectPr>
      </w:pPr>
    </w:p>
    <w:bookmarkStart w:id="112" w:name="page113"/>
    <w:bookmarkEnd w:id="112"/>
    <w:p>
      <w:pPr>
        <w:jc w:val="center"/>
        <w:ind w:right="-1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225425</wp:posOffset>
            </wp:positionH>
            <wp:positionV relativeFrom="page">
              <wp:posOffset>517525</wp:posOffset>
            </wp:positionV>
            <wp:extent cx="7115175"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15175" cy="205740"/>
                    </a:xfrm>
                    <a:prstGeom prst="rect">
                      <a:avLst/>
                    </a:prstGeom>
                    <a:noFill/>
                  </pic:spPr>
                </pic:pic>
              </a:graphicData>
            </a:graphic>
          </wp:anchor>
        </w:drawing>
        <w:t>AP Services, LLC</w:t>
      </w:r>
    </w:p>
    <w:p>
      <w:pPr>
        <w:jc w:val="center"/>
        <w:ind w:right="-139"/>
        <w:spacing w:after="0"/>
        <w:rPr>
          <w:sz w:val="20"/>
          <w:szCs w:val="20"/>
          <w:color w:val="auto"/>
        </w:rPr>
      </w:pPr>
      <w:r>
        <w:rPr>
          <w:rFonts w:ascii="Arial" w:cs="Arial" w:eastAsia="Arial" w:hAnsi="Arial"/>
          <w:sz w:val="14"/>
          <w:szCs w:val="14"/>
          <w:color w:val="auto"/>
        </w:rPr>
        <w:t>General Terms and Conditions</w:t>
      </w:r>
    </w:p>
    <w:p>
      <w:pPr>
        <w:sectPr>
          <w:pgSz w:w="11900" w:h="16838" w:orient="portrait"/>
          <w:cols w:equalWidth="0" w:num="1">
            <w:col w:w="11120"/>
          </w:cols>
          <w:pgMar w:left="320" w:top="793" w:right="4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188" w:lineRule="auto"/>
        <w:rPr>
          <w:sz w:val="20"/>
          <w:szCs w:val="20"/>
          <w:color w:val="auto"/>
        </w:rPr>
      </w:pPr>
      <w:r>
        <w:rPr>
          <w:rFonts w:ascii="Arial" w:cs="Arial" w:eastAsia="Arial" w:hAnsi="Arial"/>
          <w:sz w:val="14"/>
          <w:szCs w:val="14"/>
          <w:color w:val="auto"/>
        </w:rPr>
        <w:t>of these confidentiality obligations by any such parties. APS may make reasonable disclosures of Confidential Information to third parties, such as the Company’s suppliers and/or vendors, in connection with the performance of APS’ obligations and assignments hereunder, provided APS reasonably believes that such third party is bound by confidentiality obligations. In addition, APS will have the right to disclose to any person that it provided services to the Company or its affiliates and a general description of such services, but shall not provide any other information about its involvement with the Company. The obligations of the parties under this Section 4 shall survive the end of any engagement between the parties for a period of three (3) years.</w:t>
      </w:r>
    </w:p>
    <w:p>
      <w:pPr>
        <w:spacing w:after="0" w:line="116" w:lineRule="exact"/>
        <w:rPr>
          <w:sz w:val="20"/>
          <w:szCs w:val="20"/>
          <w:color w:val="auto"/>
        </w:rPr>
      </w:pPr>
    </w:p>
    <w:p>
      <w:pPr>
        <w:jc w:val="both"/>
        <w:ind w:right="20"/>
        <w:spacing w:after="0" w:line="204" w:lineRule="auto"/>
        <w:rPr>
          <w:sz w:val="20"/>
          <w:szCs w:val="20"/>
          <w:color w:val="auto"/>
        </w:rPr>
      </w:pPr>
      <w:r>
        <w:rPr>
          <w:rFonts w:ascii="Arial" w:cs="Arial" w:eastAsia="Arial" w:hAnsi="Arial"/>
          <w:sz w:val="14"/>
          <w:szCs w:val="14"/>
          <w:color w:val="auto"/>
        </w:rPr>
        <w:t>Work Product (as defined in Section 5) may contain APS proprietary information or other information that is deemed to be Confidential Information for purposes of this Agreement, and the parties may not want to make public. Therefore, the parties acknowledge and agree that (i) all information (written or oral), including advice and Work Product (as defined in Section 5), generated by APS in connection with this engagement is intended solely for the benefit and use of the Company in connection with this Agreement, and (ii) no such information shall be used for any other purpose or disseminated to any third parties, or, quoted or referred to with or without attribution to APS at any time in any manner or for any purpose without APS’ prior approval (not to be unreasonably withheld or delayed), except as required by law. The Company may not rely on any draft or interim Work Product.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 Intellectual Property</w:t>
      </w:r>
    </w:p>
    <w:p>
      <w:pPr>
        <w:spacing w:after="0" w:line="141" w:lineRule="exact"/>
        <w:rPr>
          <w:sz w:val="20"/>
          <w:szCs w:val="20"/>
          <w:color w:val="auto"/>
        </w:rPr>
      </w:pPr>
    </w:p>
    <w:p>
      <w:pPr>
        <w:jc w:val="both"/>
        <w:ind w:right="20"/>
        <w:spacing w:after="0" w:line="190" w:lineRule="auto"/>
        <w:rPr>
          <w:sz w:val="20"/>
          <w:szCs w:val="20"/>
          <w:color w:val="auto"/>
        </w:rPr>
      </w:pPr>
      <w:r>
        <w:rPr>
          <w:rFonts w:ascii="Arial" w:cs="Arial" w:eastAsia="Arial" w:hAnsi="Arial"/>
          <w:sz w:val="14"/>
          <w:szCs w:val="14"/>
          <w:color w:val="auto"/>
        </w:rPr>
        <w:t>All analyses, final reports, presentation materials, and other work product (other than any Engagement Tools, as defined below) that APS creates or develops specifically for the Company and delivers to the Company as part of this engagement (collectively known as “Work Product”) shall be owned by the Company and shall constitute Company Confidential Information as defined above. APS may retain copies of the Work Product and any Confidential Information necessary to support the Work Product subject to its confidentiality obligations in this Agreement.</w:t>
      </w:r>
    </w:p>
    <w:p>
      <w:pPr>
        <w:spacing w:after="0" w:line="114" w:lineRule="exact"/>
        <w:rPr>
          <w:sz w:val="20"/>
          <w:szCs w:val="20"/>
          <w:color w:val="auto"/>
        </w:rPr>
      </w:pPr>
    </w:p>
    <w:p>
      <w:pPr>
        <w:jc w:val="both"/>
        <w:ind w:right="40"/>
        <w:spacing w:after="0" w:line="217" w:lineRule="auto"/>
        <w:rPr>
          <w:sz w:val="20"/>
          <w:szCs w:val="20"/>
          <w:color w:val="auto"/>
        </w:rPr>
      </w:pPr>
      <w:r>
        <w:rPr>
          <w:rFonts w:ascii="Arial" w:cs="Arial" w:eastAsia="Arial" w:hAnsi="Arial"/>
          <w:sz w:val="14"/>
          <w:szCs w:val="14"/>
          <w:color w:val="auto"/>
        </w:rPr>
        <w:t>All methodologies, processes, techniques, ideas, concepts, know-how, procedures, software, tools, templates, models, utilities and other intellectual property that APS has created, acquired or developed or will create, acquire or develop (collectively, “Engagement Tools”), are, and shall be, the sole and exclusive property of APS. The Company shall not acquire any interest in the Engagement Tools other than a limited worldwide, perpetual, non-transferable license to use the Engagement Tools to the extent they are contained in the Work Product.</w:t>
      </w:r>
    </w:p>
    <w:p>
      <w:pPr>
        <w:spacing w:after="0" w:line="115" w:lineRule="exact"/>
        <w:rPr>
          <w:sz w:val="20"/>
          <w:szCs w:val="20"/>
          <w:color w:val="auto"/>
        </w:rPr>
      </w:pPr>
    </w:p>
    <w:p>
      <w:pPr>
        <w:jc w:val="both"/>
        <w:ind w:right="40"/>
        <w:spacing w:after="0"/>
        <w:rPr>
          <w:sz w:val="20"/>
          <w:szCs w:val="20"/>
          <w:color w:val="auto"/>
        </w:rPr>
      </w:pPr>
      <w:r>
        <w:rPr>
          <w:rFonts w:ascii="Arial" w:cs="Arial" w:eastAsia="Arial" w:hAnsi="Arial"/>
          <w:sz w:val="14"/>
          <w:szCs w:val="14"/>
          <w:color w:val="auto"/>
        </w:rPr>
        <w:t>The Company acknowledges and agrees, except as otherwise set forth in this Agreement, that any Engagement Tools provided to the Company are provided “as is” and without any warranty or condition of any kind, express, implied or otherwise, including, implied warranties of merchantability or fitness for a particular 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 Framework of the Engagement</w:t>
      </w:r>
    </w:p>
    <w:p>
      <w:pPr>
        <w:spacing w:after="0" w:line="141" w:lineRule="exact"/>
        <w:rPr>
          <w:sz w:val="20"/>
          <w:szCs w:val="20"/>
          <w:color w:val="auto"/>
        </w:rPr>
      </w:pPr>
    </w:p>
    <w:p>
      <w:pPr>
        <w:jc w:val="both"/>
        <w:spacing w:after="0" w:line="200" w:lineRule="auto"/>
        <w:rPr>
          <w:sz w:val="20"/>
          <w:szCs w:val="20"/>
          <w:color w:val="auto"/>
        </w:rPr>
      </w:pPr>
      <w:r>
        <w:rPr>
          <w:rFonts w:ascii="Arial" w:cs="Arial" w:eastAsia="Arial" w:hAnsi="Arial"/>
          <w:sz w:val="14"/>
          <w:szCs w:val="14"/>
          <w:color w:val="auto"/>
        </w:rPr>
        <w:t>The Company acknowledges that it is retaining APS solely to assist and advise the Company as described in the Agreement. This engagement shall not constitute an audit, review or compilation, or any other type of financial statement reporting engagement.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7. Indemnification and Other Matters</w:t>
      </w:r>
    </w:p>
    <w:p>
      <w:pPr>
        <w:spacing w:after="0" w:line="141" w:lineRule="exact"/>
        <w:rPr>
          <w:sz w:val="20"/>
          <w:szCs w:val="20"/>
          <w:color w:val="auto"/>
        </w:rPr>
      </w:pPr>
    </w:p>
    <w:p>
      <w:pPr>
        <w:jc w:val="both"/>
        <w:spacing w:after="0" w:line="189" w:lineRule="auto"/>
        <w:rPr>
          <w:sz w:val="20"/>
          <w:szCs w:val="20"/>
          <w:color w:val="auto"/>
        </w:rPr>
      </w:pPr>
      <w:r>
        <w:rPr>
          <w:rFonts w:ascii="Arial" w:cs="Arial" w:eastAsia="Arial" w:hAnsi="Arial"/>
          <w:sz w:val="14"/>
          <w:szCs w:val="14"/>
          <w:color w:val="auto"/>
        </w:rPr>
        <w:t>The Company shall indemnify, hold harmless and defend APS and its affiliates and its and their partners, directors, officers, employees and agents (collectively, the “APS Parties”) from and against all claims, liabilities, losses, expenses and damages arising out of or in connection with the engagement of APS that is the subject of the Agreement. The Company shall pay damages and expenses as incurred, including reasonable legal fees and disbursements of counsel. If, in the opinion of counsel, representing both parties in the matter covered by this indemnification creates a potential conflict of interest, the APS Parties may engage separate counsel to represent them at the Company’s expense.</w:t>
      </w:r>
    </w:p>
    <w:p>
      <w:pPr>
        <w:spacing w:after="0" w:line="114" w:lineRule="exact"/>
        <w:rPr>
          <w:sz w:val="20"/>
          <w:szCs w:val="20"/>
          <w:color w:val="auto"/>
        </w:rPr>
      </w:pPr>
    </w:p>
    <w:p>
      <w:pPr>
        <w:jc w:val="both"/>
        <w:spacing w:after="0" w:line="196" w:lineRule="auto"/>
        <w:rPr>
          <w:sz w:val="20"/>
          <w:szCs w:val="20"/>
          <w:color w:val="auto"/>
        </w:rPr>
      </w:pPr>
      <w:r>
        <w:rPr>
          <w:rFonts w:ascii="Arial" w:cs="Arial" w:eastAsia="Arial" w:hAnsi="Arial"/>
          <w:sz w:val="14"/>
          <w:szCs w:val="14"/>
          <w:color w:val="auto"/>
        </w:rPr>
        <w:t>In addition to the above indemnification, APS employees serving as directors or officers of the Company or affiliates will receive the benefit of the most favorable indemnification provisions provided by the Company to its directors, officers and any equivalently placed employees, whether under the Company’s charter or by-laws, by contract or otherwise.</w:t>
      </w:r>
    </w:p>
    <w:p>
      <w:pPr>
        <w:spacing w:after="0" w:line="112" w:lineRule="exact"/>
        <w:rPr>
          <w:sz w:val="20"/>
          <w:szCs w:val="20"/>
          <w:color w:val="auto"/>
        </w:rPr>
      </w:pPr>
    </w:p>
    <w:p>
      <w:pPr>
        <w:jc w:val="both"/>
        <w:spacing w:after="0" w:line="185" w:lineRule="auto"/>
        <w:rPr>
          <w:sz w:val="20"/>
          <w:szCs w:val="20"/>
          <w:color w:val="auto"/>
        </w:rPr>
      </w:pPr>
      <w:r>
        <w:rPr>
          <w:rFonts w:ascii="Arial" w:cs="Arial" w:eastAsia="Arial" w:hAnsi="Arial"/>
          <w:sz w:val="14"/>
          <w:szCs w:val="14"/>
          <w:color w:val="auto"/>
        </w:rPr>
        <w:t>The Company shall specifically include and cover APS employees and agents serving as directors or officers of the Company or affiliates from time to time with direct coverage under the Company’s policy for liability insurance covering its directors, officers and any equivalently placed employees (“D&amp;O insurance”). Prior to APS accepting any officer position, the Company shall, at the request of APS a copy of its current D&amp;O policy, a certificate(s) of insurance evidencing the policy is in full force and effect, and a copy of the signed board resolutions and any other documents as APS may reasonably request evidencing the appointment and coverage of the indemnitees. The Company will maintain such D&amp;O insurance coverage for the period through which claims can be made against such persons. The Company disclaims a right to distribution from the D&amp;O insurance coverage with respect to such persons. In the event that the Company is unable to include APS employees and agents under the Company’s policy or does not have first dollar coverage acceptable to APS in effect for at least $10 million (e.g., there are outstanding or threatened claims against officers and directors alleging prior acts that may give rise to a claim), APS may, at its option, attempt to purchase a separate D&amp;O insurance policy that will cover APS employees and agents only. The cost of the policy shall be invoiced to the Company as an out-of-pocket expense. If APS is unable or unwilling</w:t>
      </w:r>
    </w:p>
    <w:p>
      <w:pPr>
        <w:spacing w:after="0" w:line="794" w:lineRule="exact"/>
        <w:rPr>
          <w:sz w:val="20"/>
          <w:szCs w:val="20"/>
          <w:color w:val="auto"/>
        </w:rPr>
      </w:pPr>
    </w:p>
    <w:p>
      <w:pPr>
        <w:sectPr>
          <w:pgSz w:w="11900" w:h="16838" w:orient="portrait"/>
          <w:cols w:equalWidth="0" w:num="2">
            <w:col w:w="5220" w:space="720"/>
            <w:col w:w="5180"/>
          </w:cols>
          <w:pgMar w:left="320" w:top="793"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 of 10</w:t>
      </w:r>
    </w:p>
    <w:p>
      <w:pPr>
        <w:sectPr>
          <w:pgSz w:w="11900" w:h="16838" w:orient="portrait"/>
          <w:cols w:equalWidth="0" w:num="1">
            <w:col w:w="11120"/>
          </w:cols>
          <w:pgMar w:left="320" w:top="793" w:right="459" w:bottom="1440" w:gutter="0" w:footer="0" w:header="0"/>
          <w:type w:val="continuous"/>
        </w:sectPr>
      </w:pPr>
    </w:p>
    <w:bookmarkStart w:id="113" w:name="page114"/>
    <w:bookmarkEnd w:id="113"/>
    <w:p>
      <w:pPr>
        <w:jc w:val="center"/>
        <w:ind w:right="-9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15175" cy="2311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15175" cy="231140"/>
                    </a:xfrm>
                    <a:prstGeom prst="rect">
                      <a:avLst/>
                    </a:prstGeom>
                    <a:noFill/>
                  </pic:spPr>
                </pic:pic>
              </a:graphicData>
            </a:graphic>
          </wp:anchor>
        </w:drawing>
        <w:t>AP Services, LLC</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General Terms and Conditions</w:t>
      </w:r>
    </w:p>
    <w:p>
      <w:pPr>
        <w:sectPr>
          <w:pgSz w:w="11900" w:h="16838" w:orient="portrait"/>
          <w:cols w:equalWidth="0" w:num="1">
            <w:col w:w="11120"/>
          </w:cols>
          <w:pgMar w:left="320" w:top="815" w:right="4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line="218" w:lineRule="auto"/>
        <w:rPr>
          <w:sz w:val="20"/>
          <w:szCs w:val="20"/>
          <w:color w:val="auto"/>
        </w:rPr>
      </w:pPr>
      <w:r>
        <w:rPr>
          <w:rFonts w:ascii="Arial" w:cs="Arial" w:eastAsia="Arial" w:hAnsi="Arial"/>
          <w:sz w:val="14"/>
          <w:szCs w:val="14"/>
          <w:color w:val="auto"/>
        </w:rPr>
        <w:t>to purchase such D&amp;O insurance, then APS reserves the right to terminate the Agreement.</w:t>
      </w:r>
    </w:p>
    <w:p>
      <w:pPr>
        <w:spacing w:after="0" w:line="113" w:lineRule="exact"/>
        <w:rPr>
          <w:sz w:val="20"/>
          <w:szCs w:val="20"/>
          <w:color w:val="auto"/>
        </w:rPr>
      </w:pPr>
    </w:p>
    <w:p>
      <w:pPr>
        <w:jc w:val="both"/>
        <w:ind w:right="80"/>
        <w:spacing w:after="0" w:line="206" w:lineRule="auto"/>
        <w:rPr>
          <w:sz w:val="20"/>
          <w:szCs w:val="20"/>
          <w:color w:val="auto"/>
        </w:rPr>
      </w:pPr>
      <w:r>
        <w:rPr>
          <w:rFonts w:ascii="Arial" w:cs="Arial" w:eastAsia="Arial" w:hAnsi="Arial"/>
          <w:sz w:val="14"/>
          <w:szCs w:val="14"/>
          <w:color w:val="auto"/>
        </w:rPr>
        <w:t>The Company’s indemnification obligations in this Section 7 shall be primary to, and without allocation against, any similar indemnification obligations that APS may offer to its personnel generally, and the Company’s D&amp;O insurance coverage for the indemnitees shall be specifically primary to, and without allocation against, any other valid and collectible insurance coverage that may apply to the indemnitees (whether provided by APS or otherwise). APS is not responsible for any third-party products or services separately procured by the Company. The Company’s sole and exclusive rights and remedies with respect to any such third party products or services are against the third-party vendor and not against APS, whether or not APS is instrumental in procuring such third-party product or service.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8. Governing Law and Arbitration</w:t>
      </w:r>
    </w:p>
    <w:p>
      <w:pPr>
        <w:spacing w:after="0" w:line="141" w:lineRule="exact"/>
        <w:rPr>
          <w:sz w:val="20"/>
          <w:szCs w:val="20"/>
          <w:color w:val="auto"/>
        </w:rPr>
      </w:pPr>
    </w:p>
    <w:p>
      <w:pPr>
        <w:jc w:val="both"/>
        <w:ind w:right="80"/>
        <w:spacing w:after="0"/>
        <w:rPr>
          <w:sz w:val="20"/>
          <w:szCs w:val="20"/>
          <w:color w:val="auto"/>
        </w:rPr>
      </w:pPr>
      <w:r>
        <w:rPr>
          <w:rFonts w:ascii="Arial" w:cs="Arial" w:eastAsia="Arial" w:hAnsi="Arial"/>
          <w:sz w:val="14"/>
          <w:szCs w:val="14"/>
          <w:color w:val="auto"/>
        </w:rPr>
        <w:t>The Agreement is governed by and shall be construed in accordance with the laws of the State of New York with respect to contracts made and to be performed entirely therein and without regard to choice of law or principles thereof.</w:t>
      </w:r>
    </w:p>
    <w:p>
      <w:pPr>
        <w:spacing w:after="0" w:line="165" w:lineRule="exact"/>
        <w:rPr>
          <w:sz w:val="20"/>
          <w:szCs w:val="20"/>
          <w:color w:val="auto"/>
        </w:rPr>
      </w:pPr>
    </w:p>
    <w:p>
      <w:pPr>
        <w:jc w:val="both"/>
        <w:ind w:right="80"/>
        <w:spacing w:after="0" w:line="209" w:lineRule="auto"/>
        <w:rPr>
          <w:sz w:val="20"/>
          <w:szCs w:val="20"/>
          <w:color w:val="auto"/>
        </w:rPr>
      </w:pPr>
      <w:r>
        <w:rPr>
          <w:rFonts w:ascii="Arial" w:cs="Arial" w:eastAsia="Arial" w:hAnsi="Arial"/>
          <w:sz w:val="14"/>
          <w:szCs w:val="14"/>
          <w:color w:val="auto"/>
        </w:rPr>
        <w:t>Any controversy or claim arising out of or relating to the Agreement, or the breach thereof, shall be settled by arbitration. Each party shall appoint one non-neutral arbitrator. The two party arbitrators shall select a third arbitrator. If within 30 days after their appointment the two party arbitrators do not select a third arbitrator, the third arbitrator shall be selected by the American Arbitration Association (AAA). The arbitration shall be conducted in New York, New York under the AAA’s Commercial Arbitration Rules, and the arbitrators shall issue a reasoned award. The arbitrators may award costs and attorneys’ fees to the prevailing party. Judgment on the award rendered by the arbitrators may be entered in any court having jurisdiction thereof.</w:t>
      </w:r>
    </w:p>
    <w:p>
      <w:pPr>
        <w:spacing w:after="0" w:line="115" w:lineRule="exact"/>
        <w:rPr>
          <w:sz w:val="20"/>
          <w:szCs w:val="20"/>
          <w:color w:val="auto"/>
        </w:rPr>
      </w:pPr>
    </w:p>
    <w:p>
      <w:pPr>
        <w:jc w:val="both"/>
        <w:ind w:right="80"/>
        <w:spacing w:after="0" w:line="200" w:lineRule="auto"/>
        <w:rPr>
          <w:sz w:val="20"/>
          <w:szCs w:val="20"/>
          <w:color w:val="auto"/>
        </w:rPr>
      </w:pPr>
      <w:r>
        <w:rPr>
          <w:rFonts w:ascii="Arial" w:cs="Arial" w:eastAsia="Arial" w:hAnsi="Arial"/>
          <w:sz w:val="14"/>
          <w:szCs w:val="14"/>
          <w:color w:val="auto"/>
        </w:rPr>
        <w:t>Notwithstanding the foregoing, any party may proceed directly to a court of competent jurisdiction to enforce the terms of this Agreement for any claim in connection with (i) the non-payment of Fees or expenses due under this Agreement, or (ii) the non-performance of obligations under Section 7.</w:t>
      </w:r>
    </w:p>
    <w:p>
      <w:pPr>
        <w:spacing w:after="0" w:line="111" w:lineRule="exact"/>
        <w:rPr>
          <w:sz w:val="20"/>
          <w:szCs w:val="20"/>
          <w:color w:val="auto"/>
        </w:rPr>
      </w:pPr>
    </w:p>
    <w:p>
      <w:pPr>
        <w:jc w:val="both"/>
        <w:ind w:right="100"/>
        <w:spacing w:after="0" w:line="218" w:lineRule="auto"/>
        <w:rPr>
          <w:sz w:val="20"/>
          <w:szCs w:val="20"/>
          <w:color w:val="auto"/>
        </w:rPr>
      </w:pPr>
      <w:r>
        <w:rPr>
          <w:rFonts w:ascii="Arial" w:cs="Arial" w:eastAsia="Arial" w:hAnsi="Arial"/>
          <w:sz w:val="14"/>
          <w:szCs w:val="14"/>
          <w:color w:val="auto"/>
        </w:rPr>
        <w:t>In any court proceeding arising out of this Agreement, the parties hereby waive any right to trial by jury.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9. Termination and Survival</w:t>
      </w:r>
    </w:p>
    <w:p>
      <w:pPr>
        <w:spacing w:after="0" w:line="141" w:lineRule="exact"/>
        <w:rPr>
          <w:sz w:val="20"/>
          <w:szCs w:val="20"/>
          <w:color w:val="auto"/>
        </w:rPr>
      </w:pPr>
    </w:p>
    <w:p>
      <w:pPr>
        <w:jc w:val="both"/>
        <w:ind w:right="100"/>
        <w:spacing w:after="0" w:line="232" w:lineRule="auto"/>
        <w:rPr>
          <w:sz w:val="20"/>
          <w:szCs w:val="20"/>
          <w:color w:val="auto"/>
        </w:rPr>
      </w:pPr>
      <w:r>
        <w:rPr>
          <w:rFonts w:ascii="Arial" w:cs="Arial" w:eastAsia="Arial" w:hAnsi="Arial"/>
          <w:sz w:val="14"/>
          <w:szCs w:val="14"/>
          <w:color w:val="auto"/>
        </w:rPr>
        <w:t>The Agreement may be terminated at any time by written notice by one party to the other; provided, however, that notwithstanding such termination APS will be entitled to any Fees and expenses due under the provisions of the Agreement (for fixed fee engagements, fees will be pro rata based on the amount of time completed). Such payment obligation shall inure to the benefit of any successor or assignee of APS.</w:t>
      </w:r>
    </w:p>
    <w:p>
      <w:pPr>
        <w:spacing w:after="0" w:line="113" w:lineRule="exact"/>
        <w:rPr>
          <w:sz w:val="20"/>
          <w:szCs w:val="20"/>
          <w:color w:val="auto"/>
        </w:rPr>
      </w:pPr>
    </w:p>
    <w:p>
      <w:pPr>
        <w:jc w:val="both"/>
        <w:ind w:right="100"/>
        <w:spacing w:after="0" w:line="218" w:lineRule="auto"/>
        <w:rPr>
          <w:sz w:val="20"/>
          <w:szCs w:val="20"/>
          <w:color w:val="auto"/>
        </w:rPr>
      </w:pPr>
      <w:r>
        <w:rPr>
          <w:rFonts w:ascii="Arial" w:cs="Arial" w:eastAsia="Arial" w:hAnsi="Arial"/>
          <w:sz w:val="14"/>
          <w:szCs w:val="14"/>
          <w:color w:val="auto"/>
        </w:rPr>
        <w:t>Additionally, unless the Agreement is terminated by the Company due to APS’ material breach (and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181" w:lineRule="auto"/>
        <w:rPr>
          <w:sz w:val="20"/>
          <w:szCs w:val="20"/>
          <w:color w:val="auto"/>
        </w:rPr>
      </w:pPr>
      <w:r>
        <w:rPr>
          <w:rFonts w:ascii="Arial" w:cs="Arial" w:eastAsia="Arial" w:hAnsi="Arial"/>
          <w:sz w:val="14"/>
          <w:szCs w:val="14"/>
          <w:color w:val="auto"/>
        </w:rPr>
        <w:t>material breach continues after 30 days’ written notice thereof and opportunity to cure) APS shall remain entitled to the success fee(s), if any, that otherwise would be payable during the 12 months after the date of termination of the Agreement.</w:t>
      </w:r>
    </w:p>
    <w:p>
      <w:pPr>
        <w:jc w:val="both"/>
        <w:spacing w:after="0" w:line="206" w:lineRule="auto"/>
        <w:rPr>
          <w:sz w:val="20"/>
          <w:szCs w:val="20"/>
          <w:color w:val="auto"/>
        </w:rPr>
      </w:pPr>
      <w:r>
        <w:rPr>
          <w:rFonts w:ascii="Arial" w:cs="Arial" w:eastAsia="Arial" w:hAnsi="Arial"/>
          <w:sz w:val="14"/>
          <w:szCs w:val="14"/>
          <w:color w:val="auto"/>
        </w:rPr>
        <w:t>Sections 2, 4, 5, 7, 8, 9, 10, 11, 12 and 13 of these Terms, the provisions of Schedule 1 and the obligation to pay accrued fees and expenses shall survive the expiration or termination of the Agreement.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10. Non-Solicitation of Employees</w:t>
      </w:r>
    </w:p>
    <w:p>
      <w:pPr>
        <w:spacing w:after="0" w:line="141" w:lineRule="exact"/>
        <w:rPr>
          <w:sz w:val="20"/>
          <w:szCs w:val="20"/>
          <w:color w:val="auto"/>
        </w:rPr>
      </w:pPr>
    </w:p>
    <w:p>
      <w:pPr>
        <w:jc w:val="both"/>
        <w:spacing w:after="0" w:line="191" w:lineRule="auto"/>
        <w:rPr>
          <w:sz w:val="20"/>
          <w:szCs w:val="20"/>
          <w:color w:val="auto"/>
        </w:rPr>
      </w:pPr>
      <w:r>
        <w:rPr>
          <w:rFonts w:ascii="Arial" w:cs="Arial" w:eastAsia="Arial" w:hAnsi="Arial"/>
          <w:sz w:val="14"/>
          <w:szCs w:val="14"/>
          <w:color w:val="auto"/>
        </w:rPr>
        <w:t>The Company acknowledges and agrees that APS has made a significant monetary investment recruiting, hiring and training its personnel. During the term of this Agreement and for a period of two years after the final invoice is rendered by APS with respect to this engagement (the “Restrictive Period”), the Company and its affiliates agree not to directly or indirectly hire, contract with, or solicit the employment of any of APS’ Managing Directors, Directors, or other employees/ contractors.</w:t>
      </w:r>
    </w:p>
    <w:p>
      <w:pPr>
        <w:spacing w:after="0" w:line="116" w:lineRule="exact"/>
        <w:rPr>
          <w:sz w:val="20"/>
          <w:szCs w:val="20"/>
          <w:color w:val="auto"/>
        </w:rPr>
      </w:pPr>
    </w:p>
    <w:p>
      <w:pPr>
        <w:jc w:val="both"/>
        <w:spacing w:after="0" w:line="186" w:lineRule="auto"/>
        <w:rPr>
          <w:sz w:val="20"/>
          <w:szCs w:val="20"/>
          <w:color w:val="auto"/>
        </w:rPr>
      </w:pPr>
      <w:r>
        <w:rPr>
          <w:rFonts w:ascii="Arial" w:cs="Arial" w:eastAsia="Arial" w:hAnsi="Arial"/>
          <w:sz w:val="14"/>
          <w:szCs w:val="14"/>
          <w:color w:val="auto"/>
        </w:rPr>
        <w:t>If during the Restrictive Period the Company or its affiliates directly or indirectly hires or contracts with any of APS’ Managing Directors, Directors, or other employees/contractors in violation of the preceding paragraph, the Company agrees to pay to APS as liquidated damages and not as a penalty the sum total of: (i) for a Managing Director, $1,000,000; (ii) for a Director, $500,000; and (iii) for any other employee/contractor, $250,000. The Company acknowledges and agrees that liquidated damages in such amounts are (x) fair, reasonable and necessary under the circumstances to reimburse APS for the costs of recruiting, hiring and training its employees as well as the lost profits and opportunity costs related to such personnel, and to protect the significant investment that APS has made in its Managing Directors, Directors, and other employees/ consultants; and (y) appropriate due to the difficulty of calculating the exact amount and value of that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11. Limitation of Liability</w:t>
      </w:r>
    </w:p>
    <w:p>
      <w:pPr>
        <w:spacing w:after="0" w:line="141" w:lineRule="exact"/>
        <w:rPr>
          <w:sz w:val="20"/>
          <w:szCs w:val="20"/>
          <w:color w:val="auto"/>
        </w:rPr>
      </w:pPr>
    </w:p>
    <w:p>
      <w:pPr>
        <w:jc w:val="both"/>
        <w:spacing w:after="0" w:line="186" w:lineRule="auto"/>
        <w:rPr>
          <w:sz w:val="20"/>
          <w:szCs w:val="20"/>
          <w:color w:val="auto"/>
        </w:rPr>
      </w:pPr>
      <w:r>
        <w:rPr>
          <w:rFonts w:ascii="Arial" w:cs="Arial" w:eastAsia="Arial" w:hAnsi="Arial"/>
          <w:sz w:val="14"/>
          <w:szCs w:val="14"/>
          <w:color w:val="auto"/>
        </w:rPr>
        <w:t>THE APS PARTIES SHALL NOT BE LIABLE TO THE COMPANY, OR ANY PARTY ASSERTING CLAIMS ON BEHALF OF THE COMPANY, EXCEPT FOR DIRECT DAMAGES FOUND IN A FINAL DETERMINATION TO BE THE DIRECT RESULT OF THE GROSS NEGLIGENCE, BAD FAITH, SELF-DEALING OR INTENTIONAL MISCONDUCT OF APS PARTIES SHALL NOT BE LIABLE FOR INCIDENTAL, CONSEQUENTIAL OR SPECIAL DAMAGES, LOST PROFITS, LOST DATA, REPUTATIONAL DAMAGES, PUNITIVE DAMAGES OR ANY OTHER SIMILAR DAMAGES UNDER ANY CIRCUMSTANCES, EVEN IF THEY HAVE BEEN ADVISED OF THE POSSIBILITY OF SUCH DAMAGES. THE APS PARTIES’ AGGREGATE LIABILITY, WHETHER IN TORT, CONTRACT, OR OTHERWISE, IS LIMITED TO THE AMOUNT OF FEES PAID TO APS FOR SERVICES UNDER THIS AGREEMENT (OR IF THE CLAIM ARISES FROM AN ADDENDUM TO THIS AGREEMENT, UNDER THE</w:t>
      </w:r>
    </w:p>
    <w:p>
      <w:pPr>
        <w:spacing w:after="0" w:line="692" w:lineRule="exact"/>
        <w:rPr>
          <w:sz w:val="20"/>
          <w:szCs w:val="20"/>
          <w:color w:val="auto"/>
        </w:rPr>
      </w:pPr>
    </w:p>
    <w:p>
      <w:pPr>
        <w:sectPr>
          <w:pgSz w:w="11900" w:h="16838" w:orient="portrait"/>
          <w:cols w:equalWidth="0" w:num="2">
            <w:col w:w="5280" w:space="660"/>
            <w:col w:w="5180"/>
          </w:cols>
          <w:pgMar w:left="320" w:top="81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 of 10</w:t>
      </w:r>
    </w:p>
    <w:p>
      <w:pPr>
        <w:sectPr>
          <w:pgSz w:w="11900" w:h="16838" w:orient="portrait"/>
          <w:cols w:equalWidth="0" w:num="1">
            <w:col w:w="11120"/>
          </w:cols>
          <w:pgMar w:left="320" w:top="815" w:right="459" w:bottom="1440" w:gutter="0" w:footer="0" w:header="0"/>
          <w:type w:val="continuous"/>
        </w:sectPr>
      </w:pPr>
    </w:p>
    <w:bookmarkStart w:id="114" w:name="page115"/>
    <w:bookmarkEnd w:id="114"/>
    <w:p>
      <w:pPr>
        <w:jc w:val="center"/>
        <w:ind w:right="-1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225425</wp:posOffset>
            </wp:positionH>
            <wp:positionV relativeFrom="page">
              <wp:posOffset>517525</wp:posOffset>
            </wp:positionV>
            <wp:extent cx="7115175" cy="2317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5175" cy="231775"/>
                    </a:xfrm>
                    <a:prstGeom prst="rect">
                      <a:avLst/>
                    </a:prstGeom>
                    <a:noFill/>
                  </pic:spPr>
                </pic:pic>
              </a:graphicData>
            </a:graphic>
          </wp:anchor>
        </w:drawing>
        <w:t>AP Services, LLC</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General Terms and Conditions</w:t>
      </w:r>
    </w:p>
    <w:p>
      <w:pPr>
        <w:sectPr>
          <w:pgSz w:w="11900" w:h="16838" w:orient="portrait"/>
          <w:cols w:equalWidth="0" w:num="1">
            <w:col w:w="11120"/>
          </w:cols>
          <w:pgMar w:left="320" w:top="815" w:right="4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09" w:lineRule="auto"/>
        <w:rPr>
          <w:sz w:val="20"/>
          <w:szCs w:val="20"/>
          <w:color w:val="auto"/>
        </w:rPr>
      </w:pPr>
      <w:r>
        <w:rPr>
          <w:rFonts w:ascii="Arial" w:cs="Arial" w:eastAsia="Arial" w:hAnsi="Arial"/>
          <w:sz w:val="14"/>
          <w:szCs w:val="14"/>
          <w:color w:val="auto"/>
        </w:rPr>
        <w:t>APPLICABLE ADDENDUM) (THE “LIABILITY CAP”). The Liability Cap is the total limit of the APS Parties’ aggregate liability for any and all claims or demands by anyone pursuant to this Agreement, including liability to the Company, to any other parties hereto, and to any others making claims relating to the work performed by APS pursuant to this Agreement. Any such claimants shall allocate any amounts payable by the APS Parties among themselves as appropriate, but if they cannot agree on the allocation it will not affect the enforceability of the Liability Cap. Under no circumstances shall the aggregate of all such allocations or other claims against the APS Parties pursuant to this Agreement exceed the Liability Cap.</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 General</w:t>
      </w:r>
    </w:p>
    <w:p>
      <w:pPr>
        <w:spacing w:after="0" w:line="123" w:lineRule="exact"/>
        <w:rPr>
          <w:sz w:val="20"/>
          <w:szCs w:val="20"/>
          <w:color w:val="auto"/>
        </w:rPr>
      </w:pPr>
    </w:p>
    <w:p>
      <w:pPr>
        <w:jc w:val="both"/>
        <w:ind w:right="40"/>
        <w:spacing w:after="0" w:line="195" w:lineRule="auto"/>
        <w:rPr>
          <w:sz w:val="20"/>
          <w:szCs w:val="20"/>
          <w:color w:val="auto"/>
        </w:rPr>
      </w:pPr>
      <w:r>
        <w:rPr>
          <w:rFonts w:ascii="Arial" w:cs="Arial" w:eastAsia="Arial" w:hAnsi="Arial"/>
          <w:sz w:val="14"/>
          <w:szCs w:val="14"/>
          <w:b w:val="1"/>
          <w:bCs w:val="1"/>
          <w:color w:val="auto"/>
        </w:rPr>
        <w:t xml:space="preserve">Equitable Remedies. </w:t>
      </w:r>
      <w:r>
        <w:rPr>
          <w:rFonts w:ascii="Arial" w:cs="Arial" w:eastAsia="Arial" w:hAnsi="Arial"/>
          <w:sz w:val="14"/>
          <w:szCs w:val="14"/>
          <w:color w:val="auto"/>
        </w:rPr>
        <w:t>Each party acknowledges and agrees that money</w:t>
      </w:r>
      <w:r>
        <w:rPr>
          <w:rFonts w:ascii="Arial" w:cs="Arial" w:eastAsia="Arial" w:hAnsi="Arial"/>
          <w:sz w:val="14"/>
          <w:szCs w:val="14"/>
          <w:b w:val="1"/>
          <w:bCs w:val="1"/>
          <w:color w:val="auto"/>
        </w:rPr>
        <w:t xml:space="preserve"> </w:t>
      </w:r>
      <w:r>
        <w:rPr>
          <w:rFonts w:ascii="Arial" w:cs="Arial" w:eastAsia="Arial" w:hAnsi="Arial"/>
          <w:sz w:val="14"/>
          <w:szCs w:val="14"/>
          <w:color w:val="auto"/>
        </w:rPr>
        <w:t>damages alone may not be an adequate remedy for a breach of the Agreement. Each party agrees that the non-breaching party shall have the right to seek a restraining order and/or an injunction for any breach of the Agreement. If any provision of the Agreement is found to be invalid or unenforceable, then it shall be deemed modified or restricted to the extent and in the manner necessary to render the same valid and enforceable.</w:t>
      </w:r>
    </w:p>
    <w:p>
      <w:pPr>
        <w:spacing w:after="0" w:line="97" w:lineRule="exact"/>
        <w:rPr>
          <w:sz w:val="20"/>
          <w:szCs w:val="20"/>
          <w:color w:val="auto"/>
        </w:rPr>
      </w:pPr>
    </w:p>
    <w:p>
      <w:pPr>
        <w:jc w:val="both"/>
        <w:ind w:right="20"/>
        <w:spacing w:after="0" w:line="215" w:lineRule="auto"/>
        <w:rPr>
          <w:sz w:val="20"/>
          <w:szCs w:val="20"/>
          <w:color w:val="auto"/>
        </w:rPr>
      </w:pPr>
      <w:r>
        <w:rPr>
          <w:rFonts w:ascii="Arial" w:cs="Arial" w:eastAsia="Arial" w:hAnsi="Arial"/>
          <w:sz w:val="14"/>
          <w:szCs w:val="14"/>
          <w:b w:val="1"/>
          <w:bCs w:val="1"/>
          <w:color w:val="auto"/>
        </w:rPr>
        <w:t xml:space="preserve">Severability. </w:t>
      </w:r>
      <w:r>
        <w:rPr>
          <w:rFonts w:ascii="Arial" w:cs="Arial" w:eastAsia="Arial" w:hAnsi="Arial"/>
          <w:sz w:val="14"/>
          <w:szCs w:val="14"/>
          <w:color w:val="auto"/>
        </w:rPr>
        <w:t>If any portion of the Agreement shall be determined to be invalid or</w:t>
      </w:r>
      <w:r>
        <w:rPr>
          <w:rFonts w:ascii="Arial" w:cs="Arial" w:eastAsia="Arial" w:hAnsi="Arial"/>
          <w:sz w:val="14"/>
          <w:szCs w:val="14"/>
          <w:b w:val="1"/>
          <w:bCs w:val="1"/>
          <w:color w:val="auto"/>
        </w:rPr>
        <w:t xml:space="preserve"> </w:t>
      </w:r>
      <w:r>
        <w:rPr>
          <w:rFonts w:ascii="Arial" w:cs="Arial" w:eastAsia="Arial" w:hAnsi="Arial"/>
          <w:sz w:val="14"/>
          <w:szCs w:val="14"/>
          <w:color w:val="auto"/>
        </w:rPr>
        <w:t>unenforceable, the remainder shall be valid and enforceable to the maximum extent possible.</w:t>
      </w:r>
    </w:p>
    <w:p>
      <w:pPr>
        <w:spacing w:after="0" w:line="94" w:lineRule="exact"/>
        <w:rPr>
          <w:sz w:val="20"/>
          <w:szCs w:val="20"/>
          <w:color w:val="auto"/>
        </w:rPr>
      </w:pPr>
    </w:p>
    <w:p>
      <w:pPr>
        <w:jc w:val="both"/>
        <w:ind w:right="20"/>
        <w:spacing w:after="0" w:line="192" w:lineRule="auto"/>
        <w:rPr>
          <w:sz w:val="20"/>
          <w:szCs w:val="20"/>
          <w:color w:val="auto"/>
        </w:rPr>
      </w:pPr>
      <w:r>
        <w:rPr>
          <w:rFonts w:ascii="Arial" w:cs="Arial" w:eastAsia="Arial" w:hAnsi="Arial"/>
          <w:sz w:val="14"/>
          <w:szCs w:val="14"/>
          <w:b w:val="1"/>
          <w:bCs w:val="1"/>
          <w:color w:val="auto"/>
        </w:rPr>
        <w:t xml:space="preserve">Entire Agreement. </w:t>
      </w:r>
      <w:r>
        <w:rPr>
          <w:rFonts w:ascii="Arial" w:cs="Arial" w:eastAsia="Arial" w:hAnsi="Arial"/>
          <w:sz w:val="14"/>
          <w:szCs w:val="14"/>
          <w:color w:val="auto"/>
        </w:rPr>
        <w:t>This Agreement, including the letter, the Terms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schedule(s), contains the entire understanding of the parties relating to the services to be rendered by APS and supersedes any other communications, agreements, understandings, representations, or estimates among the parties (relating to the subject matter hereof) with respect to such services. The Agreement, including the letter, the Terms and the schedule(s), may not be amended or modified in any respect except in a writing signed by the parties. APS is not responsible for performing any services not specifically described herein or in a subsequent writing signed by the parties.</w:t>
      </w:r>
    </w:p>
    <w:p>
      <w:pPr>
        <w:spacing w:after="0" w:line="96" w:lineRule="exact"/>
        <w:rPr>
          <w:sz w:val="20"/>
          <w:szCs w:val="20"/>
          <w:color w:val="auto"/>
        </w:rPr>
      </w:pPr>
    </w:p>
    <w:p>
      <w:pPr>
        <w:jc w:val="both"/>
        <w:ind w:right="40"/>
        <w:spacing w:after="0" w:line="198" w:lineRule="auto"/>
        <w:rPr>
          <w:sz w:val="20"/>
          <w:szCs w:val="20"/>
          <w:color w:val="auto"/>
        </w:rPr>
      </w:pPr>
      <w:r>
        <w:rPr>
          <w:rFonts w:ascii="Arial" w:cs="Arial" w:eastAsia="Arial" w:hAnsi="Arial"/>
          <w:sz w:val="14"/>
          <w:szCs w:val="14"/>
          <w:b w:val="1"/>
          <w:bCs w:val="1"/>
          <w:color w:val="auto"/>
        </w:rPr>
        <w:t xml:space="preserve">Related Matters. </w:t>
      </w:r>
      <w:r>
        <w:rPr>
          <w:rFonts w:ascii="Arial" w:cs="Arial" w:eastAsia="Arial" w:hAnsi="Arial"/>
          <w:sz w:val="14"/>
          <w:szCs w:val="14"/>
          <w:color w:val="auto"/>
        </w:rPr>
        <w:t>If an APS Party is required by applicable law, legal process or</w:t>
      </w:r>
      <w:r>
        <w:rPr>
          <w:rFonts w:ascii="Arial" w:cs="Arial" w:eastAsia="Arial" w:hAnsi="Arial"/>
          <w:sz w:val="14"/>
          <w:szCs w:val="14"/>
          <w:b w:val="1"/>
          <w:bCs w:val="1"/>
          <w:color w:val="auto"/>
        </w:rPr>
        <w:t xml:space="preserve"> </w:t>
      </w:r>
      <w:r>
        <w:rPr>
          <w:rFonts w:ascii="Arial" w:cs="Arial" w:eastAsia="Arial" w:hAnsi="Arial"/>
          <w:sz w:val="14"/>
          <w:szCs w:val="14"/>
          <w:color w:val="auto"/>
        </w:rPr>
        <w:t>government action to produce information or testimony as a witness with respect to this Agreement, the Company shall reimburse APS for any professional time and expenses (including reasonable external and internal legal costs and e-discovery costs) incurred to respond to the request, except in cases where an APS Party is a party to the proceeding or the subject of the investigation.</w:t>
      </w:r>
    </w:p>
    <w:p>
      <w:pPr>
        <w:spacing w:after="0" w:line="94" w:lineRule="exact"/>
        <w:rPr>
          <w:sz w:val="20"/>
          <w:szCs w:val="20"/>
          <w:color w:val="auto"/>
        </w:rPr>
      </w:pPr>
    </w:p>
    <w:p>
      <w:pPr>
        <w:jc w:val="both"/>
        <w:ind w:right="40"/>
        <w:spacing w:after="0" w:line="198" w:lineRule="auto"/>
        <w:rPr>
          <w:sz w:val="20"/>
          <w:szCs w:val="20"/>
          <w:color w:val="auto"/>
        </w:rPr>
      </w:pPr>
      <w:r>
        <w:rPr>
          <w:rFonts w:ascii="Arial" w:cs="Arial" w:eastAsia="Arial" w:hAnsi="Arial"/>
          <w:sz w:val="14"/>
          <w:szCs w:val="14"/>
          <w:b w:val="1"/>
          <w:bCs w:val="1"/>
          <w:color w:val="auto"/>
        </w:rPr>
        <w:t xml:space="preserve">Joint and Several. </w:t>
      </w:r>
      <w:r>
        <w:rPr>
          <w:rFonts w:ascii="Arial" w:cs="Arial" w:eastAsia="Arial" w:hAnsi="Arial"/>
          <w:sz w:val="14"/>
          <w:szCs w:val="14"/>
          <w:color w:val="auto"/>
        </w:rPr>
        <w:t>If more than one party signs this Agreement, the liability of</w:t>
      </w:r>
      <w:r>
        <w:rPr>
          <w:rFonts w:ascii="Arial" w:cs="Arial" w:eastAsia="Arial" w:hAnsi="Arial"/>
          <w:sz w:val="14"/>
          <w:szCs w:val="14"/>
          <w:b w:val="1"/>
          <w:bCs w:val="1"/>
          <w:color w:val="auto"/>
        </w:rPr>
        <w:t xml:space="preserve"> </w:t>
      </w:r>
      <w:r>
        <w:rPr>
          <w:rFonts w:ascii="Arial" w:cs="Arial" w:eastAsia="Arial" w:hAnsi="Arial"/>
          <w:sz w:val="14"/>
          <w:szCs w:val="14"/>
          <w:color w:val="auto"/>
        </w:rPr>
        <w:t>each party shall be joint and several. In addition, in the event more than one entity is included in the definition of Company under this Agreement, the Company shall cause each other entity which is included in the definition of Company to be jointly and severally liable for the Company’s liabilities and obligations set forth in this Agreement.</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jc w:val="both"/>
        <w:spacing w:after="0" w:line="232" w:lineRule="auto"/>
        <w:rPr>
          <w:sz w:val="20"/>
          <w:szCs w:val="20"/>
          <w:color w:val="auto"/>
        </w:rPr>
      </w:pPr>
      <w:r>
        <w:rPr>
          <w:rFonts w:ascii="Arial" w:cs="Arial" w:eastAsia="Arial" w:hAnsi="Arial"/>
          <w:sz w:val="14"/>
          <w:szCs w:val="14"/>
          <w:b w:val="1"/>
          <w:bCs w:val="1"/>
          <w:color w:val="auto"/>
        </w:rPr>
        <w:t xml:space="preserve">Third-Party Beneficiaries. </w:t>
      </w:r>
      <w:r>
        <w:rPr>
          <w:rFonts w:ascii="Arial" w:cs="Arial" w:eastAsia="Arial" w:hAnsi="Arial"/>
          <w:sz w:val="14"/>
          <w:szCs w:val="14"/>
          <w:color w:val="auto"/>
        </w:rPr>
        <w:t>The APS Parties shall be third-party beneficiaries</w:t>
      </w:r>
      <w:r>
        <w:rPr>
          <w:rFonts w:ascii="Arial" w:cs="Arial" w:eastAsia="Arial" w:hAnsi="Arial"/>
          <w:sz w:val="14"/>
          <w:szCs w:val="14"/>
          <w:b w:val="1"/>
          <w:bCs w:val="1"/>
          <w:color w:val="auto"/>
        </w:rPr>
        <w:t xml:space="preserve"> </w:t>
      </w:r>
      <w:r>
        <w:rPr>
          <w:rFonts w:ascii="Arial" w:cs="Arial" w:eastAsia="Arial" w:hAnsi="Arial"/>
          <w:sz w:val="14"/>
          <w:szCs w:val="14"/>
          <w:color w:val="auto"/>
        </w:rPr>
        <w:t>with respect to Section 7 hereof.</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b w:val="1"/>
          <w:bCs w:val="1"/>
          <w:color w:val="auto"/>
        </w:rPr>
        <w:t xml:space="preserve">Notices. </w:t>
      </w:r>
      <w:r>
        <w:rPr>
          <w:rFonts w:ascii="Arial" w:cs="Arial" w:eastAsia="Arial" w:hAnsi="Arial"/>
          <w:sz w:val="14"/>
          <w:szCs w:val="14"/>
          <w:color w:val="auto"/>
        </w:rPr>
        <w:t>All notices required or permitted to be delivered under the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sent, if to APS, to:</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AlixPartners, LLP</w:t>
      </w:r>
    </w:p>
    <w:p>
      <w:pPr>
        <w:ind w:left="260"/>
        <w:spacing w:after="0" w:line="181" w:lineRule="auto"/>
        <w:rPr>
          <w:sz w:val="20"/>
          <w:szCs w:val="20"/>
          <w:color w:val="auto"/>
        </w:rPr>
      </w:pPr>
      <w:r>
        <w:rPr>
          <w:rFonts w:ascii="Arial" w:cs="Arial" w:eastAsia="Arial" w:hAnsi="Arial"/>
          <w:sz w:val="14"/>
          <w:szCs w:val="14"/>
          <w:color w:val="auto"/>
        </w:rPr>
        <w:t>2000 Town Center, Suite 2400</w:t>
      </w:r>
    </w:p>
    <w:p>
      <w:pPr>
        <w:ind w:left="260"/>
        <w:spacing w:after="0" w:line="181" w:lineRule="auto"/>
        <w:rPr>
          <w:sz w:val="20"/>
          <w:szCs w:val="20"/>
          <w:color w:val="auto"/>
        </w:rPr>
      </w:pPr>
      <w:r>
        <w:rPr>
          <w:rFonts w:ascii="Arial" w:cs="Arial" w:eastAsia="Arial" w:hAnsi="Arial"/>
          <w:sz w:val="14"/>
          <w:szCs w:val="14"/>
          <w:color w:val="auto"/>
        </w:rPr>
        <w:t>Southfield, MI 48075</w:t>
      </w:r>
    </w:p>
    <w:p>
      <w:pPr>
        <w:ind w:left="260"/>
        <w:spacing w:after="0"/>
        <w:rPr>
          <w:sz w:val="20"/>
          <w:szCs w:val="20"/>
          <w:color w:val="auto"/>
        </w:rPr>
      </w:pPr>
      <w:r>
        <w:rPr>
          <w:rFonts w:ascii="Arial" w:cs="Arial" w:eastAsia="Arial" w:hAnsi="Arial"/>
          <w:sz w:val="14"/>
          <w:szCs w:val="14"/>
          <w:color w:val="auto"/>
        </w:rPr>
        <w:t>Attention: General Counsel</w:t>
      </w:r>
    </w:p>
    <w:p>
      <w:pPr>
        <w:spacing w:after="0" w:line="123" w:lineRule="exact"/>
        <w:rPr>
          <w:sz w:val="20"/>
          <w:szCs w:val="20"/>
          <w:color w:val="auto"/>
        </w:rPr>
      </w:pPr>
    </w:p>
    <w:p>
      <w:pPr>
        <w:jc w:val="both"/>
        <w:spacing w:after="0" w:line="196" w:lineRule="auto"/>
        <w:rPr>
          <w:sz w:val="20"/>
          <w:szCs w:val="20"/>
          <w:color w:val="auto"/>
        </w:rPr>
      </w:pPr>
      <w:r>
        <w:rPr>
          <w:rFonts w:ascii="Arial" w:cs="Arial" w:eastAsia="Arial" w:hAnsi="Arial"/>
          <w:sz w:val="14"/>
          <w:szCs w:val="14"/>
          <w:color w:val="auto"/>
        </w:rPr>
        <w:t>and if to the Company, to the address set forth in the Agreement, to the attention of the Company’s General Counsel, or to such other name or address as may be given in writing to APS. All notices under the Agreement shall be sufficient only if delivered by overnight mail. Any notice shall be deemed to be given only upon actual receipt.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13. Data Protection</w:t>
      </w:r>
    </w:p>
    <w:p>
      <w:pPr>
        <w:spacing w:after="0" w:line="141" w:lineRule="exact"/>
        <w:rPr>
          <w:sz w:val="20"/>
          <w:szCs w:val="20"/>
          <w:color w:val="auto"/>
        </w:rPr>
      </w:pPr>
    </w:p>
    <w:p>
      <w:pPr>
        <w:jc w:val="both"/>
        <w:spacing w:after="0" w:line="196" w:lineRule="auto"/>
        <w:rPr>
          <w:sz w:val="20"/>
          <w:szCs w:val="20"/>
          <w:color w:val="auto"/>
        </w:rPr>
      </w:pPr>
      <w:r>
        <w:rPr>
          <w:rFonts w:ascii="Arial" w:cs="Arial" w:eastAsia="Arial" w:hAnsi="Arial"/>
          <w:sz w:val="14"/>
          <w:szCs w:val="14"/>
          <w:color w:val="auto"/>
        </w:rPr>
        <w:t>All capitalized terms used in this Section and not otherwise defined in this Agreement shall have the meanings given to them in the General Data Protection Regulation ((EU) 2016/679) (the “GDPR”) or such other applicable data protection laws, including those of the United States (together the “Applicable Data Protection Legislation”).</w:t>
      </w:r>
    </w:p>
    <w:p>
      <w:pPr>
        <w:spacing w:after="0" w:line="112" w:lineRule="exact"/>
        <w:rPr>
          <w:sz w:val="20"/>
          <w:szCs w:val="20"/>
          <w:color w:val="auto"/>
        </w:rPr>
      </w:pPr>
    </w:p>
    <w:p>
      <w:pPr>
        <w:jc w:val="both"/>
        <w:ind w:firstLine="3"/>
        <w:spacing w:after="0" w:line="181" w:lineRule="auto"/>
        <w:tabs>
          <w:tab w:leader="none" w:pos="2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Processing of Personal Data. The parties acknowledge and agree that, in performing services pursuant to this Agreement, APS may from time to time be required to Process Personal Data on behalf of the Company. APS acknowledges that due to certain mandatory data protection laws, the handling of Personal Data is subject to certain legal requirements. In such cases: (1) the Company will ensure that it is lawfully permitted to transfer the Personal Data to APS for the purposes of APS performing the Services under this Agreement; and</w:t>
      </w:r>
    </w:p>
    <w:p>
      <w:pPr>
        <w:jc w:val="both"/>
        <w:spacing w:after="0" w:line="187" w:lineRule="auto"/>
        <w:rPr>
          <w:rFonts w:ascii="Arial" w:cs="Arial" w:eastAsia="Arial" w:hAnsi="Arial"/>
          <w:sz w:val="14"/>
          <w:szCs w:val="14"/>
          <w:color w:val="auto"/>
        </w:rPr>
      </w:pPr>
      <w:r>
        <w:rPr>
          <w:rFonts w:ascii="Arial" w:cs="Arial" w:eastAsia="Arial" w:hAnsi="Arial"/>
          <w:sz w:val="14"/>
          <w:szCs w:val="14"/>
          <w:color w:val="auto"/>
        </w:rPr>
        <w:t>(2) APS shall (i) act as the Company’s Data Processor or Service Provider for the purposes of the Applicable Data Protection Legislation; (ii) only Process such Personal Data in accordance with the Company’s written instructions (including when making an international transfer of Personal Data) unless required to do otherwise by law; (iii) implement appropriate technical and organizational measures to reasonably protect that Personal Data against unauthorized or unlawful Processing and accidental, unauthorized or unlawful loss, destruction, alteration, damage, disclosure or access; and (iv) where applicable, inform all its employees, agents and/or approved sub-processors engaged in processing the Personal Data of the confidential nature of the Personal Data, and shall ensure that all such persons are bound to a duty of confidentiality, or are under an appropriate statutory obligation of confidentiality.</w:t>
      </w:r>
    </w:p>
    <w:p>
      <w:pPr>
        <w:spacing w:after="0" w:line="114" w:lineRule="exact"/>
        <w:rPr>
          <w:rFonts w:ascii="Arial" w:cs="Arial" w:eastAsia="Arial" w:hAnsi="Arial"/>
          <w:sz w:val="14"/>
          <w:szCs w:val="14"/>
          <w:color w:val="auto"/>
        </w:rPr>
      </w:pPr>
    </w:p>
    <w:p>
      <w:pPr>
        <w:jc w:val="both"/>
        <w:ind w:firstLine="3"/>
        <w:spacing w:after="0" w:line="206" w:lineRule="auto"/>
        <w:tabs>
          <w:tab w:leader="none" w:pos="235"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Compliance with Applicable Data Protection Legislation. APS and the Company shall each comply with all relevant provisions of the Applicable Data Protection Legislation, and the nature and extent of</w:t>
      </w:r>
    </w:p>
    <w:p>
      <w:pPr>
        <w:spacing w:after="0" w:line="200" w:lineRule="exact"/>
        <w:rPr>
          <w:sz w:val="20"/>
          <w:szCs w:val="20"/>
          <w:color w:val="auto"/>
        </w:rPr>
      </w:pPr>
    </w:p>
    <w:p>
      <w:pPr>
        <w:sectPr>
          <w:pgSz w:w="11900" w:h="16838" w:orient="portrait"/>
          <w:cols w:equalWidth="0" w:num="2">
            <w:col w:w="5220" w:space="720"/>
            <w:col w:w="5180"/>
          </w:cols>
          <w:pgMar w:left="320" w:top="81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 of 10</w:t>
      </w:r>
    </w:p>
    <w:p>
      <w:pPr>
        <w:sectPr>
          <w:pgSz w:w="11900" w:h="16838" w:orient="portrait"/>
          <w:cols w:equalWidth="0" w:num="1">
            <w:col w:w="11120"/>
          </w:cols>
          <w:pgMar w:left="320" w:top="815" w:right="459" w:bottom="1440" w:gutter="0" w:footer="0" w:header="0"/>
          <w:type w:val="continuous"/>
        </w:sectPr>
      </w:pPr>
    </w:p>
    <w:bookmarkStart w:id="115" w:name="page116"/>
    <w:bookmarkEnd w:id="115"/>
    <w:p>
      <w:pPr>
        <w:jc w:val="center"/>
        <w:ind w:right="-9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15175" cy="2311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5175" cy="231140"/>
                    </a:xfrm>
                    <a:prstGeom prst="rect">
                      <a:avLst/>
                    </a:prstGeom>
                    <a:noFill/>
                  </pic:spPr>
                </pic:pic>
              </a:graphicData>
            </a:graphic>
          </wp:anchor>
        </w:drawing>
        <w:t>AP Services, LLC</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General Terms and Conditions</w:t>
      </w:r>
    </w:p>
    <w:p>
      <w:pPr>
        <w:sectPr>
          <w:pgSz w:w="11900" w:h="16838" w:orient="portrait"/>
          <w:cols w:equalWidth="0" w:num="1">
            <w:col w:w="11120"/>
          </w:cols>
          <w:pgMar w:left="320" w:top="815" w:right="459" w:bottom="1440" w:gutter="0" w:footer="0" w:header="0"/>
        </w:sectPr>
      </w:pPr>
    </w:p>
    <w:p>
      <w:pPr>
        <w:spacing w:after="0" w:line="352" w:lineRule="exact"/>
        <w:rPr>
          <w:sz w:val="20"/>
          <w:szCs w:val="20"/>
          <w:color w:val="auto"/>
        </w:rPr>
      </w:pPr>
    </w:p>
    <w:p>
      <w:pPr>
        <w:jc w:val="both"/>
        <w:ind w:right="20"/>
        <w:spacing w:after="0" w:line="200" w:lineRule="auto"/>
        <w:rPr>
          <w:sz w:val="20"/>
          <w:szCs w:val="20"/>
          <w:color w:val="auto"/>
        </w:rPr>
      </w:pPr>
      <w:r>
        <w:rPr>
          <w:rFonts w:ascii="Arial" w:cs="Arial" w:eastAsia="Arial" w:hAnsi="Arial"/>
          <w:sz w:val="14"/>
          <w:szCs w:val="14"/>
          <w:color w:val="auto"/>
        </w:rPr>
        <w:t>such Processing shall be set out in the Data Protection Schedule of this Agreement. APS shall, in relation to any Personal Data processed by APS in connection with this Agreement: (1) at the Company’s cost (including hourly fees at APS's standard hourly rates), assist the Company in complying with its obligations under Applicable Data Protection Legislation to respond to requests from Data Subjects exercising their rights and respond to any other correspondence, inquiry or complaint received from a Data Subject, regulator or other third party in connection with the processing of such Data Subject’s Personal Data; (2) notify the Company in accordance with Applicable Data Protection Legislation without undue delay on becoming aware of a Personal Data Breach or any request by a Data Subject or regulator regarding Personal Data APS is processing on behalf of the Company; (3) APS shall promptly inform the Company if, in its opinion, an instruction from the Company violates Applicable Data Protection Legislation; (4) at the Company’s cost (including hourly fees at APS's standard hourly rates), upon termination or expiration of this Agreement, at the written direction of the Company either delete or return any Personal Data and any copies thereof to the Company (except to the extent APS is required by law to retain such Personal Data, and except for Personal Data located on APS's disaster recovery or backup systems where it will be destroyed upon the normal expiration of the backup files); (5) at the Company’s cost (including hourly fees at APS's standard hourly rates), assist the Company in complying with its obligations under Applicable Data Privacy Legislation to notify Data Subjects and regulators, complete privacy assessments, and meet security requirements; and (6) maintain appropriate records to demonstrate compliance with this Section.</w:t>
      </w:r>
    </w:p>
    <w:p>
      <w:pPr>
        <w:spacing w:after="0" w:line="114" w:lineRule="exact"/>
        <w:rPr>
          <w:sz w:val="20"/>
          <w:szCs w:val="20"/>
          <w:color w:val="auto"/>
        </w:rPr>
      </w:pPr>
    </w:p>
    <w:p>
      <w:pPr>
        <w:jc w:val="both"/>
        <w:ind w:right="20" w:firstLine="8"/>
        <w:spacing w:after="0" w:line="189" w:lineRule="auto"/>
        <w:tabs>
          <w:tab w:leader="none" w:pos="185" w:val="left"/>
        </w:tabs>
        <w:numPr>
          <w:ilvl w:val="0"/>
          <w:numId w:val="61"/>
        </w:numPr>
        <w:rPr>
          <w:rFonts w:ascii="Arial" w:cs="Arial" w:eastAsia="Arial" w:hAnsi="Arial"/>
          <w:sz w:val="14"/>
          <w:szCs w:val="14"/>
          <w:color w:val="auto"/>
        </w:rPr>
      </w:pPr>
      <w:r>
        <w:rPr>
          <w:rFonts w:ascii="Arial" w:cs="Arial" w:eastAsia="Arial" w:hAnsi="Arial"/>
          <w:sz w:val="14"/>
          <w:szCs w:val="14"/>
          <w:color w:val="auto"/>
        </w:rPr>
        <w:t>Cross-border Transfers. APS is an international business, headquartered in the United States of America (“US”). APS may in the ordinary course of its business, including the performance of the services under this Agreement, transfer Personal Data received outside the US to its US-based Affiliates and/ or any other APS Affiliates globally in accordance with Applicable Data Protection Legislation. The Company acknowledges and agrees that APS, as reasonably required for the performance of the services pursuant to this Agreement, be permitted to transfer Personal Data to its Affiliates in accordance with Applicable Data Protection Legislation.</w:t>
      </w:r>
    </w:p>
    <w:p>
      <w:pPr>
        <w:spacing w:after="0" w:line="114" w:lineRule="exact"/>
        <w:rPr>
          <w:sz w:val="20"/>
          <w:szCs w:val="20"/>
          <w:color w:val="auto"/>
        </w:rPr>
      </w:pPr>
    </w:p>
    <w:p>
      <w:pPr>
        <w:jc w:val="both"/>
        <w:ind w:right="20"/>
        <w:spacing w:after="0" w:line="232" w:lineRule="auto"/>
        <w:rPr>
          <w:sz w:val="20"/>
          <w:szCs w:val="20"/>
          <w:color w:val="auto"/>
        </w:rPr>
      </w:pPr>
      <w:r>
        <w:rPr>
          <w:rFonts w:ascii="Arial" w:cs="Arial" w:eastAsia="Arial" w:hAnsi="Arial"/>
          <w:sz w:val="14"/>
          <w:szCs w:val="14"/>
          <w:color w:val="auto"/>
        </w:rPr>
        <w:t>In cases of Personal Data leaving the European Economic Area (“EEA”), the Company agrees and APS hereby undertakes to procure that the APS Affiliate(s) importing the data (the “APS Data Importer(s)”) agrees to be bound by the Standard Contractual Clauses (C2P 2010/87/EU) save that the optional indemnification clause shall not apply (the “SCCs”) in accordance with the remainder of this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both"/>
        <w:spacing w:after="0" w:line="186" w:lineRule="auto"/>
        <w:rPr>
          <w:sz w:val="20"/>
          <w:szCs w:val="20"/>
          <w:color w:val="auto"/>
        </w:rPr>
      </w:pPr>
      <w:r>
        <w:rPr>
          <w:rFonts w:ascii="Arial" w:cs="Arial" w:eastAsia="Arial" w:hAnsi="Arial"/>
          <w:sz w:val="14"/>
          <w:szCs w:val="14"/>
          <w:color w:val="auto"/>
        </w:rPr>
        <w:t>clause and to that effect the Company is the “Data Exporter” and the APS Data Importer(s) that receives such Personal Data outside the EEA is the “Data Importer” as defined in the SCCs. The Data Protection Schedule of this Agreement will serve as Appendix I for the purposes of the SCCs so entered into by the Company and the APS Data Importer(s). The Member State in which the Company is established shall provide the governing law under clause 9 of the SCCs provided that in the event the Company is not established in a jurisdiction that forms part of the European Economic Area the law applicable to this Agreement shall provide the governing law under clause 9 of the SCCs. The Company hereby agrees that the APS Data Importer(s)’ liability to the Company under the SCCs and this Agreement shall be determined solely by the terms of this Agreement as applicable to APS, including (without limitation) any limitations on and/ or exclusions from liability contained in the Agreement.</w:t>
      </w:r>
    </w:p>
    <w:p>
      <w:pPr>
        <w:spacing w:after="0" w:line="119" w:lineRule="exact"/>
        <w:rPr>
          <w:sz w:val="20"/>
          <w:szCs w:val="20"/>
          <w:color w:val="auto"/>
        </w:rPr>
      </w:pPr>
    </w:p>
    <w:p>
      <w:pPr>
        <w:jc w:val="both"/>
        <w:ind w:firstLine="3"/>
        <w:spacing w:after="0" w:line="191" w:lineRule="auto"/>
        <w:tabs>
          <w:tab w:leader="none" w:pos="174"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Third-Party Processors. The Company consents to APS appointing third-party Processors of Personal Data under this Agreement. APS confirms that it will enter into a written agreement with any third-party Processor prior to supplying it with the Personal Data, incorporating terms which are substantially similar to those set forth in this Section. As between the Company and APS, APS shall remain fully liable for all acts or omissions of any third-party Processor appointed by APS pursuant to this paragraph.</w:t>
      </w:r>
    </w:p>
    <w:p>
      <w:pPr>
        <w:spacing w:after="0" w:line="115" w:lineRule="exact"/>
        <w:rPr>
          <w:rFonts w:ascii="Arial" w:cs="Arial" w:eastAsia="Arial" w:hAnsi="Arial"/>
          <w:sz w:val="14"/>
          <w:szCs w:val="14"/>
          <w:color w:val="auto"/>
        </w:rPr>
      </w:pPr>
    </w:p>
    <w:p>
      <w:pPr>
        <w:jc w:val="both"/>
        <w:ind w:firstLine="3"/>
        <w:spacing w:after="0" w:line="206" w:lineRule="auto"/>
        <w:tabs>
          <w:tab w:leader="none" w:pos="192" w:val="left"/>
        </w:tabs>
        <w:numPr>
          <w:ilvl w:val="0"/>
          <w:numId w:val="62"/>
        </w:numPr>
        <w:rPr>
          <w:rFonts w:ascii="Arial" w:cs="Arial" w:eastAsia="Arial" w:hAnsi="Arial"/>
          <w:sz w:val="14"/>
          <w:szCs w:val="14"/>
          <w:color w:val="auto"/>
        </w:rPr>
      </w:pPr>
      <w:r>
        <w:rPr>
          <w:rFonts w:ascii="Arial" w:cs="Arial" w:eastAsia="Arial" w:hAnsi="Arial"/>
          <w:sz w:val="14"/>
          <w:szCs w:val="14"/>
          <w:color w:val="auto"/>
        </w:rPr>
        <w:t>Applicable Laws. APS will comply with all applicable laws including without limitation all Applicable Data Protection Legislation, and other general data protection and privacy regulations.</w:t>
      </w:r>
    </w:p>
    <w:p>
      <w:pPr>
        <w:spacing w:after="0" w:line="111" w:lineRule="exact"/>
        <w:rPr>
          <w:rFonts w:ascii="Arial" w:cs="Arial" w:eastAsia="Arial" w:hAnsi="Arial"/>
          <w:sz w:val="14"/>
          <w:szCs w:val="14"/>
          <w:color w:val="auto"/>
        </w:rPr>
      </w:pPr>
    </w:p>
    <w:p>
      <w:pPr>
        <w:ind w:left="200" w:hanging="197"/>
        <w:spacing w:after="0"/>
        <w:tabs>
          <w:tab w:leader="none" w:pos="2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Technical  and  Organizational  Measures.  APS  will  maintain  and  enforce</w:t>
      </w:r>
    </w:p>
    <w:p>
      <w:pPr>
        <w:spacing w:after="0" w:line="15" w:lineRule="exact"/>
        <w:rPr>
          <w:sz w:val="20"/>
          <w:szCs w:val="20"/>
          <w:color w:val="auto"/>
        </w:rPr>
      </w:pPr>
    </w:p>
    <w:p>
      <w:pPr>
        <w:jc w:val="both"/>
        <w:spacing w:after="0" w:line="191" w:lineRule="auto"/>
        <w:rPr>
          <w:sz w:val="20"/>
          <w:szCs w:val="20"/>
          <w:color w:val="auto"/>
        </w:rPr>
      </w:pPr>
      <w:r>
        <w:rPr>
          <w:rFonts w:ascii="Arial" w:cs="Arial" w:eastAsia="Arial" w:hAnsi="Arial"/>
          <w:sz w:val="14"/>
          <w:szCs w:val="14"/>
          <w:color w:val="auto"/>
        </w:rPr>
        <w:t xml:space="preserve">physical and logical security and provide technical and organizational safeguards </w:t>
      </w:r>
      <w:r>
        <w:rPr>
          <w:rFonts w:ascii="Arial" w:cs="Arial" w:eastAsia="Arial" w:hAnsi="Arial"/>
          <w:sz w:val="14"/>
          <w:szCs w:val="14"/>
          <w:color w:val="0000FF"/>
        </w:rPr>
        <w:t>https://www.alixpartners.com/it-</w:t>
      </w:r>
    </w:p>
    <w:p>
      <w:pPr>
        <w:jc w:val="both"/>
        <w:spacing w:after="0" w:line="200" w:lineRule="auto"/>
        <w:rPr>
          <w:sz w:val="20"/>
          <w:szCs w:val="20"/>
          <w:color w:val="auto"/>
        </w:rPr>
      </w:pPr>
      <w:r>
        <w:rPr>
          <w:rFonts w:ascii="Arial" w:cs="Arial" w:eastAsia="Arial" w:hAnsi="Arial"/>
          <w:sz w:val="14"/>
          <w:szCs w:val="14"/>
          <w:color w:val="0000FF"/>
        </w:rPr>
        <w:t xml:space="preserve">1000/ </w:t>
      </w:r>
      <w:r>
        <w:rPr>
          <w:rFonts w:ascii="Arial" w:cs="Arial" w:eastAsia="Arial" w:hAnsi="Arial"/>
          <w:sz w:val="14"/>
          <w:szCs w:val="14"/>
          <w:color w:val="000000"/>
        </w:rPr>
        <w:t>that ensure a level of security appropriate to the risks presented by the</w:t>
      </w:r>
      <w:r>
        <w:rPr>
          <w:rFonts w:ascii="Arial" w:cs="Arial" w:eastAsia="Arial" w:hAnsi="Arial"/>
          <w:sz w:val="14"/>
          <w:szCs w:val="14"/>
          <w:color w:val="0000FF"/>
        </w:rPr>
        <w:t xml:space="preserve"> </w:t>
      </w:r>
      <w:r>
        <w:rPr>
          <w:rFonts w:ascii="Arial" w:cs="Arial" w:eastAsia="Arial" w:hAnsi="Arial"/>
          <w:sz w:val="14"/>
          <w:szCs w:val="14"/>
          <w:color w:val="000000"/>
        </w:rPr>
        <w:t>processing. These technical and organizational measures will serve as Appendix 2 for the purposes of the SCCs so entered into by the Company and the APS Data Importer(s)</w:t>
      </w:r>
    </w:p>
    <w:p>
      <w:pPr>
        <w:spacing w:after="0" w:line="111" w:lineRule="exact"/>
        <w:rPr>
          <w:sz w:val="20"/>
          <w:szCs w:val="20"/>
          <w:color w:val="auto"/>
        </w:rPr>
      </w:pPr>
    </w:p>
    <w:p>
      <w:pPr>
        <w:jc w:val="both"/>
        <w:ind w:firstLine="3"/>
        <w:spacing w:after="0" w:line="217" w:lineRule="auto"/>
        <w:tabs>
          <w:tab w:leader="none" w:pos="179" w:val="left"/>
        </w:tabs>
        <w:numPr>
          <w:ilvl w:val="0"/>
          <w:numId w:val="63"/>
        </w:numPr>
        <w:rPr>
          <w:rFonts w:ascii="Arial" w:cs="Arial" w:eastAsia="Arial" w:hAnsi="Arial"/>
          <w:sz w:val="14"/>
          <w:szCs w:val="14"/>
          <w:color w:val="auto"/>
        </w:rPr>
      </w:pPr>
      <w:r>
        <w:rPr>
          <w:rFonts w:ascii="Arial" w:cs="Arial" w:eastAsia="Arial" w:hAnsi="Arial"/>
          <w:sz w:val="14"/>
          <w:szCs w:val="14"/>
          <w:color w:val="auto"/>
        </w:rPr>
        <w:t>Audits. Upon reasonable notice to APS, APS shall permit the Company (or a mutually agreed third-party auditor) to audit APS's compliance with this Section and to that effect shall make available records and supporting documentation, necessary to conduct such audit. The Company will not exercise its audit rights more than once in any twelve (12) calendar month period, except (i) if and when required by instruction of a competent data protection authority; or (ii) the Company believes a further audit is necessary due to an APS Personal Data Breach.</w:t>
      </w:r>
    </w:p>
    <w:p>
      <w:pPr>
        <w:spacing w:after="0" w:line="200" w:lineRule="exact"/>
        <w:rPr>
          <w:sz w:val="20"/>
          <w:szCs w:val="20"/>
          <w:color w:val="auto"/>
        </w:rPr>
      </w:pPr>
    </w:p>
    <w:p>
      <w:pPr>
        <w:sectPr>
          <w:pgSz w:w="11900" w:h="16838" w:orient="portrait"/>
          <w:cols w:equalWidth="0" w:num="2">
            <w:col w:w="5220" w:space="720"/>
            <w:col w:w="5180"/>
          </w:cols>
          <w:pgMar w:left="320" w:top="815" w:right="45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 of 10</w:t>
      </w:r>
    </w:p>
    <w:p>
      <w:pPr>
        <w:sectPr>
          <w:pgSz w:w="11900" w:h="16838" w:orient="portrait"/>
          <w:cols w:equalWidth="0" w:num="1">
            <w:col w:w="11120"/>
          </w:cols>
          <w:pgMar w:left="320" w:top="815" w:right="45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 Vivek Garipalli, certify that:</w:t>
      </w:r>
    </w:p>
    <w:p>
      <w:pPr>
        <w:spacing w:after="0" w:line="225" w:lineRule="exact"/>
        <w:rPr>
          <w:sz w:val="20"/>
          <w:szCs w:val="20"/>
          <w:color w:val="auto"/>
        </w:rPr>
      </w:pPr>
    </w:p>
    <w:p>
      <w:pPr>
        <w:ind w:left="520" w:hanging="432"/>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Clover Health Investments, Corp. for the quarter ended September 30, 2021;</w:t>
      </w:r>
    </w:p>
    <w:p>
      <w:pPr>
        <w:spacing w:after="0" w:line="225" w:lineRule="exact"/>
        <w:rPr>
          <w:rFonts w:ascii="Arial" w:cs="Arial" w:eastAsia="Arial" w:hAnsi="Arial"/>
          <w:sz w:val="18"/>
          <w:szCs w:val="18"/>
          <w:color w:val="auto"/>
        </w:rPr>
      </w:pPr>
    </w:p>
    <w:p>
      <w:pPr>
        <w:jc w:val="both"/>
        <w:ind w:left="520" w:right="340" w:hanging="432"/>
        <w:spacing w:after="0" w:line="263" w:lineRule="auto"/>
        <w:tabs>
          <w:tab w:leader="none" w:pos="5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00" w:hanging="432"/>
        <w:spacing w:after="0" w:line="308" w:lineRule="auto"/>
        <w:tabs>
          <w:tab w:leader="none" w:pos="511"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360" w:hanging="432"/>
        <w:spacing w:after="0" w:line="277" w:lineRule="auto"/>
        <w:tabs>
          <w:tab w:leader="none" w:pos="5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60" w:hanging="451"/>
        <w:spacing w:after="0" w:line="263" w:lineRule="auto"/>
        <w:tabs>
          <w:tab w:leader="none" w:pos="9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right="620" w:hanging="451"/>
        <w:spacing w:after="0" w:line="342" w:lineRule="auto"/>
        <w:tabs>
          <w:tab w:leader="none" w:pos="978"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80" w:hanging="451"/>
        <w:spacing w:after="0" w:line="263" w:lineRule="auto"/>
        <w:tabs>
          <w:tab w:leader="none" w:pos="9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40" w:hanging="432"/>
        <w:spacing w:after="0" w:line="308" w:lineRule="auto"/>
        <w:tabs>
          <w:tab w:leader="none" w:pos="51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60" w:hanging="451"/>
        <w:spacing w:after="0" w:line="277" w:lineRule="auto"/>
        <w:tabs>
          <w:tab w:leader="none" w:pos="9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451"/>
        <w:spacing w:after="0" w:line="277" w:lineRule="auto"/>
        <w:tabs>
          <w:tab w:leader="none" w:pos="97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520" w:val="left"/>
          <w:tab w:leader="none" w:pos="6980" w:val="left"/>
        </w:tabs>
        <w:rPr>
          <w:sz w:val="20"/>
          <w:szCs w:val="20"/>
          <w:color w:val="auto"/>
        </w:rPr>
      </w:pPr>
      <w:r>
        <w:rPr>
          <w:rFonts w:ascii="Arial" w:cs="Arial" w:eastAsia="Arial" w:hAnsi="Arial"/>
          <w:sz w:val="18"/>
          <w:szCs w:val="18"/>
          <w:color w:val="auto"/>
        </w:rPr>
        <w:t>: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320"/>
          </w:cols>
          <w:pgMar w:left="240" w:top="769"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 Mark Herbers, certify that:</w:t>
      </w:r>
    </w:p>
    <w:p>
      <w:pPr>
        <w:spacing w:after="0" w:line="225" w:lineRule="exact"/>
        <w:rPr>
          <w:sz w:val="20"/>
          <w:szCs w:val="20"/>
          <w:color w:val="auto"/>
        </w:rPr>
      </w:pPr>
    </w:p>
    <w:p>
      <w:pPr>
        <w:ind w:left="520" w:hanging="432"/>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Clover Health Investments, Corp. for the quarter ended September 30, 2021;</w:t>
      </w:r>
    </w:p>
    <w:p>
      <w:pPr>
        <w:spacing w:after="0" w:line="225" w:lineRule="exact"/>
        <w:rPr>
          <w:rFonts w:ascii="Arial" w:cs="Arial" w:eastAsia="Arial" w:hAnsi="Arial"/>
          <w:sz w:val="18"/>
          <w:szCs w:val="18"/>
          <w:color w:val="auto"/>
        </w:rPr>
      </w:pPr>
    </w:p>
    <w:p>
      <w:pPr>
        <w:jc w:val="both"/>
        <w:ind w:left="520" w:right="340" w:hanging="432"/>
        <w:spacing w:after="0" w:line="263" w:lineRule="auto"/>
        <w:tabs>
          <w:tab w:leader="none" w:pos="5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00" w:hanging="432"/>
        <w:spacing w:after="0" w:line="308" w:lineRule="auto"/>
        <w:tabs>
          <w:tab w:leader="none" w:pos="511"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360" w:hanging="432"/>
        <w:spacing w:after="0" w:line="277" w:lineRule="auto"/>
        <w:tabs>
          <w:tab w:leader="none" w:pos="5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60" w:hanging="451"/>
        <w:spacing w:after="0" w:line="263" w:lineRule="auto"/>
        <w:tabs>
          <w:tab w:leader="none" w:pos="9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right="620" w:hanging="451"/>
        <w:spacing w:after="0" w:line="342" w:lineRule="auto"/>
        <w:tabs>
          <w:tab w:leader="none" w:pos="978"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80" w:hanging="451"/>
        <w:spacing w:after="0" w:line="263" w:lineRule="auto"/>
        <w:tabs>
          <w:tab w:leader="none" w:pos="9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40" w:hanging="432"/>
        <w:spacing w:after="0" w:line="308" w:lineRule="auto"/>
        <w:tabs>
          <w:tab w:leader="none" w:pos="51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60" w:hanging="451"/>
        <w:spacing w:after="0" w:line="277" w:lineRule="auto"/>
        <w:tabs>
          <w:tab w:leader="none" w:pos="9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451"/>
        <w:spacing w:after="0" w:line="277" w:lineRule="auto"/>
        <w:tabs>
          <w:tab w:leader="none" w:pos="97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520" w:val="left"/>
          <w:tab w:leader="none" w:pos="7040" w:val="left"/>
        </w:tabs>
        <w:rPr>
          <w:sz w:val="20"/>
          <w:szCs w:val="20"/>
          <w:color w:val="auto"/>
        </w:rPr>
      </w:pPr>
      <w:r>
        <w:rPr>
          <w:rFonts w:ascii="Arial" w:cs="Arial" w:eastAsia="Arial" w:hAnsi="Arial"/>
          <w:sz w:val="18"/>
          <w:szCs w:val="18"/>
          <w:color w:val="auto"/>
        </w:rPr>
        <w:t>: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Herbers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Mark Herbers</w:t>
      </w:r>
    </w:p>
    <w:p>
      <w:pPr>
        <w:spacing w:after="0" w:line="1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Interim Chief Financial Officer, Principal Financial Officer, and</w:t>
      </w:r>
    </w:p>
    <w:p>
      <w:pPr>
        <w:ind w:left="6780"/>
        <w:spacing w:after="0"/>
        <w:rPr>
          <w:sz w:val="20"/>
          <w:szCs w:val="20"/>
          <w:color w:val="auto"/>
        </w:rPr>
      </w:pPr>
      <w:r>
        <w:rPr>
          <w:rFonts w:ascii="Arial" w:cs="Arial" w:eastAsia="Arial" w:hAnsi="Arial"/>
          <w:sz w:val="18"/>
          <w:szCs w:val="18"/>
          <w:b w:val="1"/>
          <w:bCs w:val="1"/>
          <w:color w:val="auto"/>
        </w:rPr>
        <w:t>Principal Accounting Officer</w:t>
      </w:r>
    </w:p>
    <w:p>
      <w:pPr>
        <w:sectPr>
          <w:pgSz w:w="11900" w:h="16838" w:orient="portrait"/>
          <w:cols w:equalWidth="0" w:num="1">
            <w:col w:w="11320"/>
          </w:cols>
          <w:pgMar w:left="240" w:top="769"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80" w:right="80" w:firstLine="441"/>
        <w:spacing w:after="0" w:line="263" w:lineRule="auto"/>
        <w:rPr>
          <w:sz w:val="20"/>
          <w:szCs w:val="20"/>
          <w:color w:val="auto"/>
        </w:rPr>
      </w:pPr>
      <w:r>
        <w:rPr>
          <w:rFonts w:ascii="Arial" w:cs="Arial" w:eastAsia="Arial" w:hAnsi="Arial"/>
          <w:sz w:val="18"/>
          <w:szCs w:val="18"/>
          <w:color w:val="auto"/>
        </w:rPr>
        <w:t>In connection with the Quarterly Report of Clover Health Investments, Corp.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31"/>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451"/>
        <w:spacing w:after="0" w:line="277" w:lineRule="auto"/>
        <w:tabs>
          <w:tab w:leader="none" w:pos="9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4520" w:val="left"/>
          <w:tab w:leader="none" w:pos="6980" w:val="left"/>
        </w:tabs>
        <w:rPr>
          <w:sz w:val="20"/>
          <w:szCs w:val="20"/>
          <w:color w:val="auto"/>
        </w:rPr>
      </w:pPr>
      <w:r>
        <w:rPr>
          <w:rFonts w:ascii="Arial" w:cs="Arial" w:eastAsia="Arial" w:hAnsi="Arial"/>
          <w:sz w:val="18"/>
          <w:szCs w:val="18"/>
          <w:color w:val="auto"/>
        </w:rPr>
        <w:t>: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320"/>
          </w:cols>
          <w:pgMar w:left="240" w:top="769"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80" w:right="80" w:firstLine="441"/>
        <w:spacing w:after="0" w:line="263" w:lineRule="auto"/>
        <w:rPr>
          <w:sz w:val="20"/>
          <w:szCs w:val="20"/>
          <w:color w:val="auto"/>
        </w:rPr>
      </w:pPr>
      <w:r>
        <w:rPr>
          <w:rFonts w:ascii="Arial" w:cs="Arial" w:eastAsia="Arial" w:hAnsi="Arial"/>
          <w:sz w:val="18"/>
          <w:szCs w:val="18"/>
          <w:color w:val="auto"/>
        </w:rPr>
        <w:t>In connection with the Quarterly Report of Clover Health Investments, Corp.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31"/>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451"/>
        <w:spacing w:after="0" w:line="277" w:lineRule="auto"/>
        <w:tabs>
          <w:tab w:leader="none" w:pos="9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4520" w:val="left"/>
          <w:tab w:leader="none" w:pos="7040" w:val="left"/>
        </w:tabs>
        <w:rPr>
          <w:sz w:val="20"/>
          <w:szCs w:val="20"/>
          <w:color w:val="auto"/>
        </w:rPr>
      </w:pPr>
      <w:r>
        <w:rPr>
          <w:rFonts w:ascii="Arial" w:cs="Arial" w:eastAsia="Arial" w:hAnsi="Arial"/>
          <w:sz w:val="18"/>
          <w:szCs w:val="18"/>
          <w:color w:val="auto"/>
        </w:rPr>
        <w:t>d: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Herbers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Mark Herbers</w:t>
      </w:r>
    </w:p>
    <w:p>
      <w:pPr>
        <w:spacing w:after="0" w:line="1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Interim Chief Financial Officer, Principal Financial Officer, and</w:t>
      </w:r>
    </w:p>
    <w:p>
      <w:pPr>
        <w:ind w:left="6780"/>
        <w:spacing w:after="0"/>
        <w:rPr>
          <w:sz w:val="20"/>
          <w:szCs w:val="20"/>
          <w:color w:val="auto"/>
        </w:rPr>
      </w:pPr>
      <w:r>
        <w:rPr>
          <w:rFonts w:ascii="Arial" w:cs="Arial" w:eastAsia="Arial" w:hAnsi="Arial"/>
          <w:sz w:val="18"/>
          <w:szCs w:val="18"/>
          <w:b w:val="1"/>
          <w:bCs w:val="1"/>
          <w:color w:val="auto"/>
        </w:rPr>
        <w:t>Principal Accounting Officer</w:t>
      </w:r>
    </w:p>
    <w:sectPr>
      <w:pgSz w:w="11900" w:h="16838" w:orient="portrait"/>
      <w:cols w:equalWidth="0" w:num="1">
        <w:col w:w="11320"/>
      </w:cols>
      <w:pgMar w:left="24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x"/>
      <w:numFmt w:val="bullet"/>
      <w:start w:val="1"/>
    </w:lvl>
  </w:abstractNum>
  <w:abstractNum w:abstractNumId="1">
    <w:nsid w:val="419AC241"/>
    <w:multiLevelType w:val="hybridMultilevel"/>
    <w:lvl w:ilvl="0">
      <w:lvlJc w:val="left"/>
      <w:lvlText w:val="o"/>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lowerRoman"/>
      <w:start w:val="2"/>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decimal"/>
      <w:start w:val="815"/>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decimal"/>
      <w:start w:val="1"/>
    </w:lvl>
    <w:lvl w:ilvl="1">
      <w:lvlJc w:val="left"/>
      <w:lvlText w:val="%2."/>
      <w:numFmt w:val="lowerLetter"/>
      <w:start w:val="1"/>
    </w:lvl>
  </w:abstractNum>
  <w:abstractNum w:abstractNumId="48">
    <w:nsid w:val="235BA861"/>
    <w:multiLevelType w:val="hybridMultilevel"/>
    <w:lvl w:ilvl="0">
      <w:lvlJc w:val="left"/>
      <w:lvlText w:val="%1."/>
      <w:numFmt w:val="decimal"/>
      <w:start w:val="4"/>
    </w:lvl>
  </w:abstractNum>
  <w:abstractNum w:abstractNumId="49">
    <w:nsid w:val="47398C89"/>
    <w:multiLevelType w:val="hybridMultilevel"/>
    <w:lvl w:ilvl="0">
      <w:lvlJc w:val="left"/>
      <w:lvlText w:val="%1."/>
      <w:numFmt w:val="decimal"/>
      <w:start w:val="6"/>
    </w:lvl>
  </w:abstractNum>
  <w:abstractNum w:abstractNumId="50">
    <w:nsid w:val="354FE9F9"/>
    <w:multiLevelType w:val="hybridMultilevel"/>
    <w:lvl w:ilvl="0">
      <w:lvlJc w:val="left"/>
      <w:lvlText w:val="%1."/>
      <w:numFmt w:val="decimal"/>
      <w:start w:val="8"/>
    </w:lvl>
  </w:abstractNum>
  <w:abstractNum w:abstractNumId="51">
    <w:nsid w:val="15B5AF5C"/>
    <w:multiLevelType w:val="hybridMultilevel"/>
    <w:lvl w:ilvl="0">
      <w:lvlJc w:val="left"/>
      <w:lvlText w:val="%1."/>
      <w:numFmt w:val="decimal"/>
      <w:start w:val="13"/>
    </w:lvl>
  </w:abstractNum>
  <w:abstractNum w:abstractNumId="52">
    <w:nsid w:val="741226BB"/>
    <w:multiLevelType w:val="hybridMultilevel"/>
    <w:lvl w:ilvl="0">
      <w:lvlJc w:val="left"/>
      <w:lvlText w:val="%1."/>
      <w:numFmt w:val="decimal"/>
      <w:start w:val="17"/>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2"/>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3"/>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lowerLetter"/>
      <w:start w:val="3"/>
    </w:lvl>
  </w:abstractNum>
  <w:abstractNum w:abstractNumId="61">
    <w:nsid w:val="5FF87E05"/>
    <w:multiLevelType w:val="hybridMultilevel"/>
    <w:lvl w:ilvl="0">
      <w:lvlJc w:val="left"/>
      <w:lvlText w:val="%1)"/>
      <w:numFmt w:val="lowerLetter"/>
      <w:start w:val="4"/>
    </w:lvl>
  </w:abstractNum>
  <w:abstractNum w:abstractNumId="62">
    <w:nsid w:val="2F305DEF"/>
    <w:multiLevelType w:val="hybridMultilevel"/>
    <w:lvl w:ilvl="0">
      <w:lvlJc w:val="left"/>
      <w:lvlText w:val="%1)"/>
      <w:numFmt w:val="lowerLetter"/>
      <w:start w:val="7"/>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2021-11-09T05:21:24Z</dcterms:created>
  <dcterms:modified xsi:type="dcterms:W3CDTF">2021-11-09T05:21:24Z</dcterms:modified>
</cp:coreProperties>
</file>