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8.png" ContentType="image/png"/>
  <Override PartName="/word/media/image27.png" ContentType="image/png"/>
  <Override PartName="/word/media/image26.png" ContentType="image/png"/>
  <Override PartName="/word/media/image25.png" ContentType="image/png"/>
  <Override PartName="/word/media/image24.png" ContentType="image/png"/>
  <Override PartName="/word/media/image9.png" ContentType="image/png"/>
  <Override PartName="/word/media/image10.png" ContentType="image/png"/>
  <Override PartName="/word/media/image23.png" ContentType="image/png"/>
  <Override PartName="/word/media/image8.png" ContentType="image/png"/>
  <Override PartName="/word/media/image1.jpeg" ContentType="image/jpeg"/>
  <Override PartName="/word/media/image11.png" ContentType="image/png"/>
  <Override PartName="/word/media/image3.png" ContentType="image/png"/>
  <Override PartName="/word/media/image2.png" ContentType="image/png"/>
  <Override PartName="/word/media/image7.png" ContentType="image/png"/>
  <Override PartName="/word/media/image22.png" ContentType="image/png"/>
  <Override PartName="/word/media/image4.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5.png" ContentType="image/png"/>
  <Override PartName="/word/media/image20.png" ContentType="image/png"/>
  <Override PartName="/word/media/image6.png" ContentType="image/png"/>
  <Override PartName="/word/media/image2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001-39252</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Clover Health Investments,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tbl>
      <w:tblPr>
        <w:tblW w:w="3914" w:type="dxa"/>
        <w:jc w:val="left"/>
        <w:tblInd w:w="0" w:type="dxa"/>
        <w:tblCellMar>
          <w:top w:w="28" w:type="dxa"/>
          <w:left w:w="28" w:type="dxa"/>
          <w:bottom w:w="28" w:type="dxa"/>
          <w:right w:w="28" w:type="dxa"/>
        </w:tblCellMar>
      </w:tblPr>
      <w:tblGrid>
        <w:gridCol w:w="965"/>
        <w:gridCol w:w="847"/>
        <w:gridCol w:w="858"/>
        <w:gridCol w:w="363"/>
        <w:gridCol w:w="363"/>
        <w:gridCol w:w="518"/>
      </w:tblGrid>
      <w:tr>
        <w:trPr/>
        <w:tc>
          <w:tcPr>
            <w:tcW w:w="96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98-1515192</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spacing w:lineRule="auto" w:line="288"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15"/>
              <w:jc w:val="center"/>
              <w:rPr/>
            </w:pPr>
            <w:r>
              <w:rPr>
                <w:rFonts w:ascii="Times New Roman;sans-serif" w:hAnsi="Times New Roman;sans-serif"/>
                <w:b/>
                <w:color w:val="000000"/>
                <w:sz w:val="20"/>
              </w:rPr>
              <w:t>3401 Mallory Lane</w:t>
            </w:r>
            <w:r>
              <w:rPr>
                <w:rFonts w:ascii="Arial;sans-serif" w:hAnsi="Arial;sans-serif"/>
                <w:b w:val="false"/>
                <w:color w:val="000000"/>
                <w:sz w:val="24"/>
              </w:rPr>
              <w:t xml:space="preserve">, </w:t>
            </w:r>
            <w:r>
              <w:rPr>
                <w:rFonts w:ascii="Times New Roman;sans-serif" w:hAnsi="Times New Roman;sans-serif"/>
                <w:b/>
                <w:color w:val="000000"/>
                <w:sz w:val="20"/>
              </w:rPr>
              <w:t>Suite 210</w:t>
            </w:r>
          </w:p>
          <w:p>
            <w:pPr>
              <w:pStyle w:val="TableContents"/>
              <w:spacing w:lineRule="auto" w:line="288" w:before="0" w:after="15"/>
              <w:jc w:val="center"/>
              <w:rPr/>
            </w:pPr>
            <w:r>
              <w:rPr>
                <w:rFonts w:ascii="Times New Roman;sans-serif" w:hAnsi="Times New Roman;sans-serif"/>
                <w:b/>
                <w:color w:val="000000"/>
                <w:sz w:val="20"/>
              </w:rPr>
              <w:t>Franklin</w:t>
            </w:r>
            <w:r>
              <w:rPr>
                <w:rFonts w:ascii="Arial;sans-serif" w:hAnsi="Arial;sans-serif"/>
                <w:b w:val="false"/>
                <w:color w:val="000000"/>
                <w:sz w:val="24"/>
              </w:rPr>
              <w:t xml:space="preserve">, </w:t>
            </w:r>
            <w:r>
              <w:rPr>
                <w:rFonts w:ascii="Times New Roman;sans-serif" w:hAnsi="Times New Roman;sans-serif"/>
                <w:b/>
                <w:color w:val="000000"/>
                <w:sz w:val="20"/>
              </w:rPr>
              <w:t>Tennessee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37067</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(201) 432-2133</w:t>
      </w:r>
    </w:p>
    <w:p>
      <w:pPr>
        <w:pStyle w:val="TextBody"/>
        <w:spacing w:before="120" w:after="283"/>
        <w:jc w:val="center"/>
        <w:rPr/>
      </w:pPr>
      <w:r>
        <w:rPr/>
      </w:r>
    </w:p>
    <w:p>
      <w:pPr>
        <w:pStyle w:val="TextBody"/>
        <w:spacing w:before="120" w:after="283"/>
        <w:jc w:val="center"/>
        <w:rPr/>
      </w:pPr>
      <w:r>
        <w:rPr/>
      </w:r>
    </w:p>
    <w:p>
      <w:pPr>
        <w:pStyle w:val="TextBody"/>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962" w:type="dxa"/>
        <w:jc w:val="left"/>
        <w:tblInd w:w="0" w:type="dxa"/>
        <w:tblCellMar>
          <w:top w:w="28" w:type="dxa"/>
          <w:left w:w="28" w:type="dxa"/>
          <w:bottom w:w="28" w:type="dxa"/>
          <w:right w:w="28" w:type="dxa"/>
        </w:tblCellMar>
      </w:tblPr>
      <w:tblGrid>
        <w:gridCol w:w="1508"/>
        <w:gridCol w:w="1322"/>
        <w:gridCol w:w="1340"/>
        <w:gridCol w:w="109"/>
        <w:gridCol w:w="109"/>
        <w:gridCol w:w="109"/>
        <w:gridCol w:w="274"/>
        <w:gridCol w:w="274"/>
        <w:gridCol w:w="276"/>
        <w:gridCol w:w="109"/>
        <w:gridCol w:w="109"/>
        <w:gridCol w:w="109"/>
        <w:gridCol w:w="970"/>
        <w:gridCol w:w="970"/>
        <w:gridCol w:w="1374"/>
      </w:tblGrid>
      <w:tr>
        <w:trPr/>
        <w:tc>
          <w:tcPr>
            <w:tcW w:w="1508"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$0.0001 per share</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CLOV</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spacing w:lineRule="auto" w:line="288" w:before="120" w:after="283"/>
        <w:ind w:left="0" w:right="0" w:firstLine="720"/>
        <w:rPr/>
      </w:pPr>
      <w:r>
        <w:rPr>
          <w:rFonts w:ascii="Times New Roman;sans-serif" w:hAnsi="Times New Roman;sans-serif"/>
          <w:b w:val="false"/>
          <w:color w:val="000000"/>
          <w:sz w:val="18"/>
        </w:rPr>
        <w:t>Indicate by check mark if the registrant is a well-known seasoned issuer, as defined in Rule 405 of the Securities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120" w:after="283"/>
        <w:ind w:left="0" w:right="0" w:firstLine="720"/>
        <w:rPr/>
      </w:pPr>
      <w:r>
        <w:rPr>
          <w:rFonts w:ascii="Times New Roman;sans-serif" w:hAnsi="Times New Roman;sans-serif"/>
          <w:b w:val="false"/>
          <w:color w:val="000000"/>
          <w:sz w:val="18"/>
        </w:rPr>
        <w:t>Indicate by check mark if the registrant is not required to file reports pursuant to Section 13 or Section 15 of the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120" w:after="283"/>
        <w:ind w:left="0" w:right="0" w:firstLine="72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120" w:after="283"/>
        <w:ind w:left="0" w:right="0" w:firstLine="72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12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8"/>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720"/>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120" w:after="283"/>
        <w:ind w:left="0" w:right="0" w:firstLine="720"/>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12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At June 30, 2021, the aggregate market value of common stock held by non-affiliates was approximately $5,469,360,178, based on a closing price of $13.32. As of February 17, 2022, the registrant had 378,527,022 shares of Class A Common Stock, $0.0001 par value per share, and 94,746,806 shares of Class B Common Stock, $0.0001 par value per share, issued and outstanding.</w:t>
      </w:r>
    </w:p>
    <w:p>
      <w:pPr>
        <w:pStyle w:val="TextBody"/>
        <w:spacing w:before="0" w:after="0"/>
        <w:rPr/>
      </w:pPr>
      <w:r>
        <w:rPr/>
      </w:r>
    </w:p>
    <w:p>
      <w:pPr>
        <w:pStyle w:val="TextBody"/>
        <w:spacing w:lineRule="auto" w:line="288" w:before="12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None.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1" name="Frame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89"/>
        <w:gridCol w:w="254"/>
        <w:gridCol w:w="255"/>
        <w:gridCol w:w="2958"/>
        <w:gridCol w:w="2948"/>
        <w:gridCol w:w="2987"/>
        <w:gridCol w:w="149"/>
        <w:gridCol w:w="149"/>
        <w:gridCol w:w="216"/>
      </w:tblGrid>
      <w:tr>
        <w:trPr/>
        <w:tc>
          <w:tcPr>
            <w:tcW w:w="28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958" w:type="dxa"/>
            <w:tcBorders/>
            <w:shd w:fill="auto" w:val="clear"/>
            <w:vAlign w:val="center"/>
          </w:tcPr>
          <w:p>
            <w:pPr>
              <w:pStyle w:val="TableContents"/>
              <w:spacing w:before="0" w:after="283"/>
              <w:rPr>
                <w:sz w:val="4"/>
                <w:szCs w:val="4"/>
              </w:rPr>
            </w:pPr>
            <w:r>
              <w:rPr>
                <w:sz w:val="4"/>
                <w:szCs w:val="4"/>
              </w:rPr>
            </w:r>
          </w:p>
        </w:tc>
        <w:tc>
          <w:tcPr>
            <w:tcW w:w="2948"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022">
              <w:r>
                <w:rPr>
                  <w:rStyle w:val="InternetLink"/>
                  <w:rFonts w:ascii="Times New Roman;sans-serif" w:hAnsi="Times New Roman;sans-serif"/>
                  <w:b/>
                  <w:color w:val="0000FF"/>
                  <w:sz w:val="20"/>
                  <w:u w:val="single"/>
                </w:rPr>
                <w:t>PART I</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028">
              <w:r>
                <w:rPr>
                  <w:rStyle w:val="InternetLink"/>
                  <w:rFonts w:ascii="Times New Roman;sans-serif" w:hAnsi="Times New Roman;sans-serif"/>
                  <w:b w:val="false"/>
                  <w:color w:val="0000FF"/>
                  <w:sz w:val="20"/>
                  <w:u w:val="single"/>
                </w:rPr>
                <w:t>Item 1.</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028">
              <w:r>
                <w:rPr>
                  <w:rStyle w:val="InternetLink"/>
                  <w:rFonts w:ascii="Times New Roman;sans-serif" w:hAnsi="Times New Roman;sans-serif"/>
                  <w:b w:val="false"/>
                  <w:color w:val="0000FF"/>
                  <w:sz w:val="20"/>
                  <w:u w:val="single"/>
                </w:rPr>
                <w:t>Business</w:t>
              </w:r>
            </w:hyperlink>
          </w:p>
        </w:tc>
        <w:tc>
          <w:tcPr>
            <w:tcW w:w="5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hyperlink w:anchor="i4007d94fc304480eb1489b5aef20b59e_1028">
              <w:r>
                <w:rPr>
                  <w:rStyle w:val="InternetLink"/>
                  <w:rFonts w:ascii="Times New Roman;sans-serif" w:hAnsi="Times New Roman;sans-serif"/>
                  <w:b w:val="false"/>
                  <w:color w:val="0000FF"/>
                  <w:sz w:val="20"/>
                  <w:u w:val="single"/>
                </w:rPr>
                <w:t>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54">
              <w:r>
                <w:rPr>
                  <w:rStyle w:val="InternetLink"/>
                  <w:rFonts w:ascii="Times New Roman;sans-serif" w:hAnsi="Times New Roman;sans-serif"/>
                  <w:b w:val="false"/>
                  <w:color w:val="0000FF"/>
                  <w:sz w:val="20"/>
                  <w:u w:val="single"/>
                </w:rPr>
                <w:t>Item 1A.</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54">
              <w:r>
                <w:rPr>
                  <w:rStyle w:val="InternetLink"/>
                  <w:rFonts w:ascii="Times New Roman;sans-serif" w:hAnsi="Times New Roman;sans-serif"/>
                  <w:b w:val="false"/>
                  <w:color w:val="0000FF"/>
                  <w:sz w:val="20"/>
                  <w:u w:val="single"/>
                </w:rPr>
                <w:t>Risk Factors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54">
              <w:r>
                <w:rPr>
                  <w:rStyle w:val="InternetLink"/>
                  <w:rFonts w:ascii="Times New Roman;sans-serif" w:hAnsi="Times New Roman;sans-serif"/>
                  <w:b w:val="false"/>
                  <w:color w:val="0000FF"/>
                  <w:sz w:val="20"/>
                  <w:u w:val="single"/>
                </w:rPr>
                <w:t>22</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036">
              <w:r>
                <w:rPr>
                  <w:rStyle w:val="InternetLink"/>
                  <w:rFonts w:ascii="Times New Roman;sans-serif" w:hAnsi="Times New Roman;sans-serif"/>
                  <w:b w:val="false"/>
                  <w:color w:val="0000FF"/>
                  <w:sz w:val="20"/>
                  <w:u w:val="single"/>
                </w:rPr>
                <w:t>Item 1B.</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036">
              <w:r>
                <w:rPr>
                  <w:rStyle w:val="InternetLink"/>
                  <w:rFonts w:ascii="Times New Roman;sans-serif" w:hAnsi="Times New Roman;sans-serif"/>
                  <w:b w:val="false"/>
                  <w:color w:val="0000FF"/>
                  <w:sz w:val="20"/>
                  <w:u w:val="single"/>
                </w:rPr>
                <w:t>Unresolved Staff Comments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036">
              <w:r>
                <w:rPr>
                  <w:rStyle w:val="InternetLink"/>
                  <w:rFonts w:ascii="Times New Roman;sans-serif" w:hAnsi="Times New Roman;sans-serif"/>
                  <w:b w:val="false"/>
                  <w:color w:val="0000FF"/>
                  <w:sz w:val="20"/>
                  <w:u w:val="single"/>
                </w:rPr>
                <w:t>57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06">
              <w:r>
                <w:rPr>
                  <w:rStyle w:val="InternetLink"/>
                  <w:rFonts w:ascii="Times New Roman;sans-serif" w:hAnsi="Times New Roman;sans-serif"/>
                  <w:b w:val="false"/>
                  <w:color w:val="0000FF"/>
                  <w:sz w:val="20"/>
                  <w:u w:val="single"/>
                </w:rPr>
                <w:t>Item 2.</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06">
              <w:r>
                <w:rPr>
                  <w:rStyle w:val="InternetLink"/>
                  <w:rFonts w:ascii="Times New Roman;sans-serif" w:hAnsi="Times New Roman;sans-serif"/>
                  <w:b w:val="false"/>
                  <w:color w:val="0000FF"/>
                  <w:sz w:val="20"/>
                  <w:u w:val="single"/>
                </w:rPr>
                <w:t>Properties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06">
              <w:r>
                <w:rPr>
                  <w:rStyle w:val="InternetLink"/>
                  <w:rFonts w:ascii="Times New Roman;sans-serif" w:hAnsi="Times New Roman;sans-serif"/>
                  <w:b w:val="false"/>
                  <w:color w:val="0000FF"/>
                  <w:sz w:val="20"/>
                  <w:u w:val="single"/>
                </w:rPr>
                <w:t>57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51">
              <w:r>
                <w:rPr>
                  <w:rStyle w:val="InternetLink"/>
                  <w:rFonts w:ascii="Times New Roman;sans-serif" w:hAnsi="Times New Roman;sans-serif"/>
                  <w:b w:val="false"/>
                  <w:color w:val="0000FF"/>
                  <w:sz w:val="20"/>
                  <w:u w:val="single"/>
                </w:rPr>
                <w:t>Item 3.</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51">
              <w:r>
                <w:rPr>
                  <w:rStyle w:val="InternetLink"/>
                  <w:rFonts w:ascii="Times New Roman;sans-serif" w:hAnsi="Times New Roman;sans-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51">
              <w:r>
                <w:rPr>
                  <w:rStyle w:val="InternetLink"/>
                  <w:rFonts w:ascii="Times New Roman;sans-serif" w:hAnsi="Times New Roman;sans-serif"/>
                  <w:b w:val="false"/>
                  <w:color w:val="0000FF"/>
                  <w:sz w:val="20"/>
                  <w:u w:val="single"/>
                </w:rPr>
                <w:t>57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3">
              <w:r>
                <w:rPr>
                  <w:rStyle w:val="InternetLink"/>
                  <w:rFonts w:ascii="Times New Roman;sans-serif" w:hAnsi="Times New Roman;sans-serif"/>
                  <w:b w:val="false"/>
                  <w:color w:val="0000FF"/>
                  <w:sz w:val="20"/>
                  <w:u w:val="single"/>
                </w:rPr>
                <w:t>Item 4.</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3">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63">
              <w:r>
                <w:rPr>
                  <w:rStyle w:val="InternetLink"/>
                  <w:rFonts w:ascii="Times New Roman;sans-serif" w:hAnsi="Times New Roman;sans-serif"/>
                  <w:b w:val="false"/>
                  <w:color w:val="0000FF"/>
                  <w:sz w:val="20"/>
                  <w:u w:val="single"/>
                </w:rPr>
                <w:t>58</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
              <w:r>
                <w:rPr>
                  <w:rStyle w:val="InternetLink"/>
                  <w:rFonts w:ascii="Times New Roman;sans-serif" w:hAnsi="Times New Roman;sans-serif"/>
                  <w:b/>
                  <w:color w:val="0000FF"/>
                  <w:sz w:val="20"/>
                  <w:u w:val="single"/>
                </w:rPr>
                <w:t>PART II</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
              <w:r>
                <w:rPr>
                  <w:rStyle w:val="InternetLink"/>
                  <w:rFonts w:ascii="Times New Roman;sans-serif" w:hAnsi="Times New Roman;sans-serif"/>
                  <w:b w:val="false"/>
                  <w:color w:val="0000FF"/>
                  <w:sz w:val="20"/>
                  <w:u w:val="single"/>
                </w:rPr>
                <w:t>59</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37">
              <w:r>
                <w:rPr>
                  <w:rStyle w:val="InternetLink"/>
                  <w:rFonts w:ascii="Times New Roman;sans-serif" w:hAnsi="Times New Roman;sans-serif"/>
                  <w:b w:val="false"/>
                  <w:color w:val="0000FF"/>
                  <w:sz w:val="20"/>
                  <w:u w:val="single"/>
                </w:rPr>
                <w:t>Item 5.</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2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37">
              <w:r>
                <w:rPr>
                  <w:rStyle w:val="InternetLink"/>
                  <w:rFonts w:ascii="Times New Roman;sans-serif" w:hAnsi="Times New Roman;sans-serif"/>
                  <w:b w:val="false"/>
                  <w:color w:val="0000FF"/>
                  <w:sz w:val="20"/>
                  <w:u w:val="single"/>
                </w:rPr>
                <w:t>59</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44">
              <w:r>
                <w:rPr>
                  <w:rStyle w:val="InternetLink"/>
                  <w:rFonts w:ascii="Times New Roman;sans-serif" w:hAnsi="Times New Roman;sans-serif"/>
                  <w:b w:val="false"/>
                  <w:color w:val="0000FF"/>
                  <w:sz w:val="20"/>
                  <w:u w:val="single"/>
                </w:rPr>
                <w:t>Item 6.</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244">
              <w:r>
                <w:rPr>
                  <w:rStyle w:val="InternetLink"/>
                  <w:rFonts w:ascii="Times New Roman;sans-serif" w:hAnsi="Times New Roman;sans-serif"/>
                  <w:b w:val="false"/>
                  <w:color w:val="0000FF"/>
                  <w:sz w:val="20"/>
                  <w:u w:val="single"/>
                </w:rPr>
                <w:t>Selected Financial Data</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44">
              <w:r>
                <w:rPr>
                  <w:rStyle w:val="InternetLink"/>
                  <w:rFonts w:ascii="Times New Roman;sans-serif" w:hAnsi="Times New Roman;sans-serif"/>
                  <w:b w:val="false"/>
                  <w:color w:val="0000FF"/>
                  <w:sz w:val="20"/>
                  <w:u w:val="single"/>
                </w:rPr>
                <w:t>59</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03">
              <w:r>
                <w:rPr>
                  <w:rStyle w:val="InternetLink"/>
                  <w:rFonts w:ascii="Times New Roman;sans-serif" w:hAnsi="Times New Roman;sans-serif"/>
                  <w:b w:val="false"/>
                  <w:color w:val="0000FF"/>
                  <w:sz w:val="20"/>
                  <w:u w:val="single"/>
                </w:rPr>
                <w:t>Item 7.</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03">
              <w:r>
                <w:rPr>
                  <w:rStyle w:val="InternetLink"/>
                  <w:rFonts w:ascii="Times New Roman;sans-serif" w:hAnsi="Times New Roman;sans-serif"/>
                  <w:b w:val="false"/>
                  <w:color w:val="0000FF"/>
                  <w:sz w:val="20"/>
                  <w:u w:val="single"/>
                </w:rPr>
                <w:t>60</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42">
              <w:r>
                <w:rPr>
                  <w:rStyle w:val="InternetLink"/>
                  <w:rFonts w:ascii="Times New Roman;sans-serif" w:hAnsi="Times New Roman;sans-serif"/>
                  <w:b w:val="false"/>
                  <w:color w:val="0000FF"/>
                  <w:sz w:val="20"/>
                  <w:u w:val="single"/>
                </w:rPr>
                <w:t>Item 7A.</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42">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42">
              <w:r>
                <w:rPr>
                  <w:rStyle w:val="InternetLink"/>
                  <w:rFonts w:ascii="Times New Roman;sans-serif" w:hAnsi="Times New Roman;sans-serif"/>
                  <w:b w:val="false"/>
                  <w:color w:val="0000FF"/>
                  <w:sz w:val="20"/>
                  <w:u w:val="single"/>
                </w:rPr>
                <w:t>77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
              <w:r>
                <w:rPr>
                  <w:rStyle w:val="InternetLink"/>
                  <w:rFonts w:ascii="Times New Roman;sans-serif" w:hAnsi="Times New Roman;sans-serif"/>
                  <w:b w:val="false"/>
                  <w:color w:val="0000FF"/>
                  <w:sz w:val="20"/>
                  <w:u w:val="single"/>
                </w:rPr>
                <w:t>Item 8.</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6">
              <w:r>
                <w:rPr>
                  <w:rStyle w:val="InternetLink"/>
                  <w:rFonts w:ascii="Times New Roman;sans-serif" w:hAnsi="Times New Roman;sans-serif"/>
                  <w:b w:val="false"/>
                  <w:color w:val="0000FF"/>
                  <w:sz w:val="20"/>
                  <w:u w:val="single"/>
                </w:rPr>
                <w:t>Financial Statements and Supplementary Data</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6">
              <w:r>
                <w:rPr>
                  <w:rStyle w:val="InternetLink"/>
                  <w:rFonts w:ascii="Times New Roman;sans-serif" w:hAnsi="Times New Roman;sans-serif"/>
                  <w:b w:val="false"/>
                  <w:color w:val="0000FF"/>
                  <w:sz w:val="20"/>
                  <w:u w:val="single"/>
                </w:rPr>
                <w:t>77</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73">
              <w:r>
                <w:rPr>
                  <w:rStyle w:val="InternetLink"/>
                </w:rPr>
                <w:t xml:space="preserve">Item </w:t>
              </w:r>
            </w:hyperlink>
            <w:hyperlink w:anchor="i4007d94fc304480eb1489b5aef20b59e_1273">
              <w:r>
                <w:rPr>
                  <w:rStyle w:val="InternetLink"/>
                </w:rPr>
                <w:t>9.</w:t>
              </w:r>
            </w:hyperlink>
          </w:p>
        </w:tc>
        <w:tc>
          <w:tcPr>
            <w:tcW w:w="88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73">
              <w:r>
                <w:rPr>
                  <w:rStyle w:val="InternetLink"/>
                </w:rPr>
                <w:t>Changes in and Disagreements with Accountants on Accounting</w:t>
              </w:r>
            </w:hyperlink>
            <w:hyperlink w:anchor="i4007d94fc304480eb1489b5aef20b59e_1273">
              <w:r>
                <w:rPr>
                  <w:rStyle w:val="InternetLink"/>
                </w:rPr>
                <w:t xml:space="preserve"> and </w:t>
              </w:r>
            </w:hyperlink>
            <w:hyperlink w:anchor="i4007d94fc304480eb1489b5aef20b59e_1273">
              <w:r>
                <w:rPr>
                  <w:rStyle w:val="InternetLink"/>
                </w:rPr>
                <w:t>Financial Disclosure</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73">
              <w:r>
                <w:rPr>
                  <w:rStyle w:val="InternetLink"/>
                  <w:rFonts w:ascii="Times New Roman;sans-serif" w:hAnsi="Times New Roman;sans-serif"/>
                  <w:b w:val="false"/>
                  <w:color w:val="0000FF"/>
                  <w:sz w:val="20"/>
                  <w:u w:val="single"/>
                </w:rPr>
                <w:t>129</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45">
              <w:r>
                <w:rPr>
                  <w:rStyle w:val="InternetLink"/>
                </w:rPr>
                <w:t xml:space="preserve">Item </w:t>
              </w:r>
            </w:hyperlink>
            <w:hyperlink w:anchor="i4007d94fc304480eb1489b5aef20b59e_145">
              <w:r>
                <w:rPr>
                  <w:rStyle w:val="InternetLink"/>
                </w:rPr>
                <w:t>9A</w:t>
              </w:r>
            </w:hyperlink>
            <w:hyperlink w:anchor="i4007d94fc304480eb1489b5aef20b59e_145">
              <w:r>
                <w:rPr>
                  <w:rStyle w:val="InternetLink"/>
                </w:rPr>
                <w:t>.</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45">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45">
              <w:r>
                <w:rPr>
                  <w:rStyle w:val="InternetLink"/>
                  <w:rFonts w:ascii="Times New Roman;sans-serif" w:hAnsi="Times New Roman;sans-serif"/>
                  <w:b w:val="false"/>
                  <w:color w:val="0000FF"/>
                  <w:sz w:val="20"/>
                  <w:u w:val="single"/>
                </w:rPr>
                <w:t>129</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6">
              <w:r>
                <w:rPr>
                  <w:rStyle w:val="InternetLink"/>
                  <w:rFonts w:ascii="Times New Roman;sans-serif" w:hAnsi="Times New Roman;sans-serif"/>
                  <w:b w:val="false"/>
                  <w:color w:val="0000FF"/>
                  <w:sz w:val="20"/>
                  <w:u w:val="single"/>
                </w:rPr>
                <w:t>Item 9B.</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6">
              <w:r>
                <w:rPr>
                  <w:rStyle w:val="InternetLink"/>
                  <w:rFonts w:ascii="Times New Roman;sans-serif" w:hAnsi="Times New Roman;sans-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66">
              <w:r>
                <w:rPr>
                  <w:rStyle w:val="InternetLink"/>
                  <w:rFonts w:ascii="Times New Roman;sans-serif" w:hAnsi="Times New Roman;sans-serif"/>
                  <w:b w:val="false"/>
                  <w:color w:val="0000FF"/>
                  <w:sz w:val="20"/>
                  <w:u w:val="single"/>
                </w:rPr>
                <w:t>132</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07">
              <w:r>
                <w:rPr>
                  <w:rStyle w:val="InternetLink"/>
                  <w:rFonts w:ascii="Times New Roman;sans-serif" w:hAnsi="Times New Roman;sans-serif"/>
                  <w:b/>
                  <w:color w:val="0000FF"/>
                  <w:sz w:val="20"/>
                  <w:u w:val="single"/>
                </w:rPr>
                <w:t>PART III</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07">
              <w:r>
                <w:rPr>
                  <w:rStyle w:val="InternetLink"/>
                  <w:rFonts w:ascii="Times New Roman;sans-serif" w:hAnsi="Times New Roman;sans-serif"/>
                  <w:b w:val="false"/>
                  <w:color w:val="0000FF"/>
                  <w:sz w:val="20"/>
                  <w:u w:val="single"/>
                </w:rPr>
                <w:t>132</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15">
              <w:r>
                <w:rPr>
                  <w:rStyle w:val="InternetLink"/>
                </w:rPr>
                <w:t xml:space="preserve">Item </w:t>
              </w:r>
            </w:hyperlink>
            <w:hyperlink w:anchor="i4007d94fc304480eb1489b5aef20b59e_1315">
              <w:r>
                <w:rPr>
                  <w:rStyle w:val="InternetLink"/>
                </w:rPr>
                <w:t>10.</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315">
              <w:r>
                <w:rPr>
                  <w:rStyle w:val="InternetLink"/>
                  <w:rFonts w:ascii="Times New Roman;sans-serif" w:hAnsi="Times New Roman;sans-serif"/>
                  <w:b w:val="false"/>
                  <w:color w:val="0000FF"/>
                  <w:sz w:val="20"/>
                  <w:u w:val="single"/>
                </w:rPr>
                <w:t>Directors, Executive Officers and Corporate Governance</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15">
              <w:r>
                <w:rPr>
                  <w:rStyle w:val="InternetLink"/>
                  <w:rFonts w:ascii="Times New Roman;sans-serif" w:hAnsi="Times New Roman;sans-serif"/>
                  <w:b w:val="false"/>
                  <w:color w:val="0000FF"/>
                  <w:sz w:val="20"/>
                  <w:u w:val="single"/>
                </w:rPr>
                <w:t>132</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21">
              <w:r>
                <w:rPr>
                  <w:rStyle w:val="InternetLink"/>
                </w:rPr>
                <w:t xml:space="preserve">Item </w:t>
              </w:r>
            </w:hyperlink>
            <w:hyperlink w:anchor="i4007d94fc304480eb1489b5aef20b59e_1321">
              <w:r>
                <w:rPr>
                  <w:rStyle w:val="InternetLink"/>
                </w:rPr>
                <w:t>11.</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21">
              <w:r>
                <w:rPr>
                  <w:rStyle w:val="InternetLink"/>
                  <w:rFonts w:ascii="Times New Roman;sans-serif" w:hAnsi="Times New Roman;sans-serif"/>
                  <w:b w:val="false"/>
                  <w:color w:val="0000FF"/>
                  <w:sz w:val="20"/>
                  <w:u w:val="single"/>
                </w:rPr>
                <w:t>Executive Compensation</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21">
              <w:r>
                <w:rPr>
                  <w:rStyle w:val="InternetLink"/>
                  <w:rFonts w:ascii="Times New Roman;sans-serif" w:hAnsi="Times New Roman;sans-serif"/>
                  <w:b w:val="false"/>
                  <w:color w:val="0000FF"/>
                  <w:sz w:val="20"/>
                  <w:u w:val="single"/>
                </w:rPr>
                <w:t>136</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34">
              <w:r>
                <w:rPr>
                  <w:rStyle w:val="InternetLink"/>
                </w:rPr>
                <w:t xml:space="preserve">Item </w:t>
              </w:r>
            </w:hyperlink>
            <w:hyperlink w:anchor="i4007d94fc304480eb1489b5aef20b59e_1334">
              <w:r>
                <w:rPr>
                  <w:rStyle w:val="InternetLink"/>
                </w:rPr>
                <w:t>12.</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34">
              <w:r>
                <w:rPr>
                  <w:rStyle w:val="InternetLink"/>
                </w:rPr>
                <w:t>Security Ownership of Certain Beneficial Owners and Management</w:t>
              </w:r>
            </w:hyperlink>
            <w:hyperlink w:anchor="i4007d94fc304480eb1489b5aef20b59e_1334">
              <w:r>
                <w:rPr>
                  <w:rStyle w:val="InternetLink"/>
                </w:rPr>
                <w:t xml:space="preserve"> and </w:t>
              </w:r>
            </w:hyperlink>
            <w:hyperlink w:anchor="i4007d94fc304480eb1489b5aef20b59e_1334">
              <w:r>
                <w:rPr>
                  <w:rStyle w:val="InternetLink"/>
                </w:rPr>
                <w:t>Related Stockholder Matters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34">
              <w:r>
                <w:rPr>
                  <w:rStyle w:val="InternetLink"/>
                  <w:rFonts w:ascii="Times New Roman;sans-serif" w:hAnsi="Times New Roman;sans-serif"/>
                  <w:b w:val="false"/>
                  <w:color w:val="0000FF"/>
                  <w:sz w:val="20"/>
                  <w:u w:val="single"/>
                </w:rPr>
                <w:t>155</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29">
              <w:r>
                <w:rPr>
                  <w:rStyle w:val="InternetLink"/>
                </w:rPr>
                <w:t xml:space="preserve">Item </w:t>
              </w:r>
            </w:hyperlink>
            <w:hyperlink w:anchor="i4007d94fc304480eb1489b5aef20b59e_1329">
              <w:r>
                <w:rPr>
                  <w:rStyle w:val="InternetLink"/>
                </w:rPr>
                <w:t>13.</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2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29">
              <w:r>
                <w:rPr>
                  <w:rStyle w:val="InternetLink"/>
                  <w:rFonts w:ascii="Times New Roman;sans-serif" w:hAnsi="Times New Roman;sans-serif"/>
                  <w:b w:val="false"/>
                  <w:color w:val="0000FF"/>
                  <w:sz w:val="20"/>
                  <w:u w:val="single"/>
                </w:rPr>
                <w:t>158</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43">
              <w:r>
                <w:rPr>
                  <w:rStyle w:val="InternetLink"/>
                </w:rPr>
                <w:t xml:space="preserve">Item </w:t>
              </w:r>
            </w:hyperlink>
            <w:hyperlink w:anchor="i4007d94fc304480eb1489b5aef20b59e_1343">
              <w:r>
                <w:rPr>
                  <w:rStyle w:val="InternetLink"/>
                </w:rPr>
                <w:t>14.</w:t>
              </w:r>
            </w:hyperlink>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343">
              <w:r>
                <w:rPr>
                  <w:rStyle w:val="InternetLink"/>
                  <w:rFonts w:ascii="Times New Roman;sans-serif" w:hAnsi="Times New Roman;sans-serif"/>
                  <w:b w:val="false"/>
                  <w:color w:val="0000FF"/>
                  <w:sz w:val="20"/>
                  <w:u w:val="single"/>
                </w:rPr>
                <w:t>Principal Accounting Fees and Services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343">
              <w:r>
                <w:rPr>
                  <w:rStyle w:val="InternetLink"/>
                  <w:rFonts w:ascii="Times New Roman;sans-serif" w:hAnsi="Times New Roman;sans-serif"/>
                  <w:b w:val="false"/>
                  <w:color w:val="0000FF"/>
                  <w:sz w:val="20"/>
                  <w:u w:val="single"/>
                </w:rPr>
                <w:t>160</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82">
              <w:r>
                <w:rPr>
                  <w:rStyle w:val="InternetLink"/>
                </w:rPr>
                <w:t>P</w:t>
              </w:r>
            </w:hyperlink>
            <w:hyperlink w:anchor="i4007d94fc304480eb1489b5aef20b59e_1282">
              <w:r>
                <w:rPr>
                  <w:rStyle w:val="InternetLink"/>
                </w:rPr>
                <w:t>ART</w:t>
              </w:r>
            </w:hyperlink>
            <w:hyperlink w:anchor="i4007d94fc304480eb1489b5aef20b59e_1282">
              <w:r>
                <w:rPr>
                  <w:rStyle w:val="InternetLink"/>
                </w:rPr>
                <w:t xml:space="preserve"> IV</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82">
              <w:r>
                <w:rPr>
                  <w:rStyle w:val="InternetLink"/>
                  <w:rFonts w:ascii="Times New Roman;sans-serif" w:hAnsi="Times New Roman;sans-serif"/>
                  <w:b w:val="false"/>
                  <w:color w:val="0000FF"/>
                  <w:sz w:val="20"/>
                  <w:u w:val="single"/>
                </w:rPr>
                <w:t>161</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69">
              <w:r>
                <w:rPr>
                  <w:rStyle w:val="InternetLink"/>
                </w:rPr>
                <w:t xml:space="preserve">Item </w:t>
              </w:r>
            </w:hyperlink>
            <w:hyperlink w:anchor="i4007d94fc304480eb1489b5aef20b59e_169">
              <w:r>
                <w:rPr>
                  <w:rStyle w:val="InternetLink"/>
                </w:rPr>
                <w:t>15.</w:t>
              </w:r>
            </w:hyperlink>
          </w:p>
        </w:tc>
        <w:tc>
          <w:tcPr>
            <w:tcW w:w="88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69">
              <w:r>
                <w:rPr>
                  <w:rStyle w:val="InternetLink"/>
                  <w:rFonts w:ascii="Times New Roman;sans-serif" w:hAnsi="Times New Roman;sans-serif"/>
                  <w:b w:val="false"/>
                  <w:color w:val="0000FF"/>
                  <w:sz w:val="20"/>
                  <w:u w:val="single"/>
                </w:rPr>
                <w:t>Exhibits and Financial Statement Schedules</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69">
              <w:r>
                <w:rPr>
                  <w:rStyle w:val="InternetLink"/>
                  <w:rFonts w:ascii="Times New Roman;sans-serif" w:hAnsi="Times New Roman;sans-serif"/>
                  <w:b w:val="false"/>
                  <w:color w:val="0000FF"/>
                  <w:sz w:val="20"/>
                  <w:u w:val="single"/>
                </w:rPr>
                <w:t>162</w:t>
              </w:r>
            </w:hyperlink>
          </w:p>
        </w:tc>
      </w:tr>
      <w:tr>
        <w:trPr/>
        <w:tc>
          <w:tcPr>
            <w:tcW w:w="7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95">
              <w:r>
                <w:rPr>
                  <w:rStyle w:val="InternetLink"/>
                </w:rPr>
                <w:t xml:space="preserve">Item </w:t>
              </w:r>
            </w:hyperlink>
            <w:hyperlink w:anchor="i4007d94fc304480eb1489b5aef20b59e_1295">
              <w:r>
                <w:rPr>
                  <w:rStyle w:val="InternetLink"/>
                </w:rPr>
                <w:t>16.</w:t>
              </w:r>
            </w:hyperlink>
          </w:p>
        </w:tc>
        <w:tc>
          <w:tcPr>
            <w:tcW w:w="88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007d94fc304480eb1489b5aef20b59e_1295">
              <w:r>
                <w:rPr>
                  <w:rStyle w:val="InternetLink"/>
                  <w:rFonts w:ascii="Times New Roman;sans-serif" w:hAnsi="Times New Roman;sans-serif"/>
                  <w:b w:val="false"/>
                  <w:color w:val="0000FF"/>
                  <w:sz w:val="20"/>
                  <w:u w:val="single"/>
                </w:rPr>
                <w:t>Form 10-K Summary</w:t>
              </w:r>
            </w:hyperlink>
          </w:p>
        </w:tc>
        <w:tc>
          <w:tcPr>
            <w:tcW w:w="51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4007d94fc304480eb1489b5aef20b59e_1295">
              <w:r>
                <w:rPr>
                  <w:rStyle w:val="InternetLink"/>
                  <w:rFonts w:ascii="Times New Roman;sans-serif" w:hAnsi="Times New Roman;sans-serif"/>
                  <w:b w:val="false"/>
                  <w:color w:val="0000FF"/>
                  <w:sz w:val="20"/>
                  <w:u w:val="single"/>
                </w:rPr>
                <w:t>163</w:t>
              </w:r>
            </w:hyperlink>
          </w:p>
        </w:tc>
      </w:tr>
      <w:tr>
        <w:trPr/>
        <w:tc>
          <w:tcPr>
            <w:tcW w:w="9691"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007d94fc304480eb1489b5aef20b59e_172">
              <w:r>
                <w:rPr>
                  <w:rStyle w:val="InternetLink"/>
                  <w:rFonts w:ascii="Times New Roman;sans-serif" w:hAnsi="Times New Roman;sans-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 used in this report, “Corporation,” “Company,” “Clover Health,” “we,” “us,” “our,” and similar terms refer to Clover Health Investments, Corp. and its consolidated subsidiaries, unless otherwise noted or the context otherwise requires.</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in this document and the risk factors described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results of operations, financial condition, and cash flows;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expectations regarding the development and expansion of our Medicare Advantage and Direct Contracting businesses;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service markets and manage our operations;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anticipated trends and challenges in our business and in the markets in which we operate;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expand our beneficiary base and provider network;</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increase adoption and use of the Clover Assistant;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anticipated benefits associated with the use of the Clover Assistant platform, including our ability to utilize the platform to manage our medical care ratios;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develop new features and functionality that meet market needs and achieve market acceptance;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retain and hire necessary employees and staff our operations appropriately;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timing and amount of certain investments in growth;</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 of uncertainties related to the global COVID-19 pandemic on our business, results of operations, and financial condition;</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any current, pending or future legislation, regulations or policies that could have a negative effect on our revenue and businesses, including rules, regulations and policies relating to healthcare and Medicare;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or improve our Star Ratings or otherwise continue to improve the financial performance of our business;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protect and enhance our intellectual property;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general economic conditions, including the societal and economic impact of the COVID-19 pandemic, and geopolitical uncertainty and instability.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document or to conform these statements to actual results or revised expectations.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You should read this document with the understanding that our actual future results, levels of activity, performance and events and circumstances may be materially different from what we expect. 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are reliable, we have not separately verified these data. You are cautioned not to give undue weight to any such information, projections and estimates.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including without limitation, the important factors described in the “Risk Factors” section in this document, our actual results or performance may be materially different from those expressed or implied by these forward-looking statements.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 Summary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risks highlighted in the section titled “Risk Factors,” that represent challenges that we face in connection with our business. The occurrence of one or more of the events or circumstances described in the section titled “Risk Factors,” alone or in combination with other events or circumstances, may have an adverse effect on our business, financial condition, results of operations, and prospects. These risks include, among others, the following, which we consider to be our most material risks: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have incurred net losses in the past, we anticipate increased expenses in the future, and we may not be able to achieve or maintain profitability.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have relatively limited experience with the Clover Assistant, and initial results may not be indicative of future performance.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expansion into Direct Contracting presents new risks to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Centers for Medicare &amp; Medicaid Services’ risk adjustment payment system makes our revenue and profitability difficult to predict and could result in material retroactive adjustments to our results of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risks associated with the COVID-19 pandemic, which could have a material adverse effect on our business, results of operations, financial condition, and financial performance.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adoption and use of the Clover Assistant is lower than we expect, our growth may slow or stall, or we may experience a decline in our Lives under Clover Management, and our operating results could be adversely affected.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are unable to succeed in expanding our Lives under Clover Management, our future growth would be limited, and our business, financial condition, and results of operations would be harmed.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members and DCE Beneficiaries remain concentrated in certain geographic areas and populations, which exposes us to unfavorable changes in local benefit costs, reimbursement rates, competition, and economic conditions.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new markets, particularly rural markets, may not be as profitable to serve as our existing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operating results may be adversely affected if we are unable to grow our provider networks or contract with providers, medical facilities, and other entities on competitive terms.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be unable to effectively manage our growth, which could have a material adverse effect on our business, financial condition, and results of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international operations pose certain risks to our business that may be different from risks associated with our domestic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currently, and may in the future be, subject to investigations and litigation, which could be costly and time-consuming to defend, and the outcomes of which cannot be predicted.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to protect or enforce our intellectual property rights could impair our ability to protect our internally-developed technology and our brand, and our business may be adversely affected.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obtain or maintain the right to use certain of our intellectual property could negatively affect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 prices and trading volume of our shares of Class A common stock have experienced extreme volatility in recent periods, and such volatility could return, regardless of our operating performance.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substantial amounts of our securities in the public markets, or the perception that they might occur, could cause the market price of our common stock to decline.</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power with certain stockholders, including our directors, executive officers, principal stockholders, and their respective affiliates, who held in the aggregate 81.8% of the voting power of our capital stock as of December 31,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Clover Health, we are singularly focused on creating great, sustainable healthcare to improve every life. We have centered our strategy on building and deploying physician-enablement software that we believe can enable every physician to deliver data-driven value-based care, without the need to adopt complicated value-based payment schemes. We first launched this approach in our Medicare Advantage (MA) insurance business and have recently brought it to a new non-insurance line of business through fee-for-service Medicare.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 our proprietary software platform, is designed to enable healthcare providers to improve the care for all patients. Historically, value-based care has generally been restricted to sophisticated physician groups with the resources and infrastructure to support it. This has left behind physicians that care for many Medicare beneficiaries, especially among at-risk populations. With the Clover Assistant, we believe we can help all physicians, and thus all patients, enjoy the benefits of value-based care. This approach of empowering all physicians has allowed us to focus on driving Clover Assistant adoption as a means of rapidly growing our number of lives under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MA insurance business, we leverage our flagship software platform, the Clover Assistant, to provide America’s seniors with Preferred Provider Organization (PPO) and Health Maintenance Organization (HMO) plans that are the obvious choice for Medicare-eligible consumers. We call our plans “Obvious” because we aim to provide great, affordable healthcare for all - we offer most of our MA members, whom we refer to as members, the lowest average out-of-pocket costs for primary care provider (PCP) co-pays, specialist co-pays, drug deductibles and drug costs in their markets. Unlike most Medicare Advantage plans, we deeply believe in providing our MA members with provider choice, and we consider our PPO plan to be our flagship insurance product. An important feature of our MA product is wide network access, and we often offer the same cost-sharing (co-pays and deductibles) for visits with primary care providers who are in- and out-of-network. We manage care on our wide network by empowering providers with data-driven, personalized insights at the point of care through the Clover Assistant, which we believe allows us to improve clinical decision-making through a highly scalable asset-light approach. We reach a broad array of consumers, including traditionally underserved populations. As of January 1, 2022, we operated our MA plans in nine states and 209 counties.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expanded into a non-insurance line of business when we made the Clover Assistant available in Medicare fee-for-service through the new Global and Professional Direct Contracting Model (DC Model) of the Centers for Medicare &amp; Medicaid Services (CMS). Through our Direct Contracting Entity (DCE) under the DC Model, which launched on April 1, 2021, we have enabled providers to use the Clover Assistant when they are treating patients who are enrolled in Original Medicare, which is the largest segment of Medicare. The majority of Original Medicare beneficiaries aligned to our DCE (the “DCE Beneficiaries” and, together with our members, the “beneficiaries” or “Lives under Clover Management”), are aligned to our DCE when CMS’ attribution model attributes them to a provider with whom Clover has contracted as a “DC Participant” provider. Expanding into Original Medicare is a strategic milestone for Clover and demonstrates the scalability of the Clover Assistant into non-insurance segments. While other companies may be constrained by antiquated technologies, geographic limitations, or asset-heavy approaches, we believe our tech-centric strategy enables us to quickly and cost effectively deploy software to providers nationwide, including in historically underserved markets. As of January 1, 2022, we are contracted with participating providers across 22 states who manage care for our DCE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High provider engagement with the Clover Assistant enables real-time, data-driven decision-making for our beneficiaries and drives rapid software iteration: the more that providers use the Clover Assistant, the more it learns and furthers the precision of personalized data-driven recommendations. We combine our beneficiary data with provider-generated data and use this powerful closed feedback loop to continuously tune our clinical rules and machine learning models, as well as to select and prioritize future software capabilities. We believe the use and continuous improvement of the Clover Assistant has resulted in not only improved clinical decision-making but also enhanced MA plan performance. The platform facilitates identifying and engaging with our most at-risk patients for our clinical programs. These programs are designed to provide additional targeted care support and to further drive better plan performance. We believe that this framework, through our participation in the DC Model, will allow us to bring improvements to care and costs across a larger patient population, especially as it empowers our contracted providers to drive improved clinical outcomes.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complement our contracted healthcare providers and their patients with our in-home primary care program, Clover Home Care, which covers the sickest, most medically complex patients, often with advanced comorbidities. We believe the Clover Assistant makes home care for high-risk individuals more scalable than fixed-site-based care and permits technology deployment to enhance care and outcomes directly where patients live because our value proposition is centered around software. Compared to the at-risk provider group models that may seek to take away patients from their existing PCPs, Clover Home Care seeks to preserve the PCP-to-patient relationship through collaboration, which improves health outcomes and reduces medical expense.</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Unlike many other companies in Medicare, we have made it a priority to work with Medicare beneficiaries in underserved communities. For example, as of the third quarter of 2021, approximately 49% of our Medicare Advantage members who self-report their race or ethnicity identify as people of color while the industry average is 34%. Additionally, as of the third quarter of 2021, 72% of our members were diagnosed with at least two chronic diseases, and about 66% lived in communities that fall within the top five deciles of what the government defines as areas with high socioeconomic deprivation. Additionally, Clover was identified as a plan with strong performance on a prototype of the Medicare Advantage Health Equity Summary Score (HESS), which is a newly developed measurement tool for identifying plans that do well at providing high-quality, equitable care to their members, including groups who are disproportionately affected by social risk factors. We believe this achievement is evidence of Clover’s success in ensuring high-quality care for those most in need.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 Our principal executive offices are located at 3401 Mallory Lane, Suite 210, Franklin, Tennessee 37067. Our telephone number is (201) 432-2133. Our website address is www.cloverhealth.com. The content on any website referred to in this report is not incorporated by reference in this 10-K unless expressly noted.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Opportunity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an opportunity to fundamentally change healthcare by providing an easy-to-access on-ramp to value-based care for providers across the country. By leveraging the Clover Assistant platform, we believe we can raise the level of care provided by every provider and rapidly and broadly scale in ways that traditional managed care plans and risk-bearing provider groups cannot. We principally scale our model of care by deploying physician-enablement software to providers. We primarily contract with providers simply to use the Clover Assistant at the point of care for a flat fee rather than, for example, negotiating complicated contracts involving risk-sharing arrangements under which the provider assumes downside financial responsibilities for patient care. Our platform, which enables differentiated open network patient care, supports our expansion into virtually any market, including traditionally underserved markets that are generally not viable for others because those markets often lack providers willing or able to assume financial risk for the costs of patient care.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Medicare is the focal point of our opportunity. Over 60 million people were enrolled in Medicare in 2021, and that number is expected to rise, equating to over $1 trillion in total expenditures by 2025. Within Medicare, the MA market made up approximately $270 billion of annual spend in 2020 and is expected to grow to approximately $590 billion by 2025, and Original Medicare is expected to grow from $530 billion to $665 billion over the same period.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January 1, 2022, we operated MA plans in nine states and 209 counties, and under the DC Model, which launched in April 2021, we have had an opportunity to engage in the “Original Medicare” fee for service market, in which beneficiaries enroll in Medicare directly with the federal government, and to develop relationships with new and existing providers in any geography by giving them the opportunity to use the Clover Assistant with their Original Medicare patients while benefiting from higher compensation than that available under Original Medicare. As part of the program, Clover contracts directly with providers to use the Clover Assistant to help manage their Original Medicare patients. An Original Medicare patient becomes aligned to our DCE when CMS’ attribution model attributes them, based on claims data or a patient’s designation, to a provider with whom Clover has contracted as a “DC Participant” provider. We also contract with “preferred” providers, which include specialists and ancillary facilities that agree to participate in Direct Contracting with Clover’s DCE. In each of these scenarios, while Clover participates in the provider’s risk arrangements, we do not act as an insurer. Under our global risk arrangement, total medical costs borne by CMS for these aligned beneficiaries are calculated and compared to a risk-adjusted benchmark rate that is established by CMS. Our DCE will receive any savings, or bear any losses, generated, subject to several risk mitigation mechanisms. We believe this program represents a significant economic and market opportunity for us to deploy our platform across a national footprint, including in markets where we do not have a presence in MA.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in the future, there will be an opportunity to deploy a software-as-a-service model or risk management services for other value-based care organizations to utilize the Clover Assistant. These strategies are currently in development.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Technology Platform: The Clover Assistant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Clover Assistant is a purpose-built technology platform that engages providers and empowers them to deliver data-driven, personalized care. This physician-enablement platform is designed to synthesize comprehensive, longitudinal sets of data to generate provider-focused machine learning, artificial intelligence, and rules-based insights, and drive action by surfacing the most relevant, personalized information to providers directly at the point of care. Through this democratization of data access for providers, we seek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reduce the variability in clinical decision-making, drive improved adherence to evidence-based protocols, and help providers deliver better care. As a result, the Clover Assistant enables healthcare to work at the speed of software.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believe the key and differentiated features of the Clover Assistant technology platform include: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Real-time actionable insights at the point of care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 aggregates and structures millions of data points per day, derived from a variety of data sets, such as claims data, medical charts, medication data, diagnostic data, and data generated from electronic health records (EHR), across dozens of typically siloed and inconsistently formatted data feeds. It connects this data with up-to-date, evidence-based protocols and patient-specific plan information to drive real-time, personalized, and actionable insights to providers at the point of care. These real-time, data-rich insights are available to inform providers’ decision-making at the moment that they are interacting with and treating their patients.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Provider delight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launching our platform in July 2018, we have driven provider adoption of the Clover Assistant platform through its user-centric design, highly actionable and real-time clinical content, enhanced and rapid Clover Assistant payments and simple onboarding. These features have delighted providers. Because our platform provides highly-actionable clinical content through an intuitive interface that easily integrates into the providers’ workflow, our broad base of contracted providers are highly engaged.</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Integrated into provider workflows via EHRs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we delivered the first of an ongoing program of anticipated integrations for the Clover Assistant into a third-party EHR systems. This technology program is designed to enable the Clover Assistant to be used seamlessly with major EHR systems, further improving physician workflows and reducing duplicative actions by providers and administrators. We aim for the Clover Assistant to be available to physicians in ways that best suit them and their practices.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Smoother workflows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Beyond the clinical benefits and intuitive technology, the Clover Assistant also provides providers serving our beneficiaries with a simple, streamlined administrative model. Upon completion of a patient visit with the Clover Assistant, providers are paid at predictable, prompt and enhanced per-visit rates, directly through the Clover Assistant program, which often requires separate billing and longer payment cycles. This enhanced and simplified payment model allows providers to focus on delivering care instead of documenting claims for payment.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Differentiated plan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 platform is designed to enable our mission-aligned business model to drive the empowerment of providers and improve care for beneficiaries while contributing to improved margins for our MA plans and DCE. As a result of our provider-focused, data-driven platform, returning MA members with providers who have been using the Clover Assistant, on average, have had lower medical care ratios (MCRs) than members whose providers have not used the Clover Assistant.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Rapid software iteration via our closed feedback loop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is highly dynamic and continues to improve as we capture more data. As an MA plan and DCE that builds our own internally-developed physician-enablement software, we believe we are differentiated in our ability to continuously build upon our broad sets of rich data, resulting in a rapid learn-iterate-deploy software improvement cycle. We capture real-time data via live provider engagement and feedback through the Clover Assistant. This highly engaged, bi-directional data sharing construct creates a closed feedback loop, allowing us to continuously measure the results of our platform’s recommendations in real-time as well as iterate and improve our platform.</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employ an agile software development methodology to introduce frequent updates to the platform. In addition to regular improvement of the Clover Assistant, this enables us to rapidly introduce new capabilities in response to changes in the market.</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Rapid scalable implementations, powered by the cloud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Clover Assistant’s flexible systems architecture allows us to scale and upgrade the platform across geographies, healthcare delivery systems, and information technology infrastructures rapidly and efficiently while providing a consistent and robust user experience. Our cloud-based software platform enables a low-touch onboarding process for our providers, who are trained and go live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Clover Assistant typically within one hour. Additionally, each new release is instantaneously available across our user base, so that all of our providers may use the same, latest version of the Clover Assistant available to them at any time.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differentiated clinical care capabilities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work hard to drive better care for our lives under management. To accomplish this goal, we aim to develop a comprehensive understanding of each patient, their conditions and needs as well as how those factors change over time, so that we can provide guidance to their providers regarding when appropriate interventions should be delivered. We monitor a range of data sources over time and capitalize on emerging interoperability data standards to create a comprehensive view of each patient’s disease trajectory. Taking this holistic approach helps us to improve personalized chronic disease management and care coordination. Designed under the guidance of our clinical team physicians and utilizing the data we collect, the Clover Assistant is intended to provide insights in a clear and actionable format to the provider directly at the point of care, thereby facilitating adherence to evidence-based protocols for our lives under management. In addition, it enables rapid identification and enrollment of patient populations that would greatly benefit from complex care management or our other in-house clinical programs.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features of our clinical care capabilities provide significant value to providers and our beneficiaries: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Providers enabled and empowered with insights at the point of care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a patient visit, in the office, via telemedicine or the home, a provider utilizing the Clover Assistant may encounter any of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Synthesized sets of collated, actionable data. Providers often do not have access to comprehensive information about their patients’ interactions, such as a recent hospital admission or specialist-prescribed medication, across the healthcare ecosystem. The Clover Assistant is designed to eliminate this inefficiency by surfacing relevant and important data from sources across the healthcare ecosystem for providers at the point of 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Personalized clinical guidelines for chronic condition management. Our lives under management are seniors and long-term disabled individuals who exhibit many common chronic conditions and often manage them with multiple medications. Through synthesizing our broad set of data and mapping up-to-date clinical research, we are able to identify when patients are “off evidence,” and for an increasing number of chronic conditions, surface for the provider’s consideration a medication or treatment regimen that may be more clinically appropriate for that particular patient. Our focus on personalized care differentiates us. For instance, many other MA plans create high-level disease management programs that apply across large portions of their patient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Quality gap closure. The Clover Assistant identifies and surfaces opportunities for improvement in clinical quality gaps, including those prioritized by CMS’ Star Ratings Program (plan performance measures that drive bonus payments for plan providers), such as prescription drug adherence, regular cancer screenings and the annual flu shot. By addressing these quality gaps with evidence-based guidelines we expect to reduce costs and improve care over the long term.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Disease burden identification. The Clover Assistant reveals potential gaps in a provider’s understanding of a patient’s disease burden. By surfacing potential conditions that may be asymptomatic or otherwise unaddressed, providers can proactively treat conditions and drive better care for their patients.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Specialist referrals and management. The Clover Assistant has integrated leading providers to help PCPs manage the care journeys for their patients and find care specialists in areas, such as cancer and chronic kidney disease. By addressing these needs, we believe we can enable PCPs to offer better care for patients and drive cost savings from better managing chronic illness.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these features enables providers to deliver a better consumer experience for our beneficiaries, as providers are able to more effectively identify clinical opportunities to treat patients at the point of care using data-driven, personalized insights.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critical importance, when providing actionable advice, the Clover Assistant shares with the providers the specific reasons why a recommendation is being made so that the provider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providers on reasons why a patient may not be receiving evidence-based care or complying with protocols, which ultimately prompts other program outreach efforts or future care plan recommendations. This closed feedback loop continuously improves our clinical recommendation engine and understanding of individual patient needs.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clinical programs run on the Clover Assistant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supporting providers throughout our open network and our DCE’s participating providers, we operate clinical programs, either through our own employed clinicians or through vendors, that are designed to provide improved additive care for the most chronically-ill, frail and costly patients. Below is a snapshot of several clinical programs we offer: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Clover Home Care. Home-based primary care/intensive care management for our most complex patients.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Supportive Care. Advanced care planning support and palliative care for patients with limited life expectancy.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Readmission Prevention Program. Care transition support for patients recently discharged from a hospital or post-acute 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Behavioral Health Program. Comprehensive care coordination for patients with behavioral health and social services needs.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 supports every stage of our care and interaction with our high-risk members through our clinical programs, from identification through engagement to clinical 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Identification. The Clover Assistant enables us to identify members for whom our programs can provide needed support, fill gaps or reduce costs. For example, utilizing our machine learning algorithm, the Clover Health Acute Risk Model, we are able to accurately identify patients at high future hospitalization risk for our complex care management program.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Engagement. The Clover Assistant enables us to partner with providers to determine if high-risk patients would benefit from our clinical care programs. The Clover Assistant’s bi-directional point-of-care approach not only prompts the provider to let us know which patients are appropriate for these programs, but encourages the provider to discuss the program with the patient at the point of care. We believe this introduction and engagement increases the likelihood that a patient will ultimately enroll in our clinical programs and receive the care that he or she needs.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Clinical Care. With the right members identified and engaged, and the right protocols surfaced to program clinicians at the point of care, we believe we are able to further improve our patients’ quality of life and healthcare while driving significant medical expense savings.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Leveraging our data and engaging providers and beneficiaries has resulted in a number of meaningful clinical improvements.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Go-To-Market Strategy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simple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Underpinned by our software, our go-to-market strategy varies by type of model, MA or the DC Model:</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 where we serve as an insurer, our strategy centers on the following four simple steps: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one: Select markets to deploy our disruptive model</w:t>
      </w:r>
      <w:r>
        <w:rPr>
          <w:rFonts w:ascii="Times New Roman;sans-serif" w:hAnsi="Times New Roman;sans-serif"/>
          <w:b w:val="false"/>
          <w:color w:val="000000"/>
          <w:sz w:val="20"/>
        </w:rPr>
        <w:t>. We seek opportunities to create differentiated and enhanced plans for consumers virtually anywhere in the United States, including traditionally underserved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Step two: Broadly disseminate the Clover Assistant. </w:t>
      </w:r>
      <w:r>
        <w:rPr>
          <w:rFonts w:ascii="Times New Roman;sans-serif" w:hAnsi="Times New Roman;sans-serif"/>
          <w:b w:val="false"/>
          <w:color w:val="000000"/>
          <w:sz w:val="20"/>
        </w:rPr>
        <w:t>We contract with a wide array of primary and chronic care decision-makers and deploy the Clover Assistant wherever possible to empower providers to deliver data-driven, personalized care. Our contracts also have a simple payment model, with one enhanced rate for primary care visits using the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MA members to see providers outside our network, which can generate new leads for us to deploy the Clover Assistant with an increasing pool of providers.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three: Powered by the Clover Assistant’s strong unit economics, deploy “Obvious” best-in-class plans</w:t>
      </w:r>
      <w:r>
        <w:rPr>
          <w:rFonts w:ascii="Times New Roman;sans-serif" w:hAnsi="Times New Roman;sans-serif"/>
          <w:b w:val="false"/>
          <w:color w:val="000000"/>
          <w:sz w:val="20"/>
        </w:rPr>
        <w:t>. The use of the Clover Assistant is designed to drive the economic success of our plans, which allows us to return these strong economics back to our members in the form of enhanced benefits, lower out-of-pocket costs and freedom of choice. Our affordability is underpinned by our plans’ low average total out-of-pocket costs for PCP co-pays, specialist co-pays, drug deductibles and drug costs. The substantial majority of our members enjoy freedom of choice, which manifests in our expansive and open network with the same cost-sharing for members who see primary care providers in- and out-of-network. Our open network design is particularly attractive compared to our competitors’ usual narrow networks or higher cost-sharing for out-of-network providers.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Step four: Drive strong, industry-leading, organic growth as consumers select our “Obvious” plans and receive care from providers on Clover Assistant. </w:t>
      </w:r>
      <w:r>
        <w:rPr>
          <w:rFonts w:ascii="Times New Roman;sans-serif" w:hAnsi="Times New Roman;sans-serif"/>
          <w:b w:val="false"/>
          <w:color w:val="000000"/>
          <w:sz w:val="20"/>
        </w:rPr>
        <w:t>As we have entered and scaled in new markets, we have seen strong membership growth.</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DC Model, where we are not an insurer, our strategy centers on the following four simple steps: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one: Select and contract with providers to join our DCE</w:t>
      </w:r>
      <w:r>
        <w:rPr>
          <w:rFonts w:ascii="Times New Roman;sans-serif" w:hAnsi="Times New Roman;sans-serif"/>
          <w:b w:val="false"/>
          <w:color w:val="000000"/>
          <w:sz w:val="20"/>
        </w:rPr>
        <w:t>. We market our DCE to new providers with whom we can contract to use the Clover Assistant. Providers who are contracted to our DCE receive enhanced reimbursement for visits through Clover Assistant which enables them to participate in value-based care arrangements with no financial downside. A number of our existing Clover Assistant MA providers have contracted with our DCE as well since the launch of the DC Model; however, our broader strategy is to contract with large providers in new geographies across the nation. Through Direct Contracting, we are able to market our DCE to providers anywhere, year round. We believe this will allow us to grow faster and deploy the Clover Assistant to many more providers by allowing us to develop initial entry points in new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two:</w:t>
      </w:r>
      <w:r>
        <w:rPr>
          <w:color w:val="000000"/>
        </w:rPr>
        <w:t xml:space="preserve"> </w:t>
      </w:r>
      <w:r>
        <w:rPr>
          <w:rFonts w:ascii="Times New Roman;sans-serif" w:hAnsi="Times New Roman;sans-serif"/>
          <w:b w:val="false"/>
          <w:i/>
          <w:color w:val="000000"/>
          <w:sz w:val="20"/>
        </w:rPr>
        <w:t>Expand our DCE Lives under Clover Management</w:t>
      </w:r>
      <w:r>
        <w:rPr>
          <w:rFonts w:ascii="Times New Roman;sans-serif" w:hAnsi="Times New Roman;sans-serif"/>
          <w:b w:val="false"/>
          <w:color w:val="000000"/>
          <w:sz w:val="20"/>
        </w:rPr>
        <w:t>. As we onboard new providers to DCE, CMS will annually claims-align new beneficiaries to our DCE, expanding our Lives under Clover Management. We also look to support our DCE providers as they serve as resources for beneficiaries interested in voluntarily-aligning to our DCE, thereby allowing us to capture the broader opportunity within their existing Medicare patient panel. The enhanced reimbursement and improved clinical outcomes driven by the Clover Assistant may allow our DCE providers to expand the number of DCE-eligible patients they serve within their panels.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three: Deploying the Clover Assistant to drive savings and improved outcomes</w:t>
      </w:r>
      <w:r>
        <w:rPr>
          <w:rFonts w:ascii="Times New Roman;sans-serif" w:hAnsi="Times New Roman;sans-serif"/>
          <w:b w:val="false"/>
          <w:color w:val="000000"/>
          <w:sz w:val="20"/>
        </w:rPr>
        <w:t>. We believe our experience in deploying the Clover Assistant across open networks in MA provides us with the expertise to manage the larger population within Original Medicare. We believe the Clover Assistant can drive similar clinical and financial value in DCE as it has in MA, allowing us to share in the savings driven by the value we bring to the Government. It is this opportunity to participate in the shared savings that affords us the opportunity to reimburse providers at an enhanced rate for Clover Assistant visits while they participate in value-based care models with no financial downside.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Step four: Drive strong, industry-leading, organic growth as providers join our DCE</w:t>
      </w:r>
      <w:r>
        <w:rPr>
          <w:rFonts w:ascii="Times New Roman;sans-serif" w:hAnsi="Times New Roman;sans-serif"/>
          <w:b w:val="false"/>
          <w:color w:val="000000"/>
          <w:sz w:val="20"/>
        </w:rPr>
        <w:t>. We expect our average number of DCE Beneficiaries to more than double in 2022 compared to our 2021 average, demonstrating our ability to grow at scale. We believe that our Clover Assistant centered DCE strategy allows us to scale more rapidly than other DCE participants who are dependent on scaling through a combination of brick-and-mortar expansion and competitive provider recruiting strategies.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Value Proposition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mission-aligned business model, powered by the Clover Assistant, enables us to deliver significant value to the entire healthcare ecosystem.</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Clover is the “Obvious” plan for consumers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beneficiaries are our primary constituents. We believe that an approach focused on consumer healthcare choice, enhanced provider trust, and competitive pricing results in distinct value to our beneficiaries and makes great healthcare available to everyone.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Provider of choice.</w:t>
      </w:r>
      <w:r>
        <w:rPr>
          <w:color w:val="000000"/>
        </w:rPr>
        <w:t xml:space="preserve"> </w:t>
      </w:r>
      <w:r>
        <w:rPr>
          <w:rFonts w:ascii="Times New Roman;sans-serif" w:hAnsi="Times New Roman;sans-serif"/>
          <w:b w:val="false"/>
          <w:color w:val="000000"/>
          <w:sz w:val="20"/>
        </w:rPr>
        <w:t>We value the health decisions our patients make and believe that consumer-driven provider choice increases trust and patient satisfaction. Our differentiated, open network philosophy offers considerable consumer choice: discretion to choose any new Medicare provider willing to see them or keep an existing provider. The substantial majority of our lives under management are enrolled in our open network plans, meaning that our patients need not worry about verifying whether their Medicare provider is in or out of our network as they pay the same amount in either case. Clover also works with a patient’s existing PCP in the home instead of reassigning them a new PCP.</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Clover Assistant makes the Provider the quarterback.</w:t>
      </w:r>
      <w:r>
        <w:rPr>
          <w:color w:val="000000"/>
        </w:rPr>
        <w:t xml:space="preserve"> </w:t>
      </w:r>
      <w:r>
        <w:rPr>
          <w:rFonts w:ascii="Times New Roman;sans-serif" w:hAnsi="Times New Roman;sans-serif"/>
          <w:b w:val="false"/>
          <w:color w:val="000000"/>
          <w:sz w:val="20"/>
        </w:rPr>
        <w:t>The Clover Assistant, being focused on physician enablement, enhances each provider’s ability to coordinate care for each of our beneficiaries. We believe our beneficiaries can have confidence that, when using the Clover Assistant, their provider has ready access to their medical histories and personalized, data-driven clinical care recommendations.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High value plans.</w:t>
      </w:r>
      <w:r>
        <w:rPr>
          <w:color w:val="000000"/>
        </w:rPr>
        <w:t xml:space="preserve"> </w:t>
      </w:r>
      <w:r>
        <w:rPr>
          <w:rFonts w:ascii="Times New Roman;sans-serif" w:hAnsi="Times New Roman;sans-serif"/>
          <w:b w:val="false"/>
          <w:color w:val="000000"/>
          <w:sz w:val="20"/>
        </w:rPr>
        <w:t>We strive to ensure that consumers who choose our health plans get more for less. Our plans are benefit-rich while being highly affordable. Most of our beneficiaries are enrolled in plans that offer the lowest average out-of-pocket costs for PCP co-pays, specialist co-pays, drug deductibles and drug costs in their markets while also providing wide network access and with the same in- and out-of-network costs for primary care provider visits. By seeking to lower the financial burden on our patients, we reduce disincentives that inhibit our patients from seeking the care they need.</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Clover delivers clinical and financial value for providers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Providers enjoy using the Clover Assistant as it allows them to focus on delivering care and rewards them for doing so.</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The Clover Assistant delights and engages providers.</w:t>
      </w:r>
      <w:r>
        <w:rPr>
          <w:color w:val="000000"/>
        </w:rPr>
        <w:t xml:space="preserve"> </w:t>
      </w:r>
      <w:r>
        <w:rPr>
          <w:rFonts w:ascii="Times New Roman;sans-serif" w:hAnsi="Times New Roman;sans-serif"/>
          <w:b w:val="false"/>
          <w:color w:val="000000"/>
          <w:sz w:val="20"/>
        </w:rPr>
        <w:t>We are focused on empowering and delighting providers who use our platform. We believe providers are highly satisfied with the Clover Assistant platform, based on the level of their engagement.</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pay an enhanced rate for primary care.</w:t>
      </w:r>
      <w:r>
        <w:rPr>
          <w:color w:val="000000"/>
        </w:rPr>
        <w:t xml:space="preserve"> </w:t>
      </w:r>
      <w:r>
        <w:rPr>
          <w:rFonts w:ascii="Times New Roman;sans-serif" w:hAnsi="Times New Roman;sans-serif"/>
          <w:b w:val="false"/>
          <w:color w:val="000000"/>
          <w:sz w:val="20"/>
        </w:rPr>
        <w:t>We believe providers play a critical role in helping to keep our beneficiaries healthy, and we compensate them for the enhanced clinical experience they provide beneficiaries through the Clover Assistant. Our payment model is simple; we provide one enhanced rate for primary care visits using the Clover Assistant, or what we refer to as “Clover Assistant visits.” Our flat-fee per-visit provider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We partner with providers and allow them to focus on providing quality care.</w:t>
      </w:r>
      <w:r>
        <w:rPr>
          <w:color w:val="000000"/>
        </w:rPr>
        <w:t xml:space="preserve"> </w:t>
      </w:r>
      <w:r>
        <w:rPr>
          <w:rFonts w:ascii="Times New Roman;sans-serif" w:hAnsi="Times New Roman;sans-serif"/>
          <w:b w:val="false"/>
          <w:color w:val="000000"/>
          <w:sz w:val="20"/>
        </w:rPr>
        <w:t>We partner with all types of providers, including solo practitioners, large physician groups, hospital-employed physicians, and other providers. The combination of our growing beneficiary base, free use of the Clover Assistant and enhanced and rapid payment for Clover Assistant visits enables a highly efficient economic model that allows providers to build successful practices serving Medicare patients. This model focuses on relieving providers of additional administrative burdens, empowering them to spend more time on care.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Great healthcare for everyone, everywhere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We mean everyone. </w:t>
      </w:r>
      <w:r>
        <w:rPr>
          <w:rFonts w:ascii="Times New Roman;sans-serif" w:hAnsi="Times New Roman;sans-serif"/>
          <w:b w:val="false"/>
          <w:color w:val="000000"/>
          <w:sz w:val="20"/>
        </w:rPr>
        <w:t>Every individual deserves the best care, and through the Clover Assistant we are democratizing the clinical data and insights providers need to deliver care. Because we drive this clinical improvement with technology, we believe we can scale in virtually any market, including traditionally underserved markets that are generally not viable for others.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We mean everywhere. </w:t>
      </w:r>
      <w:r>
        <w:rPr>
          <w:rFonts w:ascii="Times New Roman;sans-serif" w:hAnsi="Times New Roman;sans-serif"/>
          <w:b w:val="false"/>
          <w:color w:val="000000"/>
          <w:sz w:val="20"/>
        </w:rPr>
        <w:t>As patients are increasingly looking for access to care in a variety of settings, through the Clover Assistant we are able to empower clinicians to provide care in offices and hospitals as well as non-traditional settings both via telemedicine and in the home. Our software allows us to help providers to provide care everywhere that our patients want to receive it.</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Sustainable healthcare through reduced medical cost. </w:t>
      </w:r>
      <w:r>
        <w:rPr>
          <w:rFonts w:ascii="Times New Roman;sans-serif" w:hAnsi="Times New Roman;sans-serif"/>
          <w:b w:val="false"/>
          <w:color w:val="000000"/>
          <w:sz w:val="20"/>
        </w:rPr>
        <w:t>We believe our focus on personalized evidence-based clinical recommendations at the point of care and quality gap closure allows us to reduce medical costs over the long-term. Our innovative approach to preventive care empowers providers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lives under management.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Provide value, not overhead. </w:t>
      </w:r>
      <w:r>
        <w:rPr>
          <w:rFonts w:ascii="Times New Roman;sans-serif" w:hAnsi="Times New Roman;sans-serif"/>
          <w:b w:val="false"/>
          <w:color w:val="000000"/>
          <w:sz w:val="20"/>
        </w:rPr>
        <w:t>Many insurers simply act as middlemen, taking a cut of premiums while assigning duties of care to providers via complex risk-sharing contracting. New payment approaches, such as CMS’ DC Model, may help eliminate entities that serve only as overhead. With our model and technology platform, we believe we are positioned to thrive in any program where entities are expected to empower providers to improve care while lowering costs.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The Clover Assistant Architecture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 is a differentiated platform able to scalably combine data synthesis, insight generation, and point-of-care action. The Clover Assistant platform synthesizes comprehensive, longitudinal sets of data directly available to us as a health plan, generates clinically-focused machine learning, artificial intelligence, and rules-based insights, and drives action by surfacing the most relevant, personalized information to providers directly at the point of care. Our platform’s excellence is centered on this three-pronged approach:</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Synthesis.</w:t>
      </w:r>
      <w:r>
        <w:rPr>
          <w:color w:val="000000"/>
        </w:rPr>
        <w:t xml:space="preserve"> </w:t>
      </w:r>
      <w:r>
        <w:rPr>
          <w:rFonts w:ascii="Times New Roman;sans-serif" w:hAnsi="Times New Roman;sans-serif"/>
          <w:b w:val="false"/>
          <w:color w:val="000000"/>
          <w:sz w:val="20"/>
        </w:rPr>
        <w:t>Because it is developed by a health plan, the Clover Assistant is uniquely positioned in its ability to directly access broad sets of 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Insight.</w:t>
      </w:r>
      <w:r>
        <w:rPr>
          <w:color w:val="000000"/>
        </w:rPr>
        <w:t xml:space="preserve"> </w:t>
      </w:r>
      <w:r>
        <w:rPr>
          <w:rFonts w:ascii="Times New Roman;sans-serif" w:hAnsi="Times New Roman;sans-serif"/>
          <w:b w:val="false"/>
          <w:color w:val="000000"/>
          <w:sz w:val="20"/>
        </w:rPr>
        <w:t xml:space="preserve">Given the massive depth, breadth, and volume of data that we collect, it is critical to leverage technology to perform intelligent analytics. No provider could analyze this amount of data in real-time. Our insight engine applies a combination of advanced machine learning and clinically-driven business rules to curate actionable insights for providers at the point of care.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Action.</w:t>
      </w:r>
      <w:r>
        <w:rPr>
          <w:color w:val="000000"/>
        </w:rPr>
        <w:t xml:space="preserve"> </w:t>
      </w:r>
      <w:r>
        <w:rPr>
          <w:rFonts w:ascii="Times New Roman;sans-serif" w:hAnsi="Times New Roman;sans-serif"/>
          <w:b w:val="false"/>
          <w:color w:val="000000"/>
          <w:sz w:val="20"/>
        </w:rPr>
        <w:t>The Clover Assistant provides real time, personalized, and actionable insights to help healthcare providers make better decisions and deliver the right care at the right time. Because our insights are provided in a clear, actionable format directly at the point of care, the Clover Assistant can instantaneously inform provider decision-making at the very moment that they are interacting with and treating our lives under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three aspects of the Clover Assistant—Synthesis, Insight and Action—form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Across all three prongs of our platform, the Clover Assistant is designed to ensure data integrity and security to protect our users’ and patients’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Clover discourages and minimizes local data storage as a deterrence against physical device and data loss. The Clover Assistant data is stored in the cloud, with backups across Amazon Web Services and the Google Cloud Platform and secured by centralized identity access and management.</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Additional Products Built on the Clover Assistant Platform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platform is currently primarily intended to be used by providers at the point of care, the Clover Assistant is designed to be scalable across a myriad of use cases. The platform is designed to surface the most relevant information for a specific context so that any users of the platform can make more informed decisions at the most actionable opportunity available. Use cases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Office/virtual visits.</w:t>
      </w:r>
      <w:r>
        <w:rPr>
          <w:color w:val="000000"/>
        </w:rPr>
        <w:t xml:space="preserve"> </w:t>
      </w:r>
      <w:r>
        <w:rPr>
          <w:rFonts w:ascii="Times New Roman;sans-serif" w:hAnsi="Times New Roman;sans-serif"/>
          <w:b w:val="false"/>
          <w:color w:val="000000"/>
          <w:sz w:val="20"/>
        </w:rPr>
        <w:t>The Clover Assistant empowers providers by recommending personalized, evidence-based medications, providing reminders of timely discussion topics and treatment, enabling requests for patient data and orders for tests or screening kits and identifies potential undiagnosed conditions based on clinical evidence. Our software makes these features available for in-person visits or through telemedicine solutions.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Office staff.</w:t>
      </w:r>
      <w:r>
        <w:rPr>
          <w:color w:val="000000"/>
        </w:rPr>
        <w:t xml:space="preserve"> </w:t>
      </w:r>
      <w:r>
        <w:rPr>
          <w:rFonts w:ascii="Times New Roman;sans-serif" w:hAnsi="Times New Roman;sans-serif"/>
          <w:b w:val="false"/>
          <w:color w:val="000000"/>
          <w:sz w:val="20"/>
        </w:rPr>
        <w:t>Through its Care Connect feature and embedded analytics, the Clover Assistant empowers office staff by identifying patients due for a visit, flagging members recently discharged from the hospital, and providing tools for scheduling various screenings and follow-up visits.</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In-home visits.</w:t>
      </w:r>
      <w:r>
        <w:rPr>
          <w:color w:val="000000"/>
        </w:rPr>
        <w:t xml:space="preserve"> </w:t>
      </w:r>
      <w:r>
        <w:rPr>
          <w:rFonts w:ascii="Times New Roman;sans-serif" w:hAnsi="Times New Roman;sans-serif"/>
          <w:b w:val="false"/>
          <w:color w:val="000000"/>
          <w:sz w:val="20"/>
        </w:rPr>
        <w:t xml:space="preserve">The Clover Assistant empowers physicians and other providers who operate outside of clinical settings, offices, or hospitals. It supports, for example, our in-home primary care program enabling lengthy interactions for our lives under management with the most advanced illnesses or complex conditions. It also supports in-home programs targeting patients who have been recently discharged from hospitals or who do not receive regular care from a PCP. </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 xml:space="preserve">Specialty Care Management. </w:t>
      </w:r>
      <w:r>
        <w:rPr>
          <w:rFonts w:ascii="Times New Roman;sans-serif" w:hAnsi="Times New Roman;sans-serif"/>
          <w:b w:val="false"/>
          <w:color w:val="000000"/>
          <w:sz w:val="20"/>
        </w:rPr>
        <w:t>In 2021, within the Clover Assistant we launched “Health Tracks,” which are dedicated care coordination programs for chronic kidney disease and oncology, that integrate these specialist services and protocols seamlessly into the platform. We believe we have the potential to improve our margin profile through the introduction of additional features into the Clover Assistant platform, including, but not limited to, medication management and orthopedic care.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“Obvious” MA plans through a broad range of activities and through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participation in our DCE to providers through direct mail, the Internet, and direct telephonic outreach. We also are engaged with our participating providers to educate their Medicare eligible patients about voluntary alignment opportunities. Additionally, we participate in trade organizations such as the National Association of Accountable Care Organizations.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Key to our success is the time, attention, and investment we place on continued innovation in the Clover Assistant platform. We expect to continue investing in expanding our platform and enhancing the features and functionality of the Clover Assistant. We analyze the growing number of interactions our providers have with the Clover Assistant to recognize their needs quickly and guide future innovation. Our research and development team is responsible for the design, development, testing and delivery of solutions for our platform.</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physician enablement space is highly competitive, and there are many players competing within the technology space as well as within segments of Medicare such as MA and Original Medicare, including the DC Model. We compete in certain segments within the healthcare market, including MA plans as well as other healthcare technology platforms, and intend to enter into others, such as new payment models offered by CMS. Competition in our market involves rapidly changing technologies, evolving regulatory requirements and industry expectations, new product offerings and constantly evolving beneficiary and provider preferences and user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competition from incumbent MA plan providers and health insurance companies, many of whom are developing their own technology or partnering with third-party technology providers to drive improvements in care. Our competitors include large, national insurers, such as UnitedHealth, Aetna, Humana, Cigna, Centene, and Anthem, as well as regional-based companies such as Blue Cross Blue Shield affiliates, Bright Health, Alignment Health, Devoted Health, Oscar Health, hospital systems, and provider-based organizations. We also face competition from Original Medicare providers and health insurance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recent entry into CMS’ new DC Model, we face competition from other DCE participants including provider groups, accountable care organizations, and managed care organizations (MCOs). These competitors include Oak Street, VillageMD, Humana, Anthem, and Iora Health. Competition from these and other new entrants may intensify as the DCE market develops and business models evolve to address 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in the physician enablement space from offerings and tools that allow providers to offer value-based care, offerings such as EHRs and other tools that have high physician engagement, and any other product or tool designed to enable a physician to improve care. Companies such as Agilon, Privia, Epic, Cerner, and Athena Health compete directly or indirectly with our offerings. Also, as we develop other products and enter new lines of business, and other companies do the same, we may compete with providers of healthcare technology platforms, EHR providers, telehealth providers, healthcare data analytics providers, and accountable care organizations.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beneficiary and provider satisfaction, and financial stability.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rely on software licensed from third parties for internal tools we use to operate our business, we do not currently in-license any intellectual property. Our intellectual property, including internally developed technology and products are developed by our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who are distributed geographically across the United States and globally, including in Hong Kong (China). We outsource operational engineering support work to a third party vendor headquartered in the United States with a globally distributed workforce.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 commercial software because open-source licensors generally do not provide warranties or controls on the functionality or origin of the software.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owned four U.S. patents and no foreign patents, and there were 22 U.S. patent applications pending. We have not applied for patents in foreign jurisdictions. We have registered our trademarks in the United States, European Union, China, and the Hong Kong Special Administrative Region of the People’s Republic of China (Hong Kong),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Choosing to tackle healthcare is no small feat. Our mission to </w:t>
      </w:r>
      <w:r>
        <w:rPr>
          <w:rFonts w:ascii="Times New Roman;sans-serif" w:hAnsi="Times New Roman;sans-serif"/>
          <w:b w:val="false"/>
          <w:i/>
          <w:color w:val="000000"/>
          <w:sz w:val="20"/>
        </w:rPr>
        <w:t>improve every life</w:t>
      </w:r>
      <w:r>
        <w:rPr>
          <w:color w:val="000000"/>
        </w:rPr>
        <w:t xml:space="preserve"> </w:t>
      </w:r>
      <w:r>
        <w:rPr>
          <w:rFonts w:ascii="Times New Roman;sans-serif" w:hAnsi="Times New Roman;sans-serif"/>
          <w:b w:val="false"/>
          <w:color w:val="000000"/>
          <w:sz w:val="20"/>
        </w:rPr>
        <w:t>is made possible through the Herculean efforts put forth by our teams. We strive to attract and retain diverse talent from all different backgrounds and industries--we value Machine Learning Data Scientists the same way we value Clinical Pharmacists, the same way we value Claims Analysts. Bringing together motivated, inquisitive, and mission oriented talent has provided us with a strategic advantage and is key to our success. Clover commits to providing a collaborative and inclusive work environment, competitive market compensation and benefits programs and growth opportunities that empower Cloverites to deliver positive outcomes for our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680 employees with approximately 95% in the U.S. and 5% in Hong Kong. Our workforce was 66% Female and 34% Male and was 44% Caucasian/White and 56% with racially/ethnically diverse backgrounds.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Excellence in Distributed Work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establishing communication and decision making norms, placing an emphasis on transparency and working to build psychological safety and trust, we have found that colocation of employees is no longer a requirement. We are a distributed team from the Board of Directors on down, and believe our distributed approach to teams allows us to attract the best talent for each and every role. In August 2018, we opened an office in Hong Kong, which has since grown to a team of 36 employees. Prior to the onset of the COVID-19 pandemic, approximately 40% of our workforce was already remote- or field-based employees, meaning they did not regularly come into a brick and mortar facility. We expect over 60% of our teams to remain remote or in the field after offices reopen.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remote employees receive a stipend to set up their home work space so they can be most productive. We also ensure new hires (office-based and remote) are provided with an onboarding plan which helps them understand our culture and also provides them with necessary training and modules to set them up for success. We use communication and meeting tools that enable teams to chat and interact in real-time, regardless of their physical location. We also host a variety of All Company meetings in an effort to provide updates to Cloverites as real-time as possible and provide opportunities for employees to ask questions of leadership.</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COVID-19 Support and Flex Policies</w:t>
      </w:r>
    </w:p>
    <w:p>
      <w:pPr>
        <w:pStyle w:val="TextBody"/>
        <w:spacing w:before="0" w:after="0"/>
        <w:ind w:left="0" w:right="0" w:firstLine="442"/>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Being a healthcare company means the health, wellness, and safety of our teams and beneficiaries is always a top priority. All teams, including our clinicians, worked remotely during the height of the pandemic. Our technology teams worked to quickly build out telehealth capabilities so that we could provide support to our beneficiaries in need. We have since allowed for certain clinical teams to return to the field, with strict guidance from our clinical leadership team and enhanced health and safety protocols. The Clover offices remain open when certain population health metrics are met and are available for employees to work out of on a voluntary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our employee support resources over the past year to include paid access to an online platform offering mental health and wellbeing options ranging from digital resources and meditations to a network of certified coaches. To help Cloverites managing competing priorities during the pandemic, we partnered with a company that provides remote tutoring support for families affected by school shutdowns. We also extended a special remote employee stipend to all employees to help with productivity while remote. We created a COVID-19 specific time-off policy to ensure employees can take care of themselves, or their family members, should they become sick, without having to use their accrued sick or vacation time.</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Cultivating Diversity, Equity &amp; Inclusion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very early days, we created a Diversity &amp; Inclusion (D&amp;I) Working Group focused on making Clover a more diverse, equitable, and inclusive Company.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Affinity Groups continue to grow as grassroots communities, bringing together employees with a shared affinity. They are employee-led groups creating peer connections around shared experiences and mutual support. We currently have three Affinity Groups with a total of over 140 members and growing: Black Employee Network; Asian, Asian American, and Pacific Islander Cloverites; and Mi Gente (Latine Cloverites). Additionally, our mental health benefits include options to join expert-led external peer circles around healing communities in times of crisis.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entering the third year of our New Perspectives Program, a reverse mentorship program that creates a space for leaders to receive mentorship from junior- and mid-level employees about lived experiences and key information leaders need to understand in their role. These conversations have focused on a range of themes, such as the experiences of LGBTQ+ employees. Latina employees, and understanding biases that lead to who gets elevated and who gets left behind in the workplace.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Building Future Leaders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empower Cloverites to do their best work and aim to provide a variety of in-house and external resources to help them achieve their maximum potential. Our approach to development starts during onboarding, when employees are presented with customized 30/60/90-day onboarding plans. These plans are created by employees’ hiring managers and reviewed by our Hiring Committee, with the goal of providing structure to onboarding and defining key wins and early successes as they join Clover. The onboarding plans also provide opportunities for check-ins, feedback, and reprioritization of workload.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vast experience of our teams, we operate a traditional mentorship program, with 84 employees completing the program in 2021, with a 100% satisfaction rate with the quality of mentoring received. The mentorship relationship is designed to enable employees to develop new skills and competencies, while concurrently networking and building relationships within the organization. We have partnered with an external vendor to provide Cloverites at and above the manager level with an outcome-based coaching program at both the group and individual level. Additionally, we rolled out a Manager Acceleration Program in 2021 to new and tenured mid-level managers with a goal to upskill, maximize impact, and invest in their development.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Employee Engagement &amp; Feedback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evolving performance management process supports a culture of transparency, engagement, and continuous feedback. Quarterly check-ins are a frequent, light-weight check-in process to develop our internal talent and ingrain more transparency into Clover’s employee culture that focuses on goals, growth and progress. Our annual performance management cycle includes a 360 calibration review for all employees at all levels as we believe it provides the most holistic and meaningful snapshot on performance.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Attracting &amp; Retaining Top Talent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in using our total rewards program to incentivize employees to make decisions that are in the best interest of our stakeholders. It is important that our plans are aligned with the market so that we can attract, retain, and motivate Cloverites. Our compensation program is currently comprised of base salary, spot bonuses, annual cash incentive bonuses, and equity incentive awards. We also allow eligible employees to participate in an Employee Stock Purchase Plan, in which employees may purchase shares of the Company’s Class A common stock at a discount, subject to certain limitations and conditions. Our compensation program may continue to evolve over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is just one aspect of our offerings. We also provide employees with health (medical, dental, vision and telehealth) insurance, paid time off, paid sick leave, paid parental leave, a U.S. 401 (k) plan with Company match, and paid volunteer days, and we offer additional benefits to support work-life balance for all Cloverites.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work diligently to comply with all applicable laws and regulations. As an entity within the healthcare industry, and one operating Medicare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See the section entitled “Risk Factors” for a discussion of the risks related to our compliance with federal, state and international laws and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“Risk Factors—We are and may be subject to investigations, and litigation which could be costly and time-consuming to defend, and the outcomes of which cannot be predicted.”</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laws and regulations, relevant agency oversight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laws and regulations, and our activities are subject to regulation by several federal agencies. Our most comprehensive oversight comes from CMS, which regulates our MA plans and is the primary regulator for the DC Model, in which we participate.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inquiries and investigations in the next few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Our MA PPO plan received a 3.5 Star Rating for the 2020 measurement year, and our MA HMO plan received a 3.0 Star Rating. Our ability to maintain or improve our Star Rating may be significantly compromised by the COVID-19 pandemic, which has prevented all plans from incentivizing conduct to address patient care gaps and collecting information required to demonstrate plan compliance with and performance under the Star Rating metrics.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Privacy, security and data standards regulation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regulations promulgated pursuant to HIPAA impose a number of obligations on issuers of health insurance coverage and health benefit plan sponsors. Health insurers, HMOs and healthcare providers who transmit health information electronically are included in HIPAA’s definition of “Covered Entities.” Regulations promulgated to implement HIPAA and the Health Information Technology for Economic and Clinical Health Act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and provide for financial penalties and, in certain cases, criminal penalties for individuals, including employees, for privacy violations. In addition, OCR performs compliance audits in order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As explained above, depending on the line of business, the Corporation acts or intends to act as both a covered entity and a business associate.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HIPAA does not preempt state laws that provide more stringent privacy protection than that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states have begun to enact more comprehensive privacy laws and regulations addressing consumer rights relating to data protection, transparency and cybersecurity. Violations of federal and state privacy and security laws and other contractual requirements may result in significant liability and expense, damage to our reputation and the termination of relationships with our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Fraud and abuse 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Additional federal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regularly assessing the medical device status of certain health information technology products and/or solutions and clinical decision support tools, which may, at any time, require compliance with U.S. Food and Drug Administration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laws and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Healthcare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 reports to be filed directly with the New Jersey Department of Banking and Insurance (NJ 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As of December 31, 2021,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entity which, for both the HMO and PPO, is New Jersey.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operate through a holding-company structure,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of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including the financial strength of the proposed acquiror, the acquiror’s plans for the future operations of the domestic insurer, and any anti-competitive results that may arise from the consummation of the acquisition of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state insurance statutes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exist in fact. The state regulators, however, may also find that “control” exists in circumstances in which a person owns or controls less than ten percent of the voting securities of the domestic insurer.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regulated insurance entity is domiciled in New Jersey, the insurance laws and regulations of New Jersey would be applicable to any proposed acquisition of control of Clover. Under New Jersey law, generally no person may acquire control of any insurer, whether by purchase of its securities or otherwise, unless it gives prior notice to the insurer and receives prior approval, or exemption therefrom, from NJ DOBI. These regulations pertaining to an acquisition of control of an insurance company may discourage potential acquisition proposals and may delay, deter, or prevent a change of control of us, including through transactions that some or all of our stockholders might consider to be desirable. Such regulations may also inhibit our ability to acquire an insurance company should we wish to do so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practice of medicine and fee-splitting 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International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operations, including certain outsourced operations and software research and development in other countries, such as Hong Kong, the Philippines, Colombia, India and Eastern Europe,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latter of which prohibits offering, promising, providing, or authorizing others to give anything of value to a foreign government official to obtain or retain business or otherwise secure a business advantage.</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Our filings with the SEC are posted on our website and available free of charge as soon as reasonably practical after they are electronically filed with, or furnished to, the SEC. The SEC’s website, www.sec.gov, contains reports, proxy statements, and other information regarding issuers that file electronically with the SEC. The content on any website referred to in this Annual Report on Form 10-K is not incorporated by reference in this Annual Report on Form 10-K unless expressly noted. Further, the Company’s references to website URLs are intended to be inactive textual references only.</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Channels for Disclosure of Information</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Investors and others should note that we routinely announce material information to investors and the marketplace using filings with the SEC, press releases, public conference calls, presentations, webcasts and our investor relations website. We also intend to use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social media channels as a means of disclosing information about the Company and our products to our customers, investors and the public, including @Clover-Health and #CloverHealth on Twitter, and the LinkedIn account of our President and Chief Technology Officer, Andrew Toy.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w:t>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incurred net losses in the past, we anticipate increased expenses in the future, and we may not be able to achieve or maintain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of $587.8 million, $136.4 million, and $363.7 million for the years ended December 31, 2021, 2020, and 2019, respectively. Our accumulated deficit was approximately $1,616.7 million and $1,029.0 million as of December 31, 2021, and December 31, 2020. We expect our operating costs will increase substantially in the foreseeable future and that our losses will continue as we expect to invest significant additional funds towards growing our business and operating as a public company. In particular, we expect to continue to invest in improving the Clover Assistant and our technology infrastructure, developing our clinical care programs, increasing adoption of the Clover Assistant platform, expanding our marketing and outreach efforts, growing our provider networks, expanding our operations geographically, increasing headcount to support our growth, and developing future offerings that improve care and supplement our revenue streams. These efforts may prove more expensive than we currently anticipate, and we may not succeed in increasing our revenue sufficiently to offset these higher expenses.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generate revenue from (i) premiums earned (MA premiums earned) in connection with the members under our Medicare Advantage (MA) plans (the “members”), and (ii) capitation payments from the Centers for Medicare &amp; Medicaid Services (CMS) (“Direct Contracting Revenue” and, collectively with MA premiums earned, “total revenues”) for medical services provided on behalf of the Original Medicare beneficiaries aligned to the Company’s Direct Contracting Entity (DCE) in connection with CMS’ Global and Professional Direct Contracting Model (the “DCE Beneficiaries” and, collectively with the members, “Lives under Clover Management” or the “beneficiaries”). Even if we are successful in increasing our Lives under Clover Management and consequently increasing our total revenues from MA premiums earned and Direct Contracting Revenue, we may not successfully and effectively predict, price, and manage the medical costs relating to our Lives under Clover Management. As a result, our expenses from net medical claims incurred could exceed any increase in total revenues.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even if we achieve profitability in the future, we may not be able to sustain profitability in subsequent periods. To date, we have financed our operations principally from the sale of our equity securities, MA premiums earned, Direct Contracting revenue, and the incurrence of indebtedness. Our cash flow from operations was negative for the years ended December 31, 2021, 2020, and 2019,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relatively limited experience with the Clover Assistant, and initial results may not be indicative of future performance.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launching the Clover Assistant in 2018, we have continued to develop its features and capabilities, adapt our go-to-market strategy and adjust its integration with our MA plans, our Direct Contracting business, and third-party systems. As a result we may not fully understand the impact of the Clover Assistant on our business and long-term prospects. While the medical care ratio (MCR), a measure defined as our total net medical claims incurred divided by premiums earned, for returning Medicare Advantage members with a PCP who used the Clover Assistant, tends to be lower than the MCR for returning Medicare Advantage members with a PCP who did not use the Clover Assistant, our long-term success depends on maintaining and continuing to improve these effects over time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markets we serve. There can be no assurance that these effects will improve or persist over time in our current markets or that we can replicate these results as we expand into new markets or into Direct Contracting. We also cannot be certain about the extent to which this differential resulted from use of the Clover Assistant by providers or by other factors. If we are unable to drive and maintain significant reductions in MCR for our members or net medical claims incurred as a percentage of Direct Contracting revenue (Direct Contracting Margin) for our DCE Beneficiaries to support our business model, it would have a material and adverse effect on our business, financial condition, and results 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expansion into Direct Contracting presents new risks to our business.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expanded our business into CMS’ new Direct Contracting Model (DC Model) in April 2021, enabling us to target a larger market opportunity, the Medicare fee-for-service (FFS) market, which is the largest segment of Medicare. As such, our Direct Contracting business is in the early stages of development, and we are subject to the risks inherent to the launch of any new business, including the risks that we may not generate sufficient returns to justify our investment and that it may take longer or be more costly to achieve the expected benefits from this new program. In connection with our expansion into Direct Contracting, we are enhancing and iterating the functionality of Clover Assistant as well as forming relationships with a greater number of providers, and we may face new risks and difficulties, many of which we may not be able to predict or foresee. Also, because the DC Model is a new model designed by CMS’ Center for Medicare &amp; Medicaid Innovation (CMMI), CMMI is constantly evaluating the program and may revise the applicable rules and design at any time, and such changes may have a significant impact on our ability to carry out our business. For example, certain CMMI model methodologies, including but not limited to, allowed provider classes, beneficiary alignment, benchmark establishment, and risk score modeling, are subject to continued evaluation and could materially impact profitability. Similarly, while the DC Model is expected to run through December 31, 2026, CMMI can determine to terminate the program at any time, and in some cases may be required to do so, and if the program is terminated, we will no longer be able to target the FFS market, which in turn could reduce the return on our investments and negatively impact our business, financial condition, results of operations and future prospects. On February 24, 2022, CMS announced, among other things, that the DC Model would be transitioned to a new model called the ACO Realizing Equity, Access, and Community Health (REACH) Model. CMS announced that all active DCEs in the DC Model will be able to transition to the ACO REACH Model provided they have a strong compliance record and agree to meet requirements for the redesigned model by January 1, 2023. We are in the process of evaluating CMS’ release and determining what changes, if any, will be necessary.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Our future performance is primarily dependent on our ability to utilize the Clover Assistant to drive down the medical care ratios for our beneficiaries and utilize our clinical care capabilities to improve the quality of care for our beneficiaries.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w:t>
      </w:r>
      <w:r>
        <w:rPr>
          <w:color w:val="000000"/>
        </w:rPr>
        <w:t xml:space="preserve"> “—</w:t>
      </w:r>
      <w:r>
        <w:rPr>
          <w:rFonts w:ascii="Times New Roman;sans-serif" w:hAnsi="Times New Roman;sans-serif"/>
          <w:b w:val="false"/>
          <w:i/>
          <w:color w:val="000000"/>
          <w:sz w:val="20"/>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are unable to retain our members and DCE Beneficiaries,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a member remains enrolled in our plan or a DCE Beneficiary remains aligned to our DCE. For example, since returning MA members tend to have lower MCR than do new MA members, rapid membership growth or other shifts in the mix of new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are only in our first performance year under the DC Model, we believe that similar to our MA members, returning DCE Beneficiaries could also tend to have a lower Direct Contracting Margin than do the average DCE Beneficiaries who are newly aligned to our DCE due in part to consistent adoption of the DCE’s strategies by participating providers through the demonstration period.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Rapid growth in DCE Beneficiaries or other shifts in the mix of net and returning DCE Beneficiaries could adversely affect our Direct Contracting Margin in the near-term and lead to greater losses.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MA plans, we assume the risk of both the cost of medical services for our members, or medical expenses, and administrative costs for our members in return for monthly premiums, which we are paid by the Centers for Medicare &amp; Medicaid Services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and Direct Contracting business depends in significant part on our ability to predict, price, and effectively manage medical costs, which are affected by utilization rates, the cost of service and the type of service rendered.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Direct Contracting business, with the exception of certain CMS risk mitigation mechanisms (i.e., the optional stop-loss program and the mandatory risk corridor program), we assume full risk (i.e., 100% shared savings and shared losses) for the total cost of care of DCE Beneficiaries. Our DCE’s expenditures on covered items and services (Medicare Parts A and B) for our DCE Beneficiaries and capitation paid to the DCE during a performance year are compared to a target amount of Medicare expenditures on those covered items and services (Performance Year Benchmark), and as such, managing those covered items and services in an effective manner is directly related to our financial impact. Further, as part of the DC Model, the Performance Year Benchmark is scheduled to be lowered by CMS on a gradual scale, starting at a 2% discount in 2021 and increasing to a 5% discount by 2026. Due to this increasing discount, one of the primary mechanisms to mitigate the financial impact of this adjustment will be for the DCE to continually improve its medical expense management over the demonstration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Two key factors in our ability to manage medical expenses are the adoption of and engagement with the Clover Assistant by the providers who treat our MA members and DCE Beneficiaries (collectively, the “Providers”) and enrollment in our clinical care programs, including our in-home primary care program (Clover Home Care), by our most at-risk members and DCE Beneficiaries. By driving adoption of and engagement with the Clover Assistant by our Providers, we seek to promote the provision of high-quality medical care driven by real-time, personalized and actionable insights to healthcare providers at the point of care. Through the Clover Assistant, we support effective care coordination and care management informed by data analytics, help members and DCE Beneficiaries receive appropriate preventive care, and promote proper utilization management. We also operate Clover Home Care, an in-home primary complex care program for our most chronically ill members and DCE Beneficiaries, whose medical costs are disproportionately high compared to our other members and DCE Beneficiaries, to further improve quality of life and healthcare for those individuals. If we fail to drive adoption of and engagement with the Clover Assistant by our Providers or fail to accurately identify members at high risk for near-term hospitalization for our complex care management program, we could fail to drive significant reductions in MCR for our members and Direct Contracting Margin for our DCE Beneficiaries, which would have a material and adverse effect on our business, financial condition, and results 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 that better predictions will be made or that we would be able to realize the benefits of those predictions.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DCE Performance Year Benchmark, which is a target amount of Medicare expenditures against which the DCE’s performance year expenditures are compared to measure shared savings or losses with CMS, is a product of a number of variables, many of which are difficult to estimate at the beginning of the performance year. While we believe our estimate of the Performance Year Benchmark will become more accurate through the performance year as claims are incurred, our exact Performance Year Benchmark will not be known until final reconciliation with CMS. These variables include, but are not limited to, claims trends, beneficiary risk scores, and the mix of claims aligned vs. voluntarily aligned beneficiaries. If the final Performance Year Benchmark is less than anticipated, the profitability of our Direct Contracting business will suffer.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Providers who treat our members and DCE Beneficiaries may decline to follow appropriate care recommendations and may not carry out effective care coordination and care management. While we deploy the Clover Assistant and promote its adoption by all of our Providers in order to mitigate such risks, even in settings where adoption and use of the Clover Assistant is widespread, there can be no assurances that adherence to evidence-based protocols will be pervasive. Furthermore, our members and DCE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Beneficiaries may decline to seek out appropriate preventive care, participate in our readmission and complex care programs, or follow their Provider’s care and healthful living recommendations. We and the Providers, moreover, might not identify the appropriate members and DCE Beneficiaries who can most benefit from our clinical care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Medicare Advantage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CMS’ risk adjustment payment system makes our revenue and profitability difficult to predict and could result in material retroactive adjustments to our results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CMS has implemented a risk adjustment payment system for Medicare health plans to improve the accuracy of payments and establish appropriate compensation for Medicare plans that enroll and treat less healthy Medicare beneficiaries. CMS’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or adjust risk scores, and the impact on any such changes on our business is uncertain.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CMS makes premium payments to MA plans based on approved bids, which are risk-adjusted to account for members' known demographic and health status information. As prescribed by CMS, the premium is retroactively adjusted on two separate occasions to account for shifts in the diagnosis collection periods. We calculate estimates for these retroactive payment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In payment year 2020, 50% of the risk score was calculated from data submitted through RAPS and 50% from data submitted through EDS. CMS gradually increased the EDS percentage to 75% of the risk score for payment 2021 and ultimately transitioned to 100% EDS data for payment year 2022.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Direct Contracting Performance Year Benchmark is also risk adjusted based on the same CMS-Hierarchical Condition Categories (HCC) prospective risk adjustment model used in the MA program. There are additional adjustments applied to the DC Model risk score to mitigate the impacts of coding intensity on risk adjustment: normalization adjustment, +/- 3% symmetric cap, and a retrospective coding intensity factor. Unlike MA, the Direct Contracting risk score is based only on diagnosis confirmed on claims. The DC Model does not accept supplemental encounter data submissions. The DCE may make accruals in accounting periods to account for risk score accuracy for which we believe diagnoses are present, but not yet recognized in the beneficiaries’ risk scores. CMMI may revise the applicable rules and design of the Direct Contracting risk score methodology at any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the COVID-19 pandemic, which could have a material adverse effect on our business, results of operations, financial condition, and financial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susceptible to the adverse effects associated with the COVID-19 pandemic, which is having a major impact on health systems, businesses, governments and member activities. The ultimate severity, magnitude, and duration of the COVID-19 pandemic is uncertain and rapidly changing. The full extent to which the COVID-19 pandemic may impact our business, results of operations, and financial condition remains uncertain. Current uncertainties relating to the COVID-19 pandemic that could impact our future results include the development of new COVID-19 variants and the potential for further deferrals of elective or preventive care due to additional COVID-19 outbreaks and resulting stay-at-home orders, which in turn could result in exacerbated health conditions, higher future medical costs, and/or a reduction in risk adjustments and benchmarks against which future CMS bids will be assessed.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mobilize the full strength of our resources to deliver support for our members and Providers and deliver innovative solutions and support for the communities we serve. For example, we have implemented multi-channel member communications to support COVID-19 vaccination access and availability, Provider support for telehealth adoption by Clover Home Care practices, and the provision of in-home COVID-19 vaccinations for our most vulnerable beneficiaries. However, there can be no assurances that our efforts will be successful or that any of our solutions will be adopted by our Providers.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beneficiaries. In 2020, the healthcare system experienced deferrals of elective care due to the COVID-19 pandemic, which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beneficiaries’ medical costs by utilizing the Clover Assistant to encourage Providers to engage with our beneficiaries to help prevent a deterioration of their health. As a result of the crisis associated with the COVID-19 pandemic, in 2021 we experienced a significant increase in medical care costs. If a significant portion of our beneficiaries experience a deterioration in health, if our beneficiaries seek care that was deferred during the pandemic, or if our beneficiaries with chronic conditions require additional care resulting from missed treatments, we may experience a continued increase in medical care costs.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 With respect to our Direct Contracting operating segment, the Direct Contracting Benchmark is based on national trends, and while we believe we have certain protections in our DCE's participation agreement with CMS, Clover could be disproportionately affected by COVID-19 if impacts in concentrated regional service areas are significantly above or below national averages.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provider office visits, and the concomitant rise of telehealth visits, including audio-only visits, may impair risk adjustment data collection efforts that CMS takes into account for purposes of determining risk adjustment revenue. Also, because our beneficiaries may elect not to leave home for provider visits or preventive care services and may experience heightened depression or other negative health consequences during the pandemic, our ability to address care gaps measured by the CMS Star Ratings programs may be limited. Because our members and DCE Beneficiaries are concentrated in areas that were and continue to be especially hard hit by the pandemic, our performance on CMS Star Ratings measures may be more negatively impacted than that of other MA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also curtailed the ability of our clinical program physicians and providers to care for our most seriously ill members through Clover Home Care, our Clover Care Visit program, and our hospital readmissions prevention program. Although we have made great strides in treating our beneficiaries during this time through telemedicine, there are some conditions that cannot adequately be assessed and addressed remotely. Also some beneficiaries may be unwilling to participate or continue to participate in telehealth visits. In 2021, we performed in-person visits with our beneficiaries via our Clover Home Care program, but there were recurring instances of periods when we were not able to do so due to rising COVID-19 levels. Even when public health experts deem it safe to return to treat members in their homes, beneficiaries might be unwilling to accept care in their homes. Our Providers themselves might also become infected with COVID-19 and be unable to deliver care during these periods of acute infection or the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post-infectious period if they experience longstanding effects of COVID-19 infection. Because our most chronically ill members are responsible for a significantly disproportionately high share of our medical expenses, our potential inability or difficulty of providing targeted services to this population can undercut our ability to manage our overall medical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dissemination of sensitive personal information or proprietary or confidential information about us or our beneficiaries.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beneficiaries. Such measures could negatively affect our sales and marketing efforts, sales cycles, employee productivity, or beneficiary retention, any of which could harm our financial condition and business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in public and private infrastructure, including supply chains providing medical supplies, could also adversely disrupt our business operations. Additionally, the enactment of emergency powers by governments could disrupt our business operations, including further restricting our members’ ability to receive care, our providers’ ability to operate, or our ability to access necessary supplies.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authorities in the United States have proposed or issued vaccine mandates requiring certain employers, including certain federal contractors, to ensure that their employees are fully vaccinated against COVID-19, subject to certain exceptions as provided for in the applicable mandate, or, in some cases, be regularly subject to COVID-19 testing. As we are a federal contractor, any such recently issued or future vaccine mandate could negatively impact our ability to attract or retain workers, including healthcare providers. The loss of, or inability to attract, employees could negatively impact our ability to carry out our business and provide care to our beneficiaries and other critical services, and thus could have a material adverse effect on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adoption and use of the Clover Assistant is lower than we expect, our growth may slow or stall, or we may experience a decline in our Lives under Clover Management, and our operating results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important part of our growth strategy depends on our ability to increase adoption and use of the Clover Assistant, including by providers who also use electronic health records (EHR) systems. We have directed, and intend to continue to direct, a significant portion of our financial and operating resources to developing the Clover Assistant platform and expanding its usage. There can be no assurance that adoption of Clover Assistant will continue to grow, or that rates of engagement will be maintained or increase. A number of factors could potentially negatively affect adoption of the Clover Assistant and provider engagement, including but not limited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convincing providers of the value, benefits, and usefulness of the Clover Assistant, particularly in markets where we have fewer beneficiaries;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integrate with EHR systems;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attract, effectively train and retain effective sales and marketing personnel;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develop or expand relationships with strategic partners;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capitalize on co-branding opportunities;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delays in implementation of CMS interoperability requirements;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 scheduling meetings with providers, and providing demonstrations and trainings related to the Clover Assistant;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compete effectively against alternative products or services, including overcoming perceptions that existing systems, including EHR systems, are similar and adequate, or that Clover Assistant will increase administrative burdens;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technical or other problems impacting availability or reliability of the platform, including limited broadband access in certain rural areas;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for members and DCE Beneficiaries in accessing their Providers and a corresponding decrease in the number of primary care visits;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privacy and communication, safety, security or other concerns;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changes in our platform that are mandated by, or that we elect to make, to address, legislation, regulatory authorities or litigation;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poor user experiences;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attractiveness of our brand or reputation.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providers using the Clover Assistant, if providers are dissatisfied with the Clover Assistant, or if new alternative solutions effectively compete with us, providers may decline to use the Clover Assistant.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Clover Assistant is not adopted as quickly as we anticipate in the markets in which we operate, we may be unable to collect and provide valuable actionable data to providers treating our beneficiaries in such markets, which could prevent us from driving significant reductions in MCR for our beneficiaries in such markets and would in turn curtail our ability to offer competitively priced MA Plans and realize shared savings against the DCE benchmark in such markets. Any such events could result in higher medical expenses and reduced cash flows. As a result, if we are unsuccessful in our efforts to drive adoption of the Clover Assistant, our business, results of operations, and financial condition could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new users and retain existing users of the Clover Assistant also depends in large part on our ability to continually enhance and improve its features, integrations, and capabilities to continue to provide a useful tool for providers.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succeed in expanding our Lives under Clover Management, our future growth would be limited, and our business, financial condition, and results of operations would be harmed.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derive substantially all of our total revenues from MA premiums earned and Direct Contracting revenue, which are primarily driven by the number of members under our MA plans and the number of our DCE Beneficiaries, respectively. As a result, the number of </w:t>
      </w:r>
      <w:r>
        <w:rPr>
          <w:rFonts w:ascii="Times New Roman;sans-serif" w:hAnsi="Times New Roman;sans-serif"/>
          <w:b w:val="false"/>
          <w:color w:val="000000"/>
          <w:sz w:val="20"/>
          <w:highlight w:val="white"/>
        </w:rPr>
        <w:t>Lives under Clover Management is</w:t>
      </w:r>
      <w:r>
        <w:rPr>
          <w:color w:val="000000"/>
        </w:rPr>
        <w:t xml:space="preserve"> </w:t>
      </w:r>
      <w:r>
        <w:rPr>
          <w:rFonts w:ascii="Times New Roman;sans-serif" w:hAnsi="Times New Roman;sans-serif"/>
          <w:b w:val="false"/>
          <w:color w:val="000000"/>
          <w:sz w:val="20"/>
        </w:rPr>
        <w:t xml:space="preserve">critical to our success, and we are continually executing several growth initiatives, strategies, and operating plans designed to increase the number of </w:t>
      </w:r>
      <w:r>
        <w:rPr>
          <w:rFonts w:ascii="Times New Roman;sans-serif" w:hAnsi="Times New Roman;sans-serif"/>
          <w:b w:val="false"/>
          <w:color w:val="000000"/>
          <w:sz w:val="20"/>
          <w:highlight w:val="white"/>
        </w:rPr>
        <w:t>Lives under Clover Management, inclu</w:t>
      </w:r>
      <w:r>
        <w:rPr>
          <w:rFonts w:ascii="Times New Roman;sans-serif" w:hAnsi="Times New Roman;sans-serif"/>
          <w:b w:val="false"/>
          <w:color w:val="000000"/>
          <w:sz w:val="20"/>
        </w:rPr>
        <w:t>ding the expansion of our Medicare Advantage and DCE offerings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color w:val="000000"/>
        </w:rPr>
        <w:t>—</w:t>
      </w:r>
      <w:r>
        <w:rPr>
          <w:rFonts w:ascii="Times New Roman;sans-serif" w:hAnsi="Times New Roman;sans-serif"/>
          <w:b w:val="false"/>
          <w:i/>
          <w:color w:val="000000"/>
          <w:sz w:val="20"/>
        </w:rPr>
        <w:t>If we fail to estimate, price for and manage medical expenses in an effective manner, the profitability of our Medicare Advantage plans and Direct Contracting business could decline, which could materially and adversely affect our results of operations, financial position, and cash flows.</w:t>
      </w:r>
      <w:r>
        <w:rPr>
          <w:color w:val="00000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2020, we primarily focused on offering our MA plans in nine counties within New Jersey. In 2021, we offered our MA plans in 108 counties across eight states, and cared for 68,120 MA members as of December 31, 2021. Additionally, in January 2022, we launched our MA plans in an additional 101 counties and an additional state, and we announced that our MA membership had grown by over 25% versus the beginning of 2021. While we intend to continue to grow our MA membership by increasing our share in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existing service areas and entering into new service areas, we may not be able to successfully achieve this growth for a number of reasons. Our ability to attract and retain members may be impacted by several factors, including, without limitation: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lack of brand recognition;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developing strategic co-marketing relationships;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lack of shopping for plans by MA eligible beneficiaries;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shifting consumer preferences, including a preference by members to enroll with an MA plan sponsored by the insurer of the commercial plan in which they enrolled before they became eligible for Medicare, a preference by members to enroll in various special needs plans, which we do not offer;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failure to effectively compete and offer low cost and high value plans;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establishing an attractive network in new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changes affecting the overall pool of MA eligible beneficiaries;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growing our provider networks and contracting with providers and medical facilities on competitive terms.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61,876 aligned DCE Beneficiaries. As of that date, we had approximately 720 contracted participating providers managing primary care for our DCE Beneficiaries and, additionally, we had approximately 635 preferred providers and preferred facilities in our DCE network. DCE Beneficiary growth is dependent upon the number and size of the providers that contract with the DCE, and CMS’ alignment rules. While we intend to continue to grow our DCE Beneficiaries by increasing our contracts in existing service areas and entering into new service areas, we may not be able to successfully achieve this growth for a number of reasons. Our ability to attract and retain DCE Beneficiaries may be impacted by several factors, including, without limitation: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lack of brand recognition;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regulatory changes affecting the overall pool of Medicare eligibles;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changes impacting provider participation in Medicare value-based programs;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to effectively compete and offer competitive payment incentives to attract participating providers and “preferred” providers, which include specialists and ancillary facilities that agree to participate in Direct Contracting with Clover’s DCE;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programmatic adjustments made to the DC Model;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existing shared savings programs or the addition of new shared savings programs;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alignment methodology that CMS uses to align beneficiaries to participants in the DC Model;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ability or the process required to voluntarily align beneficiaries;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any notification that CMS intends to discontinue or alter the DC Model or our participation in the program in a significant manner.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that could limit our beneficiary growth include, among others, potential non-compliance with CMS requirements and other laws and regulations, which could result in sanctions against us that prevent us from, among other actions,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decisions concerning the allocation of management and financial resources toward efforts to grow our Lives under Clover Management in certain markets may not lead to the growth we expect, or any growth. Similarly, our potential decisions to delay entering or terminate our services in any market may subsequently also prove to be suboptimal and could cause us to miss valuable opportunities. We may also choose to terminate contracts with providers contracted with our DCE if they do not meet our performance standards, or providers may choose not to continue working with us, either of which could reduce our number of DCE Beneficiaries.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forgo or delay pursuit of opportunities that may later prove to have greater commercial potential than those we choose to pursue.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we cannot assure you that we will be able to increase our number of Lives under Clover Management or to the extent to which we will be able to achieve beneficiary growth.</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members and DCE Beneficiaries remain concentrated in certain geographic areas and populations, which exposes us to unfavorable changes in local benefit costs, reimbursement rates, competition, and economic conditions.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Our MA members an</w:t>
      </w:r>
      <w:r>
        <w:rPr>
          <w:rFonts w:ascii="Times New Roman;sans-serif" w:hAnsi="Times New Roman;sans-serif"/>
          <w:b w:val="false"/>
          <w:color w:val="000000"/>
          <w:sz w:val="20"/>
        </w:rPr>
        <w:t>d DCE Beneficiaries remain concentrated in certain geographic areas in the United States and in certain populations. Many are low-income, and a significant number are people of color. As of December 31, 2021, approximately 90.2% of our Medicare Advantage members, most of whom were in two metropolitan areas, were residents of New Jersey. With respect to the DCE, as of December 31, 2021, approximately 41.1% of our DCE Beneficiaries were aligned to providers in New York, with an additional 34.1% in New Jersey and 14.5% in Kansas. Unfavorable changes in healthcare or other benefit costs or reimbursement rates or increased competition in New Jersey or any other geographic area where our members and DCE Beneficiaries becomes concentrated in the future could therefore have a disproportionately adverse effect on our operating results. Additionally, the geographic concentration and low-income status of a significant portion of our members and DCE Beneficiaries may make them more vulnerable to events such as the COVID-19 pandemic. In particular, a disproportionate number of our members and DCE Beneficiaries may be affected by the COVID-19 pandemic, access to care may be more difficult, and proposed responses, including telehealth, may not be accessible.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new markets, particularly rural markets, may not be as profitable to serve as our existing markets.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plans to grow our Lives under Clover Management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Through our participation in the DC Model, we are also planning to expand into new markets through contracting with participating and preferred providers.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and other participants in the DC Model who seek to curate their membership. While we believe that with the Clover Assistant we can reduce costs of all of our beneficiaries and drive increasingly better unit economics at scale, there can be no assurances that we will succeed in doing so. We intend to expand into an increasing percentage of counties that CMS classifies as rural. Due to the rural nature of these markets, including the disposition of healthcare in those areas, we may have difficulty providing the same level and types of clinical care as we provide in our other markets. If the medical expenses of beneficiaries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Lives under Clover Management geographically, our revenue and operating results may be disproportionately affected by adverse changes affecting our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be adversely affected if we are unable to grow our provider networks or contract with providers, medical facilities, and other entities on competitive terms.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requires that we successfully maintain and grow our provider networks and contract with providers and medical facilities in new markets in order to meet CMS requirements relating to network adequacy. In addition, in order to retain our members and DCE Beneficiaries and attract additional beneficiaries, our provider networks, including those providers participating in Medicare and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providers as well as lead to higher costs, healthcare provider network disruptions and less attractive options for our beneficiaries, any of which could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unable to effectively manage our growth, which could have a material adverse effect on our business, financial condition, and results 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operate in a competitive industry, and if we are not able to compete effectively, our business, financial condition, and results of operations will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for MA plans and related products are highly competitive. We compete in certain segments within the healthcare market, including MA plans as well as other healthcare technology platforms, and have entered into other markets, such as the DC Model.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Centene, and Anthem that provide MA plans, as well as regional-based companies or health plans that provide MA plans, including Blue Cross Blue Shield affiliates, Bright Health, Alignment Health, Devoted Health, Oscar Health, hospital systems, and provider-based organizations. As a result of our recent entry into CMS’ new DC Model, we also face competition from other DCE participants including provider groups, accountable care organizations (ACOs), and managed care organizations (MCOs). These competitors include Oak Street, VillageMD, Humana, Anthem, and Iora Health. Competition from these and other new entrants may intensify as the DCE market develops and business models evolve to address it. In addition, as we enter into new markets, including through Direct Contracting, we may compete with regional start-up companies that offer MA plans and other participants in the DC Model. Also, as we develop other products and enter new lines of business, such as Direct Contracting, and other companies do the same, we may compete with providers of healthcare technology platforms, EHR providers, telehealth providers, healthcare data analytics providers, and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beneficiaries,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by beneficiaries and provider users, and loss of current market share to existing competitors and disruptive new market entrants.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one of these competitive pressures in our market, or our failure to compete effectively, may result in fewer plans being offered; a reduction in plan benefits; reduced services; a loss of existing beneficiaries or inability to grow our number of beneficiaries; fewer provider users; reduced revenues; lower gross margins; and loss of market share. Any failure to meet and address these factors would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compete with larger companies that may have stronger brands, and consolidation among competitors would increase competition.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members.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 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beneficiary base, a stronger and larger provider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beneficiaries may purchase competitive plans in lieu of purchasing our health plans, or providers may adopt competing technology platforms in lieu of the Clover Assistant. Any such events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estimate incurred but not reported claims accurately would affect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time lag between when medical services are actually rendered by our providers and when we (or CMS with respect to the DCE)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beneficiaries,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accounting for the Medicare Part D benefits requires difficult estimates and assumptions, and if they prove to be incorrect, our results of operations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and low-income cost subsidies represent payments from CMS in connection with the Medicare Part D program for which we assume no risk. Reinsurance subsidies represent payments for CMS’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 prospective subsidies against actual prescription drug costs we paid is made after the end of the applicable year.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 claims edit processes due to various reasons, including discrepancies in eligibility or classification of low-income members. To the extent our data does not pass CMS’ claim edit processes, we may bear the risk for all or a portion of the claim which otherwise may have been subject to the risk corridor provision or forgo payments we would have otherwise received as a low-income subsidy or reinsurance claim. In addition, in the event the settlement represents an amount CMS owes us, there is a negative impact on our cash flows and financial condition as a result of financing CMS’ share of the risk. The opposite is true in the event the settlement represents an amount we owe CMS.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expand our sales and marketing infrastructure or if we fail to overcome challenges relating to marketing of our MA plans and DC business, we may fail to enroll sufficient beneficiaries to meet our forecasts.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derive substantially all of our total revenues from MA premiums and Direct Contracting revenue,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and to successfully market our DC business to the national provider network to contract with new participating providers and grow our number of DCE Beneficiaries. If our sales and marketing representatives fail to achieve their objectives, our Lives under Clover Management could decrease or may not increase at levels that are in line with our forecasts.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sales and marketing infrastructure to drive beneficiary growth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number of beneficiaries or our plans as quickly as we need to, or at all. For example, if insurance brokers and field marketing organizations choose not to market and sell our plans, our business and results of operations would be adversely affected. In addition to the financial impact of having fewer beneficiaries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MA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offerings.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develop widespread brand recognition or are unable to maintain or enhance our reputation, our business, financial condition, and results of operations will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widespread brand recognition and maintaining and enhancing our reputation is critical to our relationships with existing providers and beneficiaries, and to our ability to attract new providers and beneficiaries to our platform and offerings.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beneficiaries, could harm our reputation and brand and make it substantially more difficult for us to attract new providers or beneficiaries. If we do not successfully develop widespread brand recognition and maintain and enhance our reputation, our business may not grow and we could lose our relationships with providers or members and beneficiaries, which would harm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continue to innovate and provide services that are useful to our beneficiaries and providers, we may not remain competitive, and our business, financial condition, and results of operations could suffer.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healthcare in the United States is in the early stages of structural change and is rapidly evolving toward a more value-based care model. Our success depends on our ability to keep pace with technological developments, satisfy increasingly sophisticated beneficiary and provider user requirements, and sustain and grow market acceptance. Our future financial performance will depend in part on our growth in this market and on our ability to adapt to emerging market demands, including adapting to the ways our members and beneficiaries access and use our MA plans, DCE, and clinical care programs, and the ways our providers use and engage with the Clover Assistant. Our competitors may develop products and services that may appeal more to our beneficiaries and/or providers. As a result, we must continue to invest significant resources in research and development in order to enhance our existing platform and introduce new high-quality products and features that our beneficiaries and providers will want, while offering our MA plans at competitive prices. In particular, achieving and maintaining broad market acceptance of our MA plans and our products, including the Clover Assistant, could be negatively affected by many factors, including: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beneficiary and provider needs and preferences;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lack of evidence supporting the ease-of-use, cost savings or other perceived benefits of our MA plans;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lack of evidence supporting the ease-of-use, costs savings or other perceived benefits of our platform over competitive products and technology platforms;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perceived risks associated with the use of our platform, similar products or technologies generally.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offer high-quality customer support, our business, results of operations, and reputation could suffer.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upon providing high-quality customer support and service to both our beneficiaries and providers. In particular, our ability to attract and retain membership is dependent upon providing cost effective, quality customer service operations, such as call center operations and claim processing, that meet or exceed our beneficiaries’ expectations. We depend on third parties for certain of our customer service operations. If we or our vendors fail to provide service that meets our beneficiaries’ expectations, we may have difficulty retaining or growing our Lives under Clover Management, which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 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Real or perceived errors, failures, vulnerabilities, or bugs in the Clover Assistant would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 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technical operations infrastructure, or experience service outages, interruptions, or delays in the deployment of our platform, our results of operations may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events could cause the market price of our common stock to fluctuate. Factors that may contribute to the variability of our operating results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the enrollment periods and related sales and marketing expenses;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risk adjustments;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addition or loss of large hospital and healthcare systems in our provider network, including due to acquisitions or consolidations of such systems;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recognition of revenue, including possible delays in the recognition of revenue;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effectively manage the size and composition of our in-house clinician program relative to the level of demand for services from our members;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 success of introductions of new products and services by us or our competitors or any other change in the competitive dynamics of our industry, including consolidation among competitors, hospital and healthcare systems or strategic partners;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expenses related to the development or acquisition of technologies or businesses and potential future charges for impairment of goodwill from acquired companies;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and/or delays in rolling out technology or platform updates;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technical difficulties or interruptions in the Clover Assistant;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increase provider adoption of the Clover Assistant;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new beneficiaries;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breaches of information security or privacy, and any applicable fines or penalties;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hire and retain qualified personnel, including for our in-house clinician program;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of healthcare provider and payment systems;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legislative or regulatory environment, including with respect to healthcare, privacy, or data protection, or enforcement by government regulators, including fines, orders, sanctions, or consent decrees;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 and potential outcomes of ongoing or future regulatory audits, investigations, or litigation;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economic and social instability, including terrorist activities and health epidemics (including the COVID-19 pandemic), and any disruption these events may cause to any of our offices, to the healthcare system, or to the global economy;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our and our competitors’ pricing policies;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business or macroeconomic conditions.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beneficiaries and potential beneficiaries than competing MA plans and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participants in the DC Model. If these assumptions prove inaccurate, our business, financial condition, and results of operations could be adversely affected.</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international operations pose certain risks to our business that may be different from risks associated with our domestic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operations, including certain outsourced operations in other countries,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successfully manage our international operations and the associated risks effectively could limit the future growth of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successful in expanding our Lives under Clover Management across the United States, we may incur increased expenses and risks related to compliance with state licensure requirements, which could impact our business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 regulators require us to maintain a valid license in each state in which we transact health insurance business, maintain minimum amounts of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among other things,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grant and revoke licenses to transact insurance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monitor compliance with minimum capital and surplus requirements;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conduct inquiries into the insurance-related activities and conduct of agents and agencies;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 and regulate disclosure in connection with the sale and solicitation of health insurance;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authorize how, by which personnel and under what circumstances insurance premiums can be quoted and published and an insurance policy can be sold;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approve which entities can be paid commissions from carriers and the circumstances under which they may be paid;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regulate the content of insurance-related advertisements, including web pages, and other marketing practices;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approve policy forms, require specific benefits and benefit levels, and regulate premium rates;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impose fines and other penalties;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impose continuing education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beneficiaries and provider users, and we may lose beneficiaries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protect our sites, networks, and systems against security breaches, or otherwise to protect our confidential or health information or the confidential or health information of our beneficiaries, providers, or other third parties, would damage our reputation and brand, and substantially harm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beneficiaries,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growth depends in part on the success of our strategic relationships with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formulary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and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beneficiaries,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providers and potentially higher medical costs for our beneficiaries, increased or duplicative costs, an inability to meet our obligations to our beneficiaries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 eligibles into, or the effective and efficient operations of, our MA Plans and DCE or the adoption of the Clover Assistant by providers.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beneficiaries or provider users of the Clover Assistant.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Because competition for qualified personnel is intense, we may not be able to attract and retain the highly skilled employees we need to execute our business strategies and growth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other key employees, and the loss of one or more of these employees or an inability to attract and retain qualified key personnel could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For example, in July 2021, we announced that our Chief Financial Officer would be leaving the Corporation as of August 13, 2021, and that Mark C. Herbers would serve as interim Chief Financial Officer until a permanent replacement had been hired, and in January 2022, we announced our General Counsel would be leaving the Corporation and that Karen Soares would serve as interim General Counsel until a permanent replacement had been hired. We can provide no assurance that any of our other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beneficiaries,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management team has limited experience managing a public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limited experience managing a publicly-traded company, interacting with public company investors and securities analysts, and complying with the increasingly complex laws pertaining to public companies. These obligations and constituents require significant attention from our management team and could divert their attention away from the day-to-day management of our business, and such diversions could be elevated following the departures of our Chief Financial Officer and General Counsel, which could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engage in merger and acquisition activities, which would require significant management attention, disrupt our business, dilute stockholder value, and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to expand usage of our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beneficiaries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the Company, the business and results of operations of the combined company would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business growth, and this capital might not be available on acceptable terms, or at all.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capital expenditures principally from the sale of our equity securities, MA premiums earned, Direct Contracting revenue, and the incurrence of indebtedness.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and Note 2 (Summary of Significant Accounting Policies) to Financial Statements in this report.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those in our assumptions, which could cause our results of operations to fall below the expectations of securities analysts and investors, resulting in a decline in the trading price of our common stock.</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in the future be, subject to investigations and litigation, which could be costly and time-consuming to defend, and the outcomes of which cannot be predicted.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subject to various litigation matters as described in the section entitled “Item 3.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We are also currently subject to an ongoing inquiry by the U.S. Department of Justice (DOJ), and also may in the future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beneficiaries, fraudulent coding practices, billing for unnecessary medical and/or other covered services, improper marketing and violations of patient privacy rights. The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Times New Roman;sans-serif" w:hAnsi="Times New Roman;sans-serif"/>
          <w:b w:val="false"/>
          <w:i/>
          <w:color w:val="000000"/>
          <w:sz w:val="20"/>
        </w:rPr>
        <w:t>Our business activities are highly regulated, and new and proposed government regulation or legislative reforms could increase our cost of doing business and reduce our number of beneficiaries, profitability, and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not covered by insurance, or if the fines, judgments, and settlements exceed insured levels, could adversely affect our results of operations and cash flows, thereby harming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including the current ongoing DOJ inquiry,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Governmental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derive substantially all of our total revenues from Medicare Advantage premiums and Direct Contracting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operating results, financial condition, and prospects.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CMS could apply similar changes to the DC Model in the future. See the section entitled </w:t>
      </w:r>
      <w:r>
        <w:rPr>
          <w:color w:val="000000"/>
        </w:rPr>
        <w:t>“—</w:t>
      </w:r>
      <w:r>
        <w:rPr>
          <w:rFonts w:ascii="Times New Roman;sans-serif" w:hAnsi="Times New Roman;sans-serif"/>
          <w:b w:val="false"/>
          <w:i/>
          <w:color w:val="000000"/>
          <w:sz w:val="20"/>
        </w:rPr>
        <w:t>Our expansion into Direct Contracting presents new risks to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Affordable Care Act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judicial and Congressional challenges to certain aspects of the ACA, as well as the act in its entirety, and there may be additional challenges and amendments to the ACA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corporate practice of medicine and fee-splitting between physicians and referral sources may be statutory or regulatory, or may be imposed through judicial or regulatory interpretation, and vary widely from state to state.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HMO subsidiary, we employ providers and other clinical staff to provide medical services to medically complex beneficiaries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maintain satisfactory quality and performance measures may negatively affect our premium rates, subject us to penalties, limit or reduce our number of beneficiaries,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beneficiaries.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Star Ratings system considers various measures adopted by CMS, including, among others, quality of care, preventative services, chronic illness management and beneficiary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For each year that our plans were rated, we received a Star Rating of 3.0, except for the 2017 and 2022 Star Ratings, when the Star Rating for our PPO plan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beneficiaries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beneficiaries and beneficiaries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beneficiaries and obtain regulatory approval for acquisitions or expansions. If we do not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beneficiaries, results of operations, financial condition and cash flows.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activities are highly regulated, and new and proposed government regulation or legislative reforms could increase our cost of doing business and reduce our number of beneficiaries, profitability, and liquidity.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is heavily regulated and closely scrutinized by federal, state and local governments. Comprehensive statutes and regulations govern the manner in which we are compensated for providing coverage for our MA members and DCE Beneficiaries, our contractual relationships with our providers, vendors and beneficiaries, our marketing activities and other aspects of our operations. Of particular importance 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insurance holding company laws and regulations pertaining to licensing and plan solvency requirements;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reassignment of payment rules that prohibit certain types of billing and collection practices in connection with claims payable by the Medicare or Medicaid programs;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similar state law provisions pertaining to anti-kickback, self-referral, and false claims issues, some of which may apply to items or services reimbursed by any third-party payer;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laws that prohibit general business corporations, such as us, from engaging in the corporate practice of medicine, controlling physicians’ medical decisions or engaging in some practices such as splitting fees with physicians;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provision of the Affordable Care Act that requires MA plans to spend at least 85% of premium dollars on medical 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and state laws that govern our relationships with pharmaceutical manufacturers, wholesalers, pharmacies, beneficiaries, and consumers;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benefit plans or reducing the cost of such drugs to those individuals, imposing requirements relating to the receipt or required disclosure of rebates from pharmaceutical manufacturers, and restricting the use of average wholesale prices;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laws that regulate debt collection practices;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and state laws governing the ways in which we communicate with beneficiaries and market our services, including the Telephone Consumer Protection Act, the Controlling the Assault of Non-Solicited Pornography and Marketing Act;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with respect to the operations of our therapeutics affiliate, the extensive, complex, and evolving laws and regulations applicable to the operations of our therapeutics affiliate, primarily those of the U.S. Food and Drug Administration (the “FDA”);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federal law governing CMMI models, such as the DC Model, including a requirement under section 1115A of the Social Security Act for CMMI to modify or terminate the design or implementation of a model if it is determined that it is not expected to achieve the aims of the statute to improve the quality of care without increasing Medicare spending, to reduce Medicare spending without reducing the quality of care, or to improve the quality of care and reduce spending.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scrutiny or challenge under one or more of such laws. Also, it is possible that some of our business activities, such as participation in the DC Model, could discontinue.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Achieving and sustaining compliance with these laws may also prove costly. We are currently and expect to be in communication with the DOJ and other regulators regarding our business.</w:t>
      </w:r>
      <w:r>
        <w:rPr>
          <w:color w:val="000000"/>
        </w:rPr>
        <w:t xml:space="preserve"> </w:t>
      </w:r>
      <w:r>
        <w:rPr>
          <w:rFonts w:ascii="Times New Roman;sans-serif" w:hAnsi="Times New Roman;sans-serif"/>
          <w:b w:val="false"/>
          <w:color w:val="000000"/>
          <w:sz w:val="20"/>
        </w:rPr>
        <w:t>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intends to interpret and apply the new 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required to maintain higher statutory capital levels for our existing operations or if we are subject to additional capital reserve requirements as we pursue new business opportunities, our cash flows and liquidity may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HIPAA,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patients or more in the same state or jurisdiction must also be reported to the local media. If a breach involves fewer than 500 people, the covered entity must record it in a log and notify HHS at least annually.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which would potentially result in additional compliance obligations. Additionally, on November 3, 2020, California voters approved the California Privacy Rights Act (the “CPRA”),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beneficiary data, including HIPAA-regulated PHI. As a result, our reputation could be severely damaged, adversely affecting PCP and beneficiary confidence. Beneficiaries may curtail their use of or stop using our services or our number of beneficiaries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outsource important aspects of the storage and transmission of beneficiary information, and thus rely on third parties to manage functions that have material cyber-security risks. We attempt to address these risks by requiring outsourcing subcontractors who handle beneficiary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publish statements to our beneficiaries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beneficiaries, or other third parties could result in claims of deceptive practices brought against the Company, which could lead to significant liabilities and consequences, including, without limitation, governmental investigations or enforcement actions, costs of responding to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investigations, defending against litigation, settling claims and complying with regulatory or court orders, all of which could have material impacts on our revenue and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protect or enforce our intellectual property rights could impair our ability to protect our internally-developed technology and our brand, and our business may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obtain or maintain the right to use certain of our intellectual property could negatively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 proprietary. If we are unable to maintain our rights in our internally-developed technologies and other intellectual property, our business would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could incur substantial costs as a result of any claim of infringement of another party’s intellectual property rights.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most instances, we have agreed to indemnify our providers against certain third-party intellectual property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use of “open source” and third-party software could impose unanticipated conditions or restrictions on our ability to commercialize our solutions and could subject us to possible litigation.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open source software, and required to comply with the foregoing conditions, including public release of certain portions of our internally-developed source code.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prices and trading volume of our shares of Class A common stock have experienced extreme volatility in recent periods and such volatility could return, regardless of our operating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prices and trading volume of our shares of Class A common stock have experienced extreme volatility in recent periods, particularly during June and July 2021, and such volatility could return. We believe that the extreme volatility we have experienced in recent periods reflects market and trading dynamics unrelated to our underlying business, or macro or industry fundamentals, and we do not know if these dynamics will return or how long they will last if they return.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Overall, there are various factors, many of which are beyond our control, that could negatively affect the market price of our Class A common stock or result in fluctuations in the price or trading volume of our Class A common stock, including: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overall performance of the equity markets and the economy as a whole;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financial projections we may provide to the public or our failure to meet these projections;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changes in our growth rate relative to that of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anticipated future size or growth rate of our addressable markets;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of new products and services, technological and platform updates or enhancements, or of acquisitions, strategic partnerships, joint ventures or capital-raising activities or commitments, by us or by our competitors;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disruptions to the Clover Assistant or our other technology;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additions or departures of board members, management or key personnel;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research or reports that securities analysts or others publish about us or our business;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 including those related to Medicare;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lawsuits threatened or filed against us or investigations by governmental authorities;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expiration of contractual lock-up agreements;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health epidemics, such as the COVID-19 pandemic, influenza, and other highly communicable diseases;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stock market with respect to newly public companies, particularly companies in the healthcare and technology industry, have experienced significant price and volume fluctuations that have affected and continue to affect the market prices of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prices of these companies. In the past, stockholders have instituted securities class action litigation against public companies following periods of market volatility. For example, following periods of volatility in the trading price of our Class A common stock, in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performance may differ from any projections that we disclose or any information that may be attributed to us by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Sales of substantial amounts of our securities in the public markets, or the perception that they might occur, could cause the market price of our common stock to decline.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Sponsor, our directors, officers and principal stockholders and their affiliated entities (not including the shares of Class A common stock issued in the PIPE Investment) collectively owned approximately 81.8% of the outstanding shares of Class A and Class B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December 31, 2021, we had options outstanding that, if fully exercised, would result in the issuance of 31,155,742 shares of Class B common stock, and we had restricted stock units (RSUs) outstanding that would result in the issuance of 44,177,116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While management has remediated or taken steps to remediate these material weaknesses, our failure to establish and maintain effective internal control over financial reporting more generally could adversely affect our ability to produce timely and accurate financial statements and comply with disclosure and other requirements, which in turn could harm investor confidence in the Corporation and the trading price of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audited financial statements of the Corporation and its consolidated subsidiaries for the year ended December 31, 2021, we identified a material weakness in our internal control over financial reporting as further described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management’s review, in connection with the preparation of the Corporation’s audited financial statements for the year ended December 31, 2021, of certain performance restricted stock unit awards (PRSUs) issued by the Corporation in connection with its January 2021 business combination with Social Capital Hedosophia Holdings Corp. III, the expense associated with the PRSUs was determined to have been recognized over a shorter vesting period than required under Accounting Standards Codification 718,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three quarters of 2021. As a result, the Corporation overstated the stock-based compensation expense, total operating expenses, loss from operations, net loss, comprehensive loss, additional paid-in capital, and accumulated deficit by approximately $13.2 million in the aggregate for the quarters ended March 31, 2021, June 30, 2021, and September 30, 2021. Our controls, specifically the review of assumptions related to determining the expense associated with stock-based compensation awards, did not operate as designed, resulting in an adjustment in fourth quarter 2021 to decrease operating expenses within the consolidated statements of operations and additional paid-in capital within the Corporation’s consolidated balance sheet. Management has concluded that these adjustments were immaterial both individually and in the aggregate with respect to each interim period during the year ended December 31, 2021. As a result of this deficiency, management has concluded that we did not maintain effective internal control over financial reporting as of December 31, 2021, based on the COSO criteria described above.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material weakness, we intend to continue to take steps to remediate the material weakness through enhancements that include, but are not limited to, hiring additional resources and further enhancing our business processes and related internal controls. Additionally, the staff responsible for preparing and reviewing stock-based compensation expense will complete additional training in the accounting of these types of awards as prescribed by current accounting standards. We are committed to maintaining a strong internal control environment. With the implementation and operating effectiveness of these corrective actions, we anticipate that the material weakness identified above could be deemed remediated as soon as the quarter ending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weaknesses in our disclosure controls and internal control over financial reporting may be discovered in the future.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and maintain our accounting systems and significant management oversight. If any of these new or improved controls and systems do not perform as expected, we may experience additional material weaknesses in our controls.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control with our existing stockholders, including our directors, executive officers, principal stockholders and their respective affiliates, who held in the aggregate 81.8% of the voting power of our capital stock as of December 31,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B common stock has 10 votes per share, and our Class A common stock has one vote per share. As of December 31, 2021, our directors, executive officers, principal stockholders and their affiliates held in the aggregate 81.8% of the voting power of our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42,804,771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cannot predict the effect our dual class structure may have on the trading price of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will result in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 Our directors, executive officers and principal stockholders will have substantial control over us, which could limit the ability of our other stockholders to influence the outcome of key transactions, including a change of control.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2021, we had approximately $989.1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unforeseen reasons, our existing NOLs could expire or otherwise be unavailable to offset future income tax liabilities. We have recorded a full valuation allowance against the deferred tax assets attributable to our NOLs.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Restrictions on our ability to obtain funds from our regulated subsidiaries could materially and adversely affect our results of operations, financial position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and divert management’s attention.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Unanticipated changes in effective tax rates or adverse outcomes resulting from examination of our income or other tax returns could expose us to greater than anticipated tax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trading price and trading volume could decline if securities or industry analysts do not publish research about our business, or if they publish unfavorable research.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Applicable insurance laws may make it difficult to effect a change of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amended and restated certificate of incorporation and amended and restated bylaws that may make it difficult for a third party to acquire, or attempt to acquire, control of the Corporation, even if a change in control were considered favorable by our stockholders. These anti-takeover provisions include: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classified board of directors so that not all members of our board of directors are elected at one time;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board of directors to determine the number of directors and to fill any vacancies and newly created directorships;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requirement that our directors may only be removed for cause;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cumulative voting for directors;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requirement of a super-majority to amend some provisions in our amended and restated certificate of incorporation and amended and restated bylaws;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authorization of the issuance of “blank check” preferred stock that our board of directors could use to implement a stockholder rights plan;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stock, including the election of directors and significant corporate transactions, such as a merger or other sale of our company or its assets;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inability of our stockholders to call special meetings of stockholders; and</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prohibition on stockholder actions by written consent, thereby requiring that all stockholder actions be taken at a meeting of our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provisions may benefit the Corporation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88" w:before="120" w:after="283"/>
        <w:jc w:val="both"/>
        <w:rPr/>
      </w:pPr>
      <w:r>
        <w:rPr>
          <w:rFonts w:ascii="Times New Roman;sans-serif" w:hAnsi="Times New Roman;sans-serif"/>
          <w:b w:val="false"/>
          <w:color w:val="231F20"/>
          <w:sz w:val="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sans-serif" w:hAnsi="Times New Roman;sans-serif"/>
          <w:b w:val="false"/>
          <w:color w:val="000000"/>
          <w:sz w:val="20"/>
        </w:rPr>
        <w:t>results</w:t>
      </w:r>
      <w:r>
        <w:rPr>
          <w:color w:val="231F20"/>
        </w:rPr>
        <w:t xml:space="preserve"> </w:t>
      </w:r>
      <w:r>
        <w:rPr>
          <w:rFonts w:ascii="Times New Roman;sans-serif" w:hAnsi="Times New Roman;sans-serif"/>
          <w:b w:val="false"/>
          <w:color w:val="231F20"/>
          <w:sz w:val="20"/>
        </w:rPr>
        <w:t>of operation.</w:t>
      </w:r>
    </w:p>
    <w:p>
      <w:pPr>
        <w:pStyle w:val="TextBody"/>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For example, since February 2021, Clover has received subpoenas from the SEC related to certain disclosures and aspects of our business as well as certain matters described in an article issued on February 4, 2021, by Hindenburg Research LLC (the "Hindenburg article"). We are cooperating with the SEC's investigation. The Hindenburg article, which discussed, among other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concerning legal proceedings can be found in Note 21 (Commitments and Contingencies) to the Consolidated Financial Statements included in Part II, Item 8 of this Form 10-K, which information is incorporated by reference into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Class A common stock is listed on The Nasdaq Stock Market under the ticker symbol “CLOV.” The Corporation’s Class B common stock is not listed on any securities exchange.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7, 2022, there were 313 holders of record of our Class A common stock and 306 holders of record of our Class B common stock. Such figures do not include beneficial owners holding our securities through nominee names.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not declared or paid any dividends on shares of common stock and does not intend to pay dividends in the foreseeable future. The declaration, amount, and payment of any future dividend will be at the sole discretion of the Corporation’s board of directors, and the Corporation may reduce or discontinue entirely the payment of such dividends at any time. The board of directors may take into account general and economic conditions, its financial condition and operating results, its available cash and current and anticipated cash needs, capital requirements, contractual, legal, tax, and regulatory restrictions and implications on the payment of dividends by the Corporation to its stockholders, and such other factors as the board of directors may deem relevant.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purchase any shares of our common stock during the three months ended December 31, 2021.</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Unregistered Sales of Equity Securities and 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before="240" w:after="283"/>
        <w:jc w:val="center"/>
        <w:rPr/>
      </w:pPr>
      <w:r>
        <w:rPr/>
        <w:drawing>
          <wp:inline distT="0" distB="63500" distL="0" distR="0">
            <wp:extent cx="4572000" cy="3419475"/>
            <wp:effectExtent l="0" t="0" r="0" b="0"/>
            <wp:docPr id="5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 descr=""/>
                    <pic:cNvPicPr>
                      <a:picLocks noChangeAspect="1" noChangeArrowheads="1"/>
                    </pic:cNvPicPr>
                  </pic:nvPicPr>
                  <pic:blipFill>
                    <a:blip r:embed="rId2"/>
                    <a:stretch>
                      <a:fillRect/>
                    </a:stretch>
                  </pic:blipFill>
                  <pic:spPr bwMode="auto">
                    <a:xfrm>
                      <a:off x="0" y="0"/>
                      <a:ext cx="4572000" cy="3419475"/>
                    </a:xfrm>
                    <a:prstGeom prst="rect">
                      <a:avLst/>
                    </a:prstGeom>
                  </pic:spPr>
                </pic:pic>
              </a:graphicData>
            </a:graphic>
          </wp:inline>
        </w:drawing>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management believes is relevant to an assessment and understanding of our consolidated results of operations and financial condition. The discussion should be read in conjunction with the consolidated financial statements and notes thereto for the year ended December 31, 2021, contained in this Annual Report on Form 10-K (the "Form 10-K"). This discussion contains forward-looking statements and involves numerous risks and uncertainties, including, but not limited to, those described in the "Risk Factors" section of this document. Actual results may differ materially from those contained in any forward-looking statements. Unless the context otherwise requires, references in this "Management’s Discussion and Analysis of Financial Condition and Results of Operations” to "we," "us,” "our," "Clover," the “Company,” and the “Corporation" are intended to mean the business and operations of Clover Health Investments, Corp. and its consolidated subsidiaries subsequent to the closing of the Business Combination (as defined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By empowering physicians with data-driven, personalized insights at the point of care through our software, we believe we can improve clinical decision making.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Preferred Provider Organization (PPO) and Health Maintenance Organization (HMO) Medicare Advantage (MA) plans for Medicare-eligible consumers. We call our plans "Obvious" because we aim to provide great, affordable healthcare for all—we offer most of our MA members (the “members”) the lowest average out-of-pocket costs for primary care provider co-pays, specialist co-pays, drug deductibles and drug costs in their markets. Unlike most MA plans, we deeply believe in providing our members provider choice, and we consider our PPO plan to be our flagship insurance plan. An important feature of our MA product is wide network access, and we often offer the same cost-sharing (co-pays and deductibles) for visits with primary care providers who are in- and out-of-network. We believe the use of the Clover Assistant and related data insights allows us to improve clinical decision-making through a highly scalable asset-light approach. As of January 1, 2022, we operated our MA plans in nine states and 209 counties, with 84,403 MA members.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2021, our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Our DCE assumes full risk (i.e., 100.0% shared savings and shared losses) for the total cost of care of aligned Original Medicare beneficiaries (the “DCE Beneficiaries” and, collectively with the members, “Lives under Clover Management” or the “beneficiaries”). We operate our Direct Contracting (DC) operations through Health Partners, which focuses on our technology platform, the Clover Assistant, to enhance healthcare delivery, reduce expenditures, and improve care for DCE Beneficiaries. As of December 31, 2021, we had approximately 720 contracted participating providers who manage primary care for our DCE Beneficiaries. Additionally, as of December 31, 2021, we had approximately 635 preferred providers and preferred facilities in our DCE network. Our participation in the DC Model has enabled us to moved beyond the MA market and target the Medicare fee-for-service (FFS) market, which is the largest segment of Medicare. We believe that expanding into the FFS market is not only a strategic milestone for Clover but also demonstrates the scalability of the Clover Assistant. Additionally, in 2021, we announced our plans to scale our in-home primary care program, Clover Home Care, through our DC operations. Clover Home Care was designed to better identify and care for our most medically complex members, with a focus on health outcomes improvement and medical expense reduction rather than risk adjustment.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were partnering with providers to care for 129,996 Lives under Clover Management, which included 68,120 Medicare Advantage members and 61,876 aligned DCE Beneficiaries. The number of Lives under Clover Management as of December 31, 2021, was approximately double the number of Lives under Clover Management as of January 1,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launched our MA plans in 101 new counties and an additional state, and we announced that our MA membership had grown by over 25% versus the beginning of 2021. This expansion makes our MA plans available in a total of 209 counties across nine states. Additionally, after launching our DCE in eight states in April 2021, we have grown our Direct Contracting presence to 22 states in 2022.</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rPr/>
      </w:pPr>
      <w:r>
        <w:rPr/>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Issuance of Common Stock</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completed an underwritten public offering of 52,173,913 shares of Class A Common Stock at $5.75 per share. We received net proceeds of $283.8 million, after deducting underwriting discounts and commissions and other offering costs.</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CMS Stars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8, 2021, we announced that CMS assigned Clover’s PPO plan 3.5 stars on the Medicare Star Ratings for its MA plans for the 2020 measurement year. Over 90% of our MA membership is served through our PPO plan. The higher rating could positively impact the reimbursement rate for our PPO plan beginning in 2023 as well as potentially positively impact the plan’s image in the market. Higher-rated plans may offer enhanced benefits and additional enrollment opportunities compared to lower-rated plans.</w:t>
      </w:r>
    </w:p>
    <w:p>
      <w:pPr>
        <w:pStyle w:val="TextBody"/>
        <w:spacing w:before="0" w:after="0"/>
        <w:jc w:val="both"/>
        <w:rPr/>
      </w:pPr>
      <w:r>
        <w:rPr/>
      </w:r>
    </w:p>
    <w:p>
      <w:pPr>
        <w:pStyle w:val="TextBody"/>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7, 2021, we consummated the previously announced domestication and mergers (the "Business Combination") pursuant to that certain Agreement and Plan of Merger, dated October 5, 2020 (the "Merger Agreement"), by and among Social Capital Hedosophia Holdings Corp III, a Cayman Islands exempted company (SCH), Asclepius Merger Sub Inc., a Delaware corporation and a direct wholly-owned subsidiary of SCH, and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As a result of the Business Combination, we became the successor to a public company, which required us to hire additional personnel and implement procedures and processes to address public company regulatory requirements and customary practices.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impacts of the Business Combination, see Note 3 (Business Combination), Note 12 (Notes and Securities Payable), Note 13 (Warrants Payable), and Note 17 (Stockholders' Equity and Convertible Preferred Stock) to Financial Statements in this report.</w:t>
      </w:r>
    </w:p>
    <w:p>
      <w:pPr>
        <w:pStyle w:val="TextBody"/>
        <w:spacing w:before="0" w:after="0"/>
        <w:jc w:val="both"/>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societal and economic impact of the COVID-19 pandemic continues to evolve, and the ultimate impact on our business, results of operations, financial condition, and cash flows is uncertain and difficult to predict. The global pandemic has severely impacted businesses worldwide, including many in the health insurance sector.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continuing to monitor the ongoing financial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2021, we incurred elevated costs as compared to 2020 to care for those members who have contracted the virus, and indirect costs attributable to the COVID-19 pandemic increased as well, as deferral of services and increased costs related to conditions that were exacerbated by a lack of diagnoses and treatment in the earlier periods of the pandemic contributed to increased utilization. We will continue to monitor the pandemic’s emerging treatment-related trends as well as the impact on our beneficiaries.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CMS is allowing documentation prepared during video visits with patients to serve as support for CMS risk adjustments. While our ability to document health conditions was adversely impacted in 2020 and early 2021, the comprehensiveness of the documentation improved throughout 2021. We intend to leverage the Clover Assistant to increase in-person and video visits for our members and document their health conditions on a timely basis, which we expect to have a positive impact on risk adjustment and revenue for the applicable populations.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presented in the following table illustrates the financial results for our MA segment as impacted by COVID-19:</w:t>
      </w:r>
    </w:p>
    <w:tbl>
      <w:tblPr>
        <w:tblW w:w="10253" w:type="dxa"/>
        <w:jc w:val="left"/>
        <w:tblInd w:w="0" w:type="dxa"/>
        <w:tblCellMar>
          <w:top w:w="28" w:type="dxa"/>
          <w:left w:w="28" w:type="dxa"/>
          <w:bottom w:w="28" w:type="dxa"/>
          <w:right w:w="28" w:type="dxa"/>
        </w:tblCellMar>
      </w:tblPr>
      <w:tblGrid>
        <w:gridCol w:w="383"/>
        <w:gridCol w:w="311"/>
        <w:gridCol w:w="312"/>
        <w:gridCol w:w="211"/>
        <w:gridCol w:w="826"/>
        <w:gridCol w:w="271"/>
        <w:gridCol w:w="109"/>
        <w:gridCol w:w="109"/>
        <w:gridCol w:w="109"/>
        <w:gridCol w:w="109"/>
        <w:gridCol w:w="109"/>
        <w:gridCol w:w="109"/>
        <w:gridCol w:w="211"/>
        <w:gridCol w:w="466"/>
        <w:gridCol w:w="109"/>
        <w:gridCol w:w="109"/>
        <w:gridCol w:w="109"/>
        <w:gridCol w:w="109"/>
        <w:gridCol w:w="211"/>
        <w:gridCol w:w="826"/>
        <w:gridCol w:w="271"/>
        <w:gridCol w:w="109"/>
        <w:gridCol w:w="109"/>
        <w:gridCol w:w="109"/>
        <w:gridCol w:w="211"/>
        <w:gridCol w:w="46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8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74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1" w:type="dxa"/>
            <w:gridSpan w:val="14"/>
            <w:tcBorders/>
            <w:shd w:fill="auto" w:val="clear"/>
          </w:tcPr>
          <w:p>
            <w:pPr>
              <w:pStyle w:val="TableContents"/>
              <w:spacing w:before="0" w:after="283"/>
              <w:rPr>
                <w:sz w:val="4"/>
                <w:szCs w:val="4"/>
              </w:rPr>
            </w:pPr>
            <w:r>
              <w:rPr>
                <w:sz w:val="4"/>
                <w:szCs w:val="4"/>
              </w:rPr>
            </w:r>
          </w:p>
        </w:tc>
      </w:tr>
      <w:tr>
        <w:trPr/>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 except PMPM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Advantage net medical claims incurred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Medical care ratio, net (MCR) </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Calculated per member per month (PMPM) figures are based on the applicable amount divided by member months in the given period. Member months represents the number of months members are enrolled in a Clover Health Plan in the period.</w:t>
      </w:r>
    </w:p>
    <w:p>
      <w:pPr>
        <w:pStyle w:val="TextBody"/>
        <w:spacing w:lineRule="auto" w:line="288" w:before="60" w:after="283"/>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Net medical claims incurred reported for Medicare Advantage differs from the corresponding amount reported on the Consolidated Statements of Operations and Comprehensive Loss due to the impacts of eliminations.</w:t>
      </w:r>
    </w:p>
    <w:p>
      <w:pPr>
        <w:pStyle w:val="TextBody"/>
        <w:spacing w:lineRule="auto" w:line="288" w:before="60" w:after="283"/>
        <w:ind w:left="0" w:right="0" w:hanging="18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Defined as MA net medical claims incurred divided by premiums earned,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risks to our business and results of operations related to the COVID-19 pandemic, see the section entitled "Risk Factors—Risks Related to Clover’s Business and Industry—We are subject to risks associated with the COVID-19 pandemic, which could have a material adverse effect on our business, results of operations, financial condition and financial performance" in Part I, Item IA of this document.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Performance Measures of Our Operating Segments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with two reportable segments: Medicare Advantage and Direct Contracting. The reportable segments are distinguished based on the healthcare delivery business model. Our MA segment is an insurance business model that focuses on leveraging the Clover Assistant at the point of care. Our DC segment is similar to a cost management and care coordination model accounted for as a performance guarantee, where Clover is responsible for coordinating care, managing costs, and providing support to providers and their DCE Beneficiaries through the use of Clover Assistant.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segment groupings are consistent with information used by our Chief Executive Officer, our chief operating decision maker, to assess performance and allocate resources. The Medicare Advantage segment consists of MA plans that generally provide access to a wide network of primary care providers, specialists, and hospitals. The Direct Contracting segment consists of our operations in connection with the DC Model, which provides options aimed at reducing expenditures and preserving or enhancing quality of care for DCE Beneficiaries.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Advantage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its MA operating segment, the Corporation provides PPO and HMO plans that generally provide access to a wide network of primary care providers, specialists, and hospitals. We seek to improve care and lower costs by empowering physicians with data-driven, personalized insights at the point of care through our software platform, the Clover Assistant.</w:t>
      </w:r>
    </w:p>
    <w:p>
      <w:pPr>
        <w:pStyle w:val="TextBody"/>
        <w:spacing w:before="0" w:after="0"/>
        <w:jc w:val="both"/>
        <w:rPr/>
      </w:pPr>
      <w:r>
        <w:rPr/>
      </w:r>
    </w:p>
    <w:tbl>
      <w:tblPr>
        <w:tblW w:w="9531" w:type="dxa"/>
        <w:jc w:val="left"/>
        <w:tblInd w:w="0" w:type="dxa"/>
        <w:tblCellMar>
          <w:top w:w="28" w:type="dxa"/>
          <w:left w:w="28" w:type="dxa"/>
          <w:bottom w:w="28" w:type="dxa"/>
          <w:right w:w="28" w:type="dxa"/>
        </w:tblCellMar>
      </w:tblPr>
      <w:tblGrid>
        <w:gridCol w:w="1286"/>
        <w:gridCol w:w="1132"/>
        <w:gridCol w:w="1136"/>
        <w:gridCol w:w="211"/>
        <w:gridCol w:w="826"/>
        <w:gridCol w:w="271"/>
        <w:gridCol w:w="109"/>
        <w:gridCol w:w="109"/>
        <w:gridCol w:w="109"/>
        <w:gridCol w:w="109"/>
        <w:gridCol w:w="109"/>
        <w:gridCol w:w="109"/>
        <w:gridCol w:w="211"/>
        <w:gridCol w:w="466"/>
        <w:gridCol w:w="109"/>
        <w:gridCol w:w="109"/>
        <w:gridCol w:w="109"/>
        <w:gridCol w:w="109"/>
        <w:gridCol w:w="211"/>
        <w:gridCol w:w="826"/>
        <w:gridCol w:w="271"/>
        <w:gridCol w:w="109"/>
        <w:gridCol w:w="109"/>
        <w:gridCol w:w="109"/>
        <w:gridCol w:w="211"/>
        <w:gridCol w:w="466"/>
        <w:gridCol w:w="109"/>
        <w:gridCol w:w="109"/>
        <w:gridCol w:w="109"/>
        <w:gridCol w:w="109"/>
        <w:gridCol w:w="154"/>
      </w:tblGrid>
      <w:tr>
        <w:trPr/>
        <w:tc>
          <w:tcPr>
            <w:tcW w:w="1286"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274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PMPM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PMPM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Medicare Advantage Data</w:t>
            </w:r>
          </w:p>
        </w:tc>
        <w:tc>
          <w:tcPr>
            <w:tcW w:w="5496" w:type="dxa"/>
            <w:gridSpan w:val="24"/>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(Premium and expense amounts in thousands, except PMPM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as of period end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gross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666,297 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 medical claim expense incurred, gross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 net medical claims incurred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591,038 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Medical care ratio, gross</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care ratio,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Net medical claims incurred reported for Medicare Advantage differs from the corresponding amount reported on the Consolidated Statements of Operations and Comprehensive Loss due to the impacts of eliminations.</w:t>
      </w:r>
    </w:p>
    <w:p>
      <w:pPr>
        <w:pStyle w:val="TextBody"/>
        <w:spacing w:lineRule="auto" w:line="288" w:before="60" w:after="283"/>
        <w:ind w:left="0" w:right="0" w:hanging="18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Defined as our MA gross medical claims incurred divided by premiums earned, gross.</w:t>
      </w:r>
    </w:p>
    <w:p>
      <w:pPr>
        <w:pStyle w:val="TextBody"/>
        <w:spacing w:before="60" w:after="283"/>
        <w:ind w:left="0" w:right="0" w:hanging="1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Membership and Associated Premiums Earned and Medical Claim Expenses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Premiums Earned, Gross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Premiums Earned, Net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(ACA).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CMS.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 Gross Medical Claims Incurred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 gross medical claims incurred excludes the effects of medical claims and associated costs ceded to reinsurers, and therefore should not be used as a substitute for net claims incurred, total expenses or any other measure presented in accordance with GAAP.</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 net medical claims incurred are our medical expenses and consists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Medical Care Ratio, Gross and Net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medical care ratio by dividing total MA medical claim expenses incurred by premiums earned, in each case on a gross or net basis, as the case may be, in a given period. We believe our MCR is an indicator of our gross margin for our MA plans and the ability of our Clover Assistant platform to capture and analyze data over time to generate actionable insights for returning members to improve care and reduce medical expenses.</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Direct Contracting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DC segment consists of operations in connection with the DC Model. provides a variety of programs aimed at reducing expenditures and preserving or enhancing quality of care for DCE Beneficiaries. We measure Direct Contracting revenue and medical claims on a per-beneficiary per-month (PBPM) basis. In the aggregate, we view these as important metrics to assess our financial performance, including our ability to reduce expenditures and preserve or enhance quality of care for DCE Beneficiaries.</w:t>
      </w:r>
    </w:p>
    <w:p>
      <w:pPr>
        <w:pStyle w:val="TextBody"/>
        <w:spacing w:before="0" w:after="0"/>
        <w:jc w:val="both"/>
        <w:rPr/>
      </w:pPr>
      <w:r>
        <w:rPr/>
      </w:r>
    </w:p>
    <w:tbl>
      <w:tblPr>
        <w:tblW w:w="9085" w:type="dxa"/>
        <w:jc w:val="left"/>
        <w:tblInd w:w="0" w:type="dxa"/>
        <w:tblCellMar>
          <w:top w:w="28" w:type="dxa"/>
          <w:left w:w="28" w:type="dxa"/>
          <w:bottom w:w="28" w:type="dxa"/>
          <w:right w:w="28" w:type="dxa"/>
        </w:tblCellMar>
      </w:tblPr>
      <w:tblGrid>
        <w:gridCol w:w="1416"/>
        <w:gridCol w:w="1245"/>
        <w:gridCol w:w="1253"/>
        <w:gridCol w:w="109"/>
        <w:gridCol w:w="109"/>
        <w:gridCol w:w="109"/>
        <w:gridCol w:w="390"/>
        <w:gridCol w:w="1532"/>
        <w:gridCol w:w="502"/>
        <w:gridCol w:w="201"/>
        <w:gridCol w:w="201"/>
        <w:gridCol w:w="201"/>
        <w:gridCol w:w="390"/>
        <w:gridCol w:w="1142"/>
        <w:gridCol w:w="285"/>
      </w:tblGrid>
      <w:tr>
        <w:trPr/>
        <w:tc>
          <w:tcPr>
            <w:tcW w:w="1416"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PBPM</w:t>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Direct Contracting Data</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(Revenue and claims amounts in thousands, except PBPM amounts)</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Beneficiaries as of period end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61,876 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5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net medical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5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Direct Contracting margin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 began participating in Direct Contracting in April 2021.</w:t>
      </w:r>
    </w:p>
    <w:p>
      <w:pPr>
        <w:pStyle w:val="TextBody"/>
        <w:spacing w:lineRule="auto" w:line="288" w:before="60" w:after="283"/>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Defined as Direct Contracting net medical claims incurred divided by Direct Contracting revenue.</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Beneficiaries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beneficiary is defined as an eligible Original Medicare covered life that has been aligned to our DCE, Health Partners, via attribution to a DCE-participating provider through alignment based on claims data or by beneficiary election through voluntary alignment. A beneficiary alignment is effective as of the first of the month, for the full calendar month, regardless of whether eligibility is lost during the course of the month.</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Contracting revenue represents CMS’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as applicable. Premiums and recoupments incurred in direct relation to the DC Model are recognized as a reduction or increase in Direct Contracting revenue, as applicable. We believe Direct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Contracting revenue provides useful insight into the gross economic benefit generated by our business operations and allows us to evaluate our performance without regard to changes in our underlying reinsurance structure.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Contracting net medical claims incurred consists of the total incurred expense that CMS and we will remit for medical services provided on behalf of DCE Beneficiaries during the months in which they are alignment eligible and aligned to the DCE. Additionally, Direct Contracting net medical claims incurred is inclusive of fees paid to providers for Clover Assistant usage, care coordination, and any shared savings or shared loss agreements with providers. Direct Contracting net medical claims incurred is presented on our Consolidated Statements of Operations and Comprehensive Loss in accordance with GAAP.</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Margin (DCM)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DCM by dividing Direct Contracting net medical claims incurred by Direct Contracting revenue in a given period. We believe our DCM is an indicator of our gross profitability and the ability to capture and analyze data over time to generate actionable insights for returning beneficiaries to improve care and reduce medical expenses.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components described below, additional components of our results of operations include Premiums Earned, Net, Direct Contracting Revenue, MA Net Medical Claims Incurred, and Direct Contracting Net Medical Claims Incurred, which are described in the “Key Performance Measures of Our Operating Segments” section above.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mostly consists of income earned from rental agreements with third parties for subleases of our leased office facilities.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Medical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medical costs consist of other clinical services not included in Medicare Advantage or Direct Contracting, and all other corporate overhead. Clinical services is comprised of Clover Home Care and other clinical services that are offered to eligible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consist of salaries, sales commissions, stock-based compensation expense, employee benefit costs, severance costs, and payroll taxes for employees.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Expense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driven administrative costs, lease and occupancy costs, statutory and other fees, and other overhead costs. Membership-driven administrative costs consist of enrollment-related costs, broker commissions, and call center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ACA, which established insurance industry assessments, including an annual health insurance industry fee. The annual health insurance industry fee was suspended in 2019. In 2020, the fee incurred and paid by the Corporation was approximately $8.0 million. The fee has been permanently repealed beginning in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 Expense (Benefit)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reserves are established to the extent that the sum of expected future costs, claim adjustment expenses, and maintenance costs exceeds related future premiums. We assess the profitability of our contracts with CMS to identify those contracts where current operating results or forecasts indicate probable future losses. Premium deficiency reserve expense (benefit)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Expense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consists primarily of debt issuance costs incurred in connection with the issuance of an aggregate of $373.8 million initial principal amount of convertible securities (Convertible Securities) in February, March, May, and August 2019. The Convertible Securities were converted into shares of the Corporation's Class B common stock upon the completion of the Business Combination on January 7,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Warrants Payable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payable is related to a mark-to-market adjustment associated with warrants to purchase our capital stock. In connection with the Closing, the warrants of Legacy Clover automatically converted into shares of Class B Common Stock, and we are no longer required to re-measure the value of those warrants. Change in fair value of warrants payable for our public warrants (the “Public Warrants”) and private placements warrants (the “Private Placement Warrants”) assumed in connection with the Business Combination reflects the mark-to-market adjustment associated with warrants to purchase our Class A Common Stock from January 7, 2021, through the end of the reporting period. The change in fair value of warrants payable is inclusive of the warrant amortization expense associated with the warrants payable in each period. We had no Warrants outstanding following the exercises and redemptions of our Public Warrants and Private Placement Warrants in the third quarter of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mostly of interest expense associated with our previously outstanding non-convertible notes (Term Loan Notes) under a term loan facility entered into by us on March 21, 2017, for an aggregate principal amount of $60.0 million (the “Loan Facility”). All remaining principal and accrued interest under the Loan Facility was voluntarily paid, and the facility was terminated, as of June 29, 2021. We also have interest expense associated with the Seek Convertible Note entered into by Seek, an indirect wholly-owned subsidiary, on September 25, 2020, for an aggregate principal amount of $20.0 million.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Amortization of Notes and Securities Discounts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discounts consists of amortization of the debt discount associated with the Convertible Securities, warrants and debt issuance costs associated with the Term Loan Notes.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(Gain) loss on derivative activity primarily consists of (gain) loss on the embedded derivatives contained in the Convertible Securities. The embedded derivatives related to the conversion features of the Convertible Securities, which reflected a premium above the principal and accrued interest thereon.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gains or losses on those derivatives based on the changes in fair value of the embedded derivatives contained in the Convertible Securities. The carrying amounts of these embedded derivatives were recorded at fair value at issuance, marked-to-market as of each balance sheet date, and changes in fair value were reported as either income or expense during the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estimate the fair value attributable to these features, we estimated the value of the Convertible Securities (i) with the embedded derivatives and (ii) without the embedded derivatives. The incremental difference between the two values was then used to estimate the fair value of the embedded derivatives. A probability-weighted present value of expected future returns model was then used to estimate the value of the conversion features under various probable scenarios. The assumptions used to arrive at the estimated fair value generally included the stock price, strike price, volatility, risk-free rate, and time to maturity, among others.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7, 2021, in connection with the Closing, the Convertible Securities converted to shares of the Corporation's common stock and the associated derivative liability was eliminated.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2021 and 2020</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results of operations for the years ended December 31, 2021 and 2020. The period-to-period comparison of results is not necessarily indicative of results for future periods.</w:t>
      </w:r>
    </w:p>
    <w:tbl>
      <w:tblPr>
        <w:tblW w:w="10205" w:type="dxa"/>
        <w:jc w:val="left"/>
        <w:tblInd w:w="0" w:type="dxa"/>
        <w:tblCellMar>
          <w:top w:w="28" w:type="dxa"/>
          <w:left w:w="28" w:type="dxa"/>
          <w:bottom w:w="28" w:type="dxa"/>
          <w:right w:w="28" w:type="dxa"/>
        </w:tblCellMar>
      </w:tblPr>
      <w:tblGrid>
        <w:gridCol w:w="1632"/>
        <w:gridCol w:w="1209"/>
        <w:gridCol w:w="1225"/>
        <w:gridCol w:w="211"/>
        <w:gridCol w:w="859"/>
        <w:gridCol w:w="109"/>
        <w:gridCol w:w="109"/>
        <w:gridCol w:w="109"/>
        <w:gridCol w:w="109"/>
        <w:gridCol w:w="211"/>
        <w:gridCol w:w="859"/>
        <w:gridCol w:w="109"/>
        <w:gridCol w:w="109"/>
        <w:gridCol w:w="109"/>
        <w:gridCol w:w="109"/>
        <w:gridCol w:w="109"/>
        <w:gridCol w:w="109"/>
        <w:gridCol w:w="211"/>
        <w:gridCol w:w="859"/>
        <w:gridCol w:w="109"/>
        <w:gridCol w:w="109"/>
        <w:gridCol w:w="109"/>
        <w:gridCol w:w="109"/>
        <w:gridCol w:w="321"/>
        <w:gridCol w:w="327"/>
        <w:gridCol w:w="271"/>
        <w:gridCol w:w="109"/>
        <w:gridCol w:w="109"/>
        <w:gridCol w:w="109"/>
        <w:gridCol w:w="157"/>
      </w:tblGrid>
      <w:tr>
        <w:trPr/>
        <w:tc>
          <w:tcPr>
            <w:tcW w:w="1632"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5" w:type="dxa"/>
            <w:gridSpan w:val="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between</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2021 and 2020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4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in thousands)</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$489 and $599 for the years ended December 31, 2021 and 2020, respectively)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Advantage net medical claims incurred</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net medical claims incurred</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medical costs</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payable</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    Not presented because the prior period amount is zero or the amount for the line item changed from a gain to a loss (or vice versa) and thus yields a result that is not meaningful.</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rPr/>
      </w:pPr>
      <w:r>
        <w:rPr/>
      </w:r>
    </w:p>
    <w:p>
      <w:pPr>
        <w:pStyle w:val="TextBody"/>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Premiums Earned, Net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increased $133.7 million, or 20.1%, to $799.4 million for the year ended December 31, 2021, compared to the year ended December 31, 2020. The increase was primarily due to membership growth of 17.3% from 58,056 Medicare Advantage members at December 31, 2020, to 68,120 Medicare Advantage members at December 31, 2021. Additional risk adjustment revenue of $7.8 million was recognized during the year ended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participation in Direct Contracting launched in April 2021. Revenue related to Direct Contracting was $667.6 million for the year ended December 31, 2021. This revenue was attributable to the alignment of Original Medicare beneficiaries to our DCE, which numbered 61,876 at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$2.2 million, or 31.3%, to $4.9 million for the year ended December 31, 2021, compared to the year ended December 31, 2020. The decrease was primarily due to lower net investment income of $2.4 million and decreased rental income of $0.4 million during the year ended December 31, 2021, and the receipt of a $0.5 million state subsidy during the year ended December 31, 2020, that was not received in the year ended December 31,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 net medical claims incurred increased $252.7 million, or 43.2%, to $838.1 million for the year ended December 31, 2021, compared to the year ended December 31, 2020. The increase was primarily due to MA membership growth, the impact of COVID-19 related treatment costs, and the return of healthcare utilization that was reduced in 2020 in connection with the COVID-19 pandemic.</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participation in Direct Contracting launched in April 2021. Direct Contracting net medical claims incurred of $705.4 million for the year ended December 31, 2021, was attributable to the alignment of Original Medicare beneficiaries to our DCE.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Medical Costs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medical costs increased $3.0 million, or 64.2%, to $7.6 million for the year ended December 31, 2021, compared to the year ended December 31, 2020. The increase was primarily related to an increase in beneficiaries receiving in-home care services for a flat monthly fee.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increased $189.2 million, or 265.5%, to $260.5 million for the year ended December 31, 2021, compared to the year ended December 31, 2020. The increase was primarily driven by higher year-over-year stock-based compensation expense of $156.6 million due to the issuance of stock-based compensation, increased headcount, and additional awards issued in connection with the Business Combination.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$64.5 million, or 53.3%, to $185.3 million for the year ended December 31, 2021, compared to the year ended December 31, 2020. The increase was driven in part by increases in legal and other professional fees to support our growth and additional costs related to operating as a public company and higher costs associated with obtaining and maintaining directors’ and officers’ liability insurance, partially offset by the absence in 2021 of the ACA’s health insurance industry fee of $8.0 million that we incurred in 2020. Legal and professional fees increased $23.6 million for the year ended December 31, 2021, compared to the year ended December 31, 2020, and directors’ and officers’ liability insurance costs increased $12.7 million over the same periods. Software application expense also increased due to the continued development of platform and information technology capabilities within the organization. For the year ended December 31, 2021, we also recognized $10.7 million in amortization expense related to deferred acquisition costs. There was no amortization expense related to deferred acquisition costs recognized for the year ended December 31, 2020.</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 Expense (Benefit)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$110.6 million premium deficiency reserve expense was recorded for the year ended December 31, 2021, compared to a benefit of $17.1 million for the year ended December 31, 2020. This expense includes amortization associated with a previously recorded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reserve, which has been fully amortized, and a reserve deemed necessary for fiscal year 2022. The change was due to management’s assessment of actual and anticipated experience related to the profitability of contracts.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Warrants Payable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an increase of $66.1 million on the change in fair value of warrants payable for the year ended December 31, 2021, compared to a decrease of $80.3 million for the year ended December 31, 2020. The increase for the year ended December 31, 2021, was due to the mark-to-market adjustment of the Public Warrants and Private Placement Warrants recognized for the year ended December 31, 2021 prior to being fully exercised and redeemed, compared to the initial measurement value as of January 7, 2021. The decrease for the year ended December 31, 2020, was related to an increase in the valuation of the legacy warrants during the period. For additional information, see Note 5 (Fair Value Measurements) and Note 13 (Warrants Payable) to Financial Statements in this report.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$32.8 million, or 91.0%, to $3.2 million for the year ended December 31, 2021, compared to the year ended December 31, 2020, primarily related to the conversion of the Convertible Securities to shares of the Corporation’s common stock in connection with the completion of the Business Combination on January 7,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Amortization of Notes and Securities Discounts</w:t>
      </w:r>
    </w:p>
    <w:p>
      <w:pPr>
        <w:pStyle w:val="TextBody"/>
        <w:spacing w:lineRule="auto" w:line="288" w:before="120" w:after="283"/>
        <w:jc w:val="both"/>
        <w:rPr/>
      </w:pPr>
      <w:r>
        <w:rPr>
          <w:rFonts w:ascii="Times New Roman;sans-serif" w:hAnsi="Times New Roman;sans-serif"/>
          <w:b w:val="false"/>
          <w:color w:val="000000"/>
          <w:sz w:val="20"/>
        </w:rPr>
        <w:t xml:space="preserve">Amortization of notes and securities discounts decreased $7.4 million, or 35.2%, to $13.7 million for the year ended December 31, 2021, compared to the year ended December 31, 2020. The decrease primarily relates to the completion of the Business Combination on January 7, 2021, whereby the unamortized discount associated with the August 2019 tranche of the Convertible Securities was accelerated. </w:t>
      </w:r>
      <w:r>
        <w:rPr>
          <w:rFonts w:ascii="Times New Roman;sans-serif" w:hAnsi="Times New Roman;sans-serif"/>
          <w:b w:val="false"/>
          <w:color w:val="000000"/>
          <w:sz w:val="20"/>
          <w:highlight w:val="white"/>
        </w:rPr>
        <w:t>The decrease was also driven by $0.6 million of amortization of debt discount associated with the Convertible Securities during the period from January 1, 2021, to January 7,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(loss) on Derivative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gain on derivative for the year ended December 31, 2021, as compared to a $93.8 million gain on derivative for the year ended December 31, 2020. This change relates to the capital contribution treatment of the elimination of the derivative associated with the convertible securities upon completion of the Business Combination on January 7,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cash equivalents, and short-term investments of $593.8 million. Additionally, as of December 31, 2021, we had $197.4 million of available-for-sale and held-to-maturity investment securities, an outstanding balance of $22.0 million on convertible notes issued by an indirect wholly-owned subsidiary, and no outstanding balance on our Term Loan Notes. Our cash equivalents, short-term investments, and investment securities consist primarily of money market funds and U.S. government debt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proceeds we received through public and private sales of equity securities, funds received in connection with the Business Combination, issuances of convertible notes, premiums earned under our MA plans, borrowings under our term loan facility and, most recently, with our Direct Contracting revenues. We expect that our cash, cash equivalents,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were $350.9 million and $5.4 million as of December 31, 2021, and December 31, 2020, respectively. This increase at the parent company primarily reflects proceeds from the Business Combination offset by capital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contributions made to insurance subsidiaries, operating expenses, and repayment of debt. Our unregulated subsidiaries held $55.7 million and $44.6 million of cash, cash equivalents, and short-term investments as of December 31, 2021, and December 31, 2020, respectively. Our regulated insurance subsidiaries held $187.2 million and $46.4 million of cash, cash equivalents, and short-term investments as of December 31, 2021, and December 31, 2020, respectively. Additionally, our regulated insurance subsidiaries held $118.0 million and $54.7 million of available-for-sale and held-to-maturity investment securities as of December 31,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this Form 10-K.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our regulatory requirements, including aggregate statutory capital and surplus as well as dividends paid from the subsidiaries to the parent, please refer to Notes 24, 25, and 26 to our Consolidated Financial Statements included in this Form 10-K.</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consolidated cash flows for the years ended December 31, 2021 and 2020. </w:t>
      </w:r>
    </w:p>
    <w:tbl>
      <w:tblPr>
        <w:tblW w:w="7014" w:type="dxa"/>
        <w:jc w:val="left"/>
        <w:tblInd w:w="0" w:type="dxa"/>
        <w:tblCellMar>
          <w:top w:w="28" w:type="dxa"/>
          <w:left w:w="28" w:type="dxa"/>
          <w:bottom w:w="28" w:type="dxa"/>
          <w:right w:w="28" w:type="dxa"/>
        </w:tblCellMar>
      </w:tblPr>
      <w:tblGrid>
        <w:gridCol w:w="1519"/>
        <w:gridCol w:w="1338"/>
        <w:gridCol w:w="1343"/>
        <w:gridCol w:w="211"/>
        <w:gridCol w:w="901"/>
        <w:gridCol w:w="109"/>
        <w:gridCol w:w="109"/>
        <w:gridCol w:w="109"/>
        <w:gridCol w:w="109"/>
        <w:gridCol w:w="211"/>
        <w:gridCol w:w="901"/>
        <w:gridCol w:w="154"/>
      </w:tblGrid>
      <w:tr>
        <w:trPr/>
        <w:tc>
          <w:tcPr>
            <w:tcW w:w="1519"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2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122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(282,326)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(435,447)</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925,393 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2021 Cash Flows Compared to 2020 Cash Flows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Increased cash flows provided by finance activities were primarily driven by the business combination proceeds received in January 2021 and the underwritten public offering proceeds received in November 2021. A significant portion of these proceeds were invested for future use by the company. This was also partly offset by net cash operating outflows due to higher medical claims disbursements in 2021 due to COVID-19 and higher operating costs since becoming a public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flows from current operations and cash available for general corporate use.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flows is capitated payments from CMS. Our primary uses of cash from operating activities are payments for medical benefits and payments of 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net cash used in operating activities was $282.3 million, which reflects net loss of $587.8 million. Non-cash activities included a $66.1 million gain as a result of the change in fair value of warrants payable and a $163.7 million charge to stock-based compensation expense. Changes to our working capital included a $110.6 million charge to our premium deficiency reserve and an increase of $12.6 million in surety bonds and deposits related to Direct Contracting.</w:t>
      </w:r>
    </w:p>
    <w:p>
      <w:pPr>
        <w:pStyle w:val="TextBody"/>
        <w:spacing w:lineRule="auto" w:line="288" w:before="240" w:after="283"/>
        <w:jc w:val="both"/>
        <w:rPr/>
      </w:pPr>
      <w:r>
        <w:rPr>
          <w:rFonts w:ascii="Times New Roman;sans-serif" w:hAnsi="Times New Roman;sans-serif"/>
          <w:b w:val="false"/>
          <w:color w:val="000000"/>
          <w:sz w:val="20"/>
        </w:rPr>
        <w:t>For the year ended December 31, 2020, net cash used in operating activities was $118.5 million, which reflects a net loss of $136.4 million. Non-cash activities primarily consisted of a $93.8 million gain on derivative, an $80.1 million loss on the change in fair value of warrants payable, $28.3 million in paid-in-kind interest expense, $21.1 million in amortization of notes and securities discount</w:t>
      </w:r>
      <w:r>
        <w:rPr>
          <w:rFonts w:ascii="Arial;sans-serif" w:hAnsi="Arial;sans-serif"/>
          <w:b w:val="false"/>
          <w:color w:val="000000"/>
          <w:sz w:val="24"/>
        </w:rPr>
        <w:t xml:space="preserve">, </w:t>
      </w:r>
      <w:r>
        <w:rPr>
          <w:rFonts w:ascii="Times New Roman;sans-serif" w:hAnsi="Times New Roman;sans-serif"/>
          <w:b w:val="false"/>
          <w:color w:val="000000"/>
          <w:sz w:val="20"/>
        </w:rPr>
        <w:t>and $7.1 million of stock-based compensation expense.</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2021, of $435.4 million was primarily due to $876.3 million used to purchase investment securities, offset by $441.5 million provided from the sale and maturity of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for the year ended December 31, 2020, of $137.4 million was primarily due to $312.4 million provided from the sale and maturity of investment securities, partially offset by $174.3 million used to purchase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investing activities, please refer to Notes 2 and 4 to our Consolidated Financial Statements included in this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2021, of $925.4 million was the result of $666.2 million in proceeds from the reverse recapitalization in connection with the Business Combination, net of transaction costs, and $283.8 million in proceeds from the Class A common stock offering, net of fees, partially offset by $30.9 million in principal payments on our outstanding Term Loan Notes.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2020, of $5.8 million was primarily the result of $20.0 million in proceeds from the issuance of the Convertible Securities, $3.9 million from the acquisition of our noncontrolling interest, and $1.7 million in proceeds from the issuance of common stock, offset by $18.8 million in principal payments on our outstanding Term Loan Notes and $1.0 million in payments associated with the buyback and subsequent cancellation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Term Loan Notes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a loan and security agreement with a commercial lender in March 2017, which provided for term loans in an aggregate principal amount of up to $60.0 million. At that time, we borrowed $40.0 million as a term loan under the agreement which was subject to an interest rate of 11.0%, payable monthly, and had a maturity date of March 1, 2022. In October 2017, we borrowed the remaining $20.0 million as a term loan under the agreement which was subject to an interest rate of 11.25%, payable monthly, and had a maturity date of October 1, 2022. Each loan was payable in monthly installments of interest only for the first 24 months, and thereafter interest and principal were payable in 36 equal monthly installments. The loans were secured by substantially all of our assets, including our intellectual property, and equity interests in our unregulated subsidiaries.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2021, the Corporation voluntarily paid the remaining principal of $20.7 million and interest of $0.2 million, thereby terminating the Loan Facility.</w:t>
      </w:r>
    </w:p>
    <w:p>
      <w:pPr>
        <w:pStyle w:val="TextBody"/>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Convertible Securities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2018, we entered into a convertible securities purchase agreement with qualified institutional buyers, including entities affiliated with our Chief Executive Officer and other holders of more than 5.0% of our common stock, for an aggregate principal amount of up to $500.0 million. In February, March, May, and August 2019, we issued an aggregate of $373.8 million initial principal amount of convertible securities, or the Convertible Securities, under the agreement.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12 (Notes and Securities Payable) to Financial Statements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funds from future operating cash flows, cash, and investments will be sufficient for future operations and commitments, and for capital acquisitions and other strategic transactions, over at least the next 12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cash requirements from known contractual obligations and commitments as of December 31, 2021 include: (1) the recognition of a performance guarantee of $36.9 million in connection with the Corporation’s participation in the DC Model, (2) operating lease obligations of $7.9 million, and (3) the outstanding principal balance related to the Seek Convertible Note of $20.0 million. These commitments are associated with contracts that were enforceable and legally binding as of December 31, 2021, and that specified all significant terms, including fixed or minimum serves to be used, fixed, minimum, or variable price provisions, and the approximate timing of the actions under the contracts. There were no other material cash requirements from known contractual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obligations and commitments. For additional information regarding our remaining estimated contractual obligations and commitments, see Note 12 (Notes and Securities Payable), Note 16 (Leases), Note 21 (Commitments and Contingencies), and Note 22 (Direct Contracting) to Financial Statements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various parties (providers, vendors, consultants, etc.), of varying scope and terms pursuant to which we agree to defend, indemnify, and hold harmless the other parties from any claim, demand, loss, lawsuit, settlement, judgment, fine, or other liability, and all related expenses which may accrue there from (including reasonable attorney’s fees), arising from or in connection with third party claims, including, but not limited to, negligence, recklessness, willful misconduct, fraud, or otherwise wrongful act or omission with respect to our obligations under the applicable Agreement.</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to the Financial Statements in this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MA Net Medical Claims Incurred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 net medical claims incurred is recognized in the period in which services are provided and includes paid claims and an estimate of the cost of services which have been incurred but not yet reported (IBNR) and certain other unpaid claims and adjustments. IBNR represents a substantial portion of our unpaid claims, as reflected below:</w:t>
      </w:r>
    </w:p>
    <w:p>
      <w:pPr>
        <w:pStyle w:val="TextBody"/>
        <w:spacing w:before="0" w:after="0"/>
        <w:rPr/>
      </w:pPr>
      <w:r>
        <w:rPr/>
      </w:r>
    </w:p>
    <w:tbl>
      <w:tblPr>
        <w:tblW w:w="8742" w:type="dxa"/>
        <w:jc w:val="left"/>
        <w:tblInd w:w="0" w:type="dxa"/>
        <w:tblCellMar>
          <w:top w:w="28" w:type="dxa"/>
          <w:left w:w="28" w:type="dxa"/>
          <w:bottom w:w="28" w:type="dxa"/>
          <w:right w:w="28" w:type="dxa"/>
        </w:tblCellMar>
      </w:tblPr>
      <w:tblGrid>
        <w:gridCol w:w="1551"/>
        <w:gridCol w:w="1363"/>
        <w:gridCol w:w="1390"/>
        <w:gridCol w:w="211"/>
        <w:gridCol w:w="826"/>
        <w:gridCol w:w="109"/>
        <w:gridCol w:w="307"/>
        <w:gridCol w:w="309"/>
        <w:gridCol w:w="271"/>
        <w:gridCol w:w="109"/>
        <w:gridCol w:w="109"/>
        <w:gridCol w:w="109"/>
        <w:gridCol w:w="211"/>
        <w:gridCol w:w="826"/>
        <w:gridCol w:w="109"/>
        <w:gridCol w:w="307"/>
        <w:gridCol w:w="309"/>
        <w:gridCol w:w="316"/>
      </w:tblGrid>
      <w:tr>
        <w:trPr/>
        <w:tc>
          <w:tcPr>
            <w:tcW w:w="155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9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8"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IBNR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unpaid claims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Claims adjustment expense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unpaid claims and claims adjustment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lag-dependent completion factors, which represent the average percentage of total incurred claims that have been paid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a given date after being incurred. Completion factors are applied to claims paid through the period-end date to estimate the ultimate claim expense incurred for the period.</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there could be variances between actual completion factors and those assumed in our December 31, 2021 and 2020, unpaid claim estimates.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Actuarial standards require the use of assumptions based on moderately adverse experience, and as such, a provision for adverse deviation (PAD) is recognized on current reserves and released on prior reserves. For further discussion of our reserving methodology, including our use of completion factors to estimate IBNR, refer to Note 2 (Summary of Significant Accounting Policies) within the Financial Statements in this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Net Medical Claims Incurred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Contracting net medical claims incurred is recognized in the period in which services are provided and includes paid claims and an estimate of the cost of services which have been incurred but not yet reported and certain other unpaid claims and adjustments. IBNR represents a substantial portion of our unpaid claims, as reflected below:</w:t>
      </w:r>
    </w:p>
    <w:tbl>
      <w:tblPr>
        <w:tblW w:w="7347" w:type="dxa"/>
        <w:jc w:val="left"/>
        <w:tblInd w:w="0" w:type="dxa"/>
        <w:tblCellMar>
          <w:top w:w="28" w:type="dxa"/>
          <w:left w:w="28" w:type="dxa"/>
          <w:bottom w:w="28" w:type="dxa"/>
          <w:right w:w="28" w:type="dxa"/>
        </w:tblCellMar>
      </w:tblPr>
      <w:tblGrid>
        <w:gridCol w:w="1551"/>
        <w:gridCol w:w="1365"/>
        <w:gridCol w:w="1389"/>
        <w:gridCol w:w="409"/>
        <w:gridCol w:w="1194"/>
        <w:gridCol w:w="211"/>
        <w:gridCol w:w="308"/>
        <w:gridCol w:w="308"/>
        <w:gridCol w:w="612"/>
      </w:tblGrid>
      <w:tr>
        <w:trPr/>
        <w:tc>
          <w:tcPr>
            <w:tcW w:w="155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2021</w:t>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2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IBNR</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unpaid claims</w:t>
            </w:r>
          </w:p>
        </w:tc>
        <w:tc>
          <w:tcPr>
            <w:tcW w:w="16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adjustment expense</w:t>
            </w:r>
          </w:p>
        </w:tc>
        <w:tc>
          <w:tcPr>
            <w:tcW w:w="16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unpaid claims and claims adjustment expense</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actuaries estimate the unpaid claims by following a detailed actuarial process that uses historical claim payment patterns. We extrapolate in order to form an opinion of ultimate incurred claims based on claims that have been paid to date. This is generally most effective for mature coverage months under stable periods of claims adjudication; therefore, for the estimates of Primary Care Qualified Evaluation and Management expenses, we evaluate IBNR using the historical rate of payment for services based on the lag between service date and payment date. Under this approach, we include an average historical “age-to-age” estimate, excluding the highest and lowest of the historical factors. We also set a lower limit on the cumulative or “age-to-ultimate” development factors at 1.0, to prevent negative amounts incurred but not paid as a result of expected claim recoveries from being factored into our IBNR.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more recent coverage periods we utilize historical estimates of completed claims to estimate the cost of subsequent months based on either expected or known changes in cost drivers. These cost drivers include weekday seasonality, secular seasonality, direct COVID cases and other adjustments as necessary, which enable our actuaries to estimate claims when the available claims experience is either limited or ambiguous.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actuaries also consider this population’s history of observed completion percentages in estimating ultimate claims incurred, using completion percentages that are consistent with historical ranges and informed by new information with other functional departments.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Clover’s reserving practice is to recognize the actuarial best estimate of our ultimate liability for claims. Actuarial standards require the use of assumptions based on moderately adverse experience, and as such, a provision for adverse deviation is recognized on current reserves and released on prior reserves. The PAD is lower for DCE than MA; for DCE, claims submission and payment patterns support more precise estimates than are observed in MA.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 Expense (Benefit)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premium deficiency reserve is established when future premiums and current reserves are not sufficient to cover future claim payments and expenses for the remainder of a contract period. These reserves are required to monitor solvency and help ensure that a reporting entity’s contractual obligations will be adequately funded. We assess the profitability of our MA contracts to identify where current operating results or forecasts indicate potential future losses. We do not assess the impacts of the premium deficiency reserve for our Direct Contracting operations as that business segment is not an insurance plan and is not accounted for under ASC 944- Financial Services—Insurance.</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reserve is derived from the assessments performed and provides the amount that insurance related expenses are expected to exceed insurance revenues. There are key financial statement line items and associated drivers considered in determining the reserve. The most significant of financial statement line items considered when performing reserve assessments are premiums earned and MA net medical claims incurred. Key inputs considered for premiums earned include, expected enrollment changes, revenue rates, risk adjustment, and risk score forecasts. Key metrics considered for MA net medical claims incurred include claims experience, benefit changes, membership mix, membership changes, and medical management programs. Administrative expenses are assessed for expenses directly and indirectly incurred in order to operate the insurance entities and cannot exceed a percentage of regulatory entity premiums earned due to contractual agreements. There are other operating activities that are considered in accordance with regulatory guidelines.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premium deficiency reserve assessment is performed on a quarterly basis. Every quarter, reserve assessments are made for the period following the most recently ended period through to the end of the current year. For the fourth quarter, assessments are made related to the entire subsequent fiscal year’s projected net performance. If a reserve is deemed necessary, a liability and expense will be recognized as of the end of the quarter directly preceding the period for which the future loss is projected. That reserve will be amortized over the course of the contract period assessed to have expected insurance expenses that will exceed insurance revenues. The amortization of the reserve occurs ratably over the assessed contract period and will offset expected future losses</w:t>
      </w:r>
      <w:r>
        <w:rPr>
          <w:rFonts w:ascii="Times New Roman;sans-serif" w:hAnsi="Times New Roman;sans-serif"/>
          <w:b w:val="false"/>
          <w:color w:val="222222"/>
          <w:sz w:val="20"/>
          <w:highlight w:val="white"/>
        </w:rPr>
        <w: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 - MA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receive monthly premiums from the federal government according to government specified payment rates and various contractual terms. Revenue from premiums earned is recognized as income in the period in which members are entitled to receive services. Premiums received in advance of the service period are reported as other liabilities and subsequently recognized as revenue in the period earned.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CMS uses a risk-adjustment model which adjusts premiums paid to MA contracts, based on member risk scores, which are meant to compensate plans that enroll beneficiaries with higher-than-average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Prospective payments to MA plans are based on the estimated cost of providing standard Medicare-covered benefits to a member with an average risk profile. Under the risk-adjustment methodology, all MA plans must collect and submit the necessary diagnosis code information to CMS within prescribed deadlines. Estimated retroactive lump-sum settlement payments are accrued within revenue for premiums earned to account for the difference between lag risk scores, mid-year risk scores and final risk scores. Any known or expected unfavorable risk score impacts related to quality assurance diagnosis deletions or risk adjustment data validation audits are also considered within accruals and are recorded as a reduction of revenue from premiums earned, based on available information.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Medicare Advantage Part 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received from CMS and members in connection with our participation in the Medicare Advantage Part D program are determined from our annual bid and represent amounts for providing prescription drug insurance coverage; these amounts are recognized as premium revenue for providing this insurance coverage ratably over the term of the annual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 D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Management estimates and recognizes an adjustment to premium revenue related to these provisions based upon pharmacy claims experience and input from third-party experts. Management records a receivable or payable at the contract level.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Rebates are paid by drug manufacturers to our pharmacy benefit manager (PBM) which shares a portion of the rebates with us. Management estimates favorable adjustments to medical expenses related to rebates negotiated by the PBM on our behalf. Estimates are based on both actual and estimated pharmacy claims experience throughout the year as well as input from third-party experts and the PBM. Management records a receivable at the contract level.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additional cost-sharing elements that are recorded within medical expenses and take into account factors such as member income levels, brand-name versus generic drug spend, and total spend by member within a plan year. Management estimates and recognizes adjustments to medical expenses based upon inputs such as pharmacy claims experience, rebate activity, and input from third-party experts. Management records a receivable or payable at the end of the year based on these items.</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 - DCE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 represents CMS’ total expense incurred for medical services provided on behalf of DCE Beneficiaries during months in which they were alignment eligible during the performance year. Direct Contracting revenue is calculated by taking the sum of the capitation payments made to us for services within the scope of our capitation arrangement and FFS payments made to providers directly from CMS. Direct Contracting revenue is also known in the DC Model as performance year expenditures and is the primary component used to calculate shared savings or shared loss versus the performance year benchmark. Direct Contracting revenue includes a direct reduction or increase of shared savings or loss, which is calculated as the difference between the total benchmark and the total cost of care. Premiums and recoupments incurred in direct relation to the DC Model are recognized as a reduction or increase in Direct Contracting revenue.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Direct Contracting Receivable and Performance Year Obligation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year receivable and obligation represents the average Medicare beneficiary’s total cost of care for beneficiaries aligned to our DCE and refers to the target expenditure amount that will be compared to Medicare expenditures for items and services furnished to aligned beneficiaries during a performance year. This comparison will be used to calculate shared savings and shared losses.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key inputs in determining the performance year receivable and obligation are trends, risk score, and the number of beneficiaries aligned to the DCE. We begin our benchmark estimation process with benchmark reports delivered from the Centers for Medicare &amp; Medicaid Services Innovation Center (CMMI) on a quarterly basis, which drive the determination of whether certain inputs to that calculation need to be adjusted or accrued as a result of more accurate data. Prospective and retrospective trends are set at a national level, and while it is unlikely we would deviate from CMMI’s estimates, we could adjust from the benchmark report due to new information received directly from CMMI, national studies we complete ourselves, or other anticipated policy updates that we believe are probable and estimable. The preliminary benchmark is set based on risk scores with data captured as of a certain point in time. Once new data is received, an updated analysis of claims provides an opportunity for the benchmark to be adjusted. Lastly, beneficiary counts are updated through the year and represent a timing difference between CMMI reporting, for which we accrue. For the initial performance year, seasonality was assessed in the calculation of the benchmark.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Legacy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2015, we issued warrants to purchase 2,100,000 shares of our common stock. On March 21, 2017, we entered into a loan facility (the "Loan Facility") for an aggregate principal amount of $60.0 million. In conjunction with the Loan Facility, we issued 1,266,284 warrants to purchase shares of our Series D preferred stock. The September 2015 warrants and the Loan Facility warrants were determined to be freestanding instruments as they were detachable and separately exercisable. These warrants were accounted for as derivative instruments in accordance with ASC 815-40 and were presented within warrants payable on the Consolidated Balance Sheet. The warrant liabilities were measured at fair value at inception and on a recurring basis until redeemed, with changes in fair value presented within change in fair value of warrants payable in the Consolidated Statement of Operations and Comprehensive Loss.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2016 and December 2017, we issued warrants to purchase 261,681 shares of our common stock to a service provider for services performed. For warrants issued to non-employees as payment for services, such as the November 2016 and December 2017 warrants,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 November 2016 and December 2017 warrants did not meet any of the criteria to be accounted for as debt, they were classified as equity awards. On the grant date, these warrants were measured by estimating the fair value of the equity instruments to be issued. Stock-based compensation expense was recorded for the vested portion of the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2020, we entered into the Merger Agreement with SCH and simultaneously amended the terms of the legacy warrants, and they were automatically converted into common stock in connection with the Business Combination.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 and Private Placement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assumed, in connection with the Business Combination, public warrants and private placement warrants to purchase shares of our Class A Common Stock. These warrants were accounted for as liabilities in accordance with ASC 815-40 and are presented within warrants payable on the Consolidated Balance Sheet. The warrant liabilities were measured at fair value at inception and on a recurring basis until redeemed, with changes in fair value presented within change in fair value of warrants payable in the Consolidated Statement of Operations and Comprehensive Loss. The Public Warrants were classified within Level 1 of the fair value hierarchy because the fair value was equal to the publicly traded price of the Public Warrants, and the Private Placement Warrants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were classified within Level 2 of the fair value hierarchy because the fair value was estimated using the price of the Public Warrant. On July 22, 2021, we issued a press release stating that we would redeem all unexercised Public Warrants and Private Placement Warrants. In connection with the redemption, effective August 24, 2021, the Public Warrants were delisted and classified within Level 2 of the fair value hierarchy as the fair value of the Public Warrants was based on proportional changes in the price of our common stock. There were no Private Warrants outstanding at August 24, 2021.</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Derivative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evaluated the embedded features of the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embedded derivatives associated with the Convertible Securities were recognized as derivative liabilities and recorded at fair value.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around the fair value and inputs used in the modeling related to the liability-classified warrants, please see Note 13 (Warrants Payable) to our Consolidated Financial Statements in this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the legacy warrants and derivative liabilities related to the Convertible Securities were estimated using a probability-weighted expected return method, where the values of various instruments were estimated based on an analysis of future values of our business, assuming various future outcomes. The resulting instruments’ values were based upon the probability-weighted present value of expected future investment returns, considering each of the possible future outcomes available to us, as well as the economic benefits attributable to each class of instruments. The expected future investment returns were estimated using a variety of methodologies, including both the market approach and the income approach, where an observable quoted market does not exist, and were generally classified as Level 3. Such methodologies included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was performed using option pricing models, and probability-weighted average value indications were used to arrive at the estimated fair values.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on fair values of the Public Warrants and Private Warrants, please refer to the section entitled “Warrants” above.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and recognize compensation expense for all stock-based awards, including stock options, restricted stock units granted to employees, directors, and non-employees, and stock purchase rights granted under the 2020 Employee Stock Purchase Plan (ESPP) to employees, based on the estimated fair value of the awards on the date of grant. The fair value of each stock option and ESPP opportunity granted is estimated using the Black-Scholes option-pricing model. The fair value of each RSU is based on the estimated fair value of our common stock on the date of grant.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Consolidated Statements of Operations and Comprehensive Loss within salaries and benefits. We recognize stock-based compensation expense for the portion of awards that have vested. Forfeitures are recorded as they occur.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grant certain awards that have performance-based vesting conditions, including performance restricted stock units that become eligible to vest if prior to the vesting date the average closing price of one share of our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grant date fair value of the Market PRSUs is recognized as expense over the vesting period under the accelerated attribution method and is not adjusted in future periods for the success or failure to achieve the specified market condition. The Corporation has also determined the requisite service period for the PRSUs with multiple performance conditions to be the longest of the explicit, implicit, or derived service period. The determination of the grant-date fair value using an option-pricing model is affected by the estimated fair value of our common stock as well as assumptions regarding a number of other complex and subjective variables. These variables include expected stock price volatility over an expected term, actual and projected employee stock option exercise behaviors, the risk-free interest rate for an expected term, and expected dividends. The assumptions used in our option-pricing model represent our best estimates. These estimates involve inherent uncertainties and the application of judgment. If factors change and different assumptions are used, our stock-based compensation expense could be materially different in the future.</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assumptions are estimated as follows: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term - For stock options considered to be “plain 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 - We perform an analysis of using the average volatility of a peer group of representative public companies with sufficient trading history over the expected term to develop an expected volatility assumption.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18 (Employee Benefit Plans) to our Consolidated Financial Statements in this report for a complete description of the accounting for stock-based compensation awards.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Recently Issued and Adopted Accounting Pronouncements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on our investment portfolio. We manage the exposure to credit risk in our portfolio by investing in high quality securities and diversifying our holdings.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As of December 31, 2021, none of our fixed maturity securities portfolio was unrated or rated below investment grade.</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0" w:after="0"/>
        <w:rPr/>
      </w:pPr>
      <w:r>
        <w:rPr/>
      </w:r>
    </w:p>
    <w:p>
      <w:pPr>
        <w:pStyle w:val="TextBody"/>
        <w:spacing w:lineRule="auto" w:line="268" w:before="240" w:after="283"/>
        <w:jc w:val="center"/>
        <w:rPr>
          <w:rFonts w:ascii="Times New Roman;sans-serif" w:hAnsi="Times New Roman;sans-serif"/>
          <w:b/>
          <w:color w:val="333333"/>
          <w:sz w:val="20"/>
        </w:rPr>
      </w:pPr>
      <w:r>
        <w:rPr>
          <w:rFonts w:ascii="Times New Roman;sans-serif" w:hAnsi="Times New Roman;sans-serif"/>
          <w:b/>
          <w:color w:val="333333"/>
          <w:sz w:val="20"/>
        </w:rPr>
        <w:t>Report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333333"/>
          <w:sz w:val="20"/>
        </w:rPr>
      </w:pPr>
      <w:r>
        <w:rPr>
          <w:rFonts w:ascii="Times New Roman;sans-serif" w:hAnsi="Times New Roman;sans-serif"/>
          <w:b w:val="false"/>
          <w:color w:val="333333"/>
          <w:sz w:val="20"/>
        </w:rPr>
        <w:t xml:space="preserve">To the Shareholders and the Board of Directors of </w:t>
      </w:r>
    </w:p>
    <w:p>
      <w:pPr>
        <w:pStyle w:val="TextBody"/>
        <w:spacing w:lineRule="auto" w:line="288" w:before="0" w:after="0"/>
        <w:rPr>
          <w:rFonts w:ascii="Times New Roman;sans-serif" w:hAnsi="Times New Roman;sans-serif"/>
          <w:b w:val="false"/>
          <w:color w:val="333333"/>
          <w:sz w:val="20"/>
        </w:rPr>
      </w:pPr>
      <w:r>
        <w:rPr>
          <w:rFonts w:ascii="Times New Roman;sans-serif" w:hAnsi="Times New Roman;sans-serif"/>
          <w:b w:val="false"/>
          <w:color w:val="333333"/>
          <w:sz w:val="20"/>
        </w:rPr>
        <w:t>Clover Health Investments, Corp.</w:t>
      </w:r>
    </w:p>
    <w:p>
      <w:pPr>
        <w:pStyle w:val="TextBody"/>
        <w:spacing w:before="0" w:after="0"/>
        <w:rPr/>
      </w:pPr>
      <w:r>
        <w:rPr/>
      </w:r>
    </w:p>
    <w:p>
      <w:pPr>
        <w:pStyle w:val="TextBody"/>
        <w:spacing w:lineRule="auto" w:line="288" w:before="0" w:after="0"/>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spacing w:lineRule="auto" w:line="288" w:before="0" w:after="0"/>
        <w:jc w:val="both"/>
        <w:rPr/>
      </w:pPr>
      <w:r>
        <w:rPr>
          <w:rFonts w:ascii="Times New Roman;sans-serif" w:hAnsi="Times New Roman;sans-serif"/>
          <w:b w:val="false"/>
          <w:color w:val="333333"/>
          <w:sz w:val="20"/>
        </w:rPr>
        <w:t xml:space="preserve">We have audited the accompanying consolidated balance sheets of Clover Health Investments, Corp. (the Company) as of </w:t>
      </w:r>
      <w:r>
        <w:rPr>
          <w:rFonts w:ascii="Times New Roman;sans-serif" w:hAnsi="Times New Roman;sans-serif"/>
          <w:b w:val="false"/>
          <w:color w:val="000000"/>
          <w:sz w:val="20"/>
        </w:rPr>
        <w:t>December 31, 2021</w:t>
      </w:r>
      <w:r>
        <w:rPr>
          <w:color w:val="333333"/>
        </w:rPr>
        <w:t xml:space="preserve"> </w:t>
      </w:r>
      <w:r>
        <w:rPr>
          <w:rFonts w:ascii="Times New Roman;sans-serif" w:hAnsi="Times New Roman;sans-serif"/>
          <w:b w:val="false"/>
          <w:color w:val="333333"/>
          <w:sz w:val="20"/>
        </w:rPr>
        <w:t>and 2020, the related consolidated statements of operations and comprehensive loss</w:t>
      </w:r>
      <w:r>
        <w:rPr>
          <w:rFonts w:ascii="Times New Roman;sans-serif" w:hAnsi="Times New Roman;sans-serif"/>
          <w:b/>
          <w:color w:val="333333"/>
          <w:sz w:val="20"/>
        </w:rPr>
        <w:t>,</w:t>
      </w:r>
      <w:r>
        <w:rPr>
          <w:color w:val="333333"/>
        </w:rPr>
        <w:t xml:space="preserve"> </w:t>
      </w:r>
      <w:r>
        <w:rPr>
          <w:rFonts w:ascii="Times New Roman;sans-serif" w:hAnsi="Times New Roman;sans-serif"/>
          <w:b w:val="false"/>
          <w:color w:val="333333"/>
          <w:sz w:val="20"/>
        </w:rPr>
        <w:t xml:space="preserve">changes in convertible preferred stock and stockholders’ equity (deficit) and cash flows for each of the three years in the period ended </w:t>
      </w:r>
      <w:r>
        <w:rPr>
          <w:rFonts w:ascii="Times New Roman;sans-serif" w:hAnsi="Times New Roman;sans-serif"/>
          <w:b w:val="false"/>
          <w:color w:val="000000"/>
          <w:sz w:val="20"/>
        </w:rPr>
        <w:t>December 31, 2021</w:t>
      </w:r>
      <w:r>
        <w:rPr>
          <w:rFonts w:ascii="Times New Roman;sans-serif" w:hAnsi="Times New Roman;sans-serif"/>
          <w:b w:val="false"/>
          <w:color w:val="333333"/>
          <w:sz w:val="20"/>
        </w:rPr>
        <w:t xml:space="preserve">,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w:t>
      </w:r>
      <w:r>
        <w:rPr>
          <w:rFonts w:ascii="Times New Roman;sans-serif" w:hAnsi="Times New Roman;sans-serif"/>
          <w:b w:val="false"/>
          <w:color w:val="000000"/>
          <w:sz w:val="20"/>
        </w:rPr>
        <w:t>December 31, 2021</w:t>
      </w:r>
      <w:r>
        <w:rPr>
          <w:color w:val="333333"/>
        </w:rPr>
        <w:t xml:space="preserve"> </w:t>
      </w:r>
      <w:r>
        <w:rPr>
          <w:rFonts w:ascii="Times New Roman;sans-serif" w:hAnsi="Times New Roman;sans-serif"/>
          <w:b w:val="false"/>
          <w:color w:val="333333"/>
          <w:sz w:val="20"/>
        </w:rPr>
        <w:t>and 2020, and the results of its operations and its cash flows for each of the three years in the period ended December 31, 2021, in conformity with U.S. generally accepted accounting principles.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333333"/>
          <w:sz w:val="20"/>
        </w:rPr>
        <w:t xml:space="preserve">We also have audited, in accordance with the standards of the Public Company Accounting Oversight Board (United States) (PCAOB), the Company's internal control over financial reporting as of </w:t>
      </w:r>
      <w:r>
        <w:rPr>
          <w:rFonts w:ascii="Times New Roman;sans-serif" w:hAnsi="Times New Roman;sans-serif"/>
          <w:b w:val="false"/>
          <w:color w:val="000000"/>
          <w:sz w:val="20"/>
        </w:rPr>
        <w:t>December 31, 2021</w:t>
      </w:r>
      <w:r>
        <w:rPr>
          <w:rFonts w:ascii="Times New Roman;sans-serif" w:hAnsi="Times New Roman;sans-serif"/>
          <w:b w:val="false"/>
          <w:color w:val="333333"/>
          <w:sz w:val="20"/>
        </w:rPr>
        <w:t>, based on criteria established in Internal Control-Integrated Framework issued by the Committee of Sponsoring Organizations of the Treadway Commission (2013 framework),</w:t>
      </w:r>
      <w:r>
        <w:rPr>
          <w:color w:val="333333"/>
        </w:rPr>
        <w:t xml:space="preserve"> </w:t>
      </w:r>
      <w:r>
        <w:rPr>
          <w:rFonts w:ascii="Times New Roman;sans-serif" w:hAnsi="Times New Roman;sans-serif"/>
          <w:b w:val="false"/>
          <w:color w:val="333333"/>
          <w:sz w:val="20"/>
        </w:rPr>
        <w:t>and our report dated February 28, 2022 expressed an adverse opinion thereon.</w:t>
      </w:r>
    </w:p>
    <w:p>
      <w:pPr>
        <w:pStyle w:val="TextBody"/>
        <w:spacing w:before="0" w:after="0"/>
        <w:rPr/>
      </w:pPr>
      <w:r>
        <w:rPr/>
      </w:r>
    </w:p>
    <w:p>
      <w:pPr>
        <w:pStyle w:val="TextBody"/>
        <w:spacing w:lineRule="auto" w:line="288" w:before="0" w:after="0"/>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88" w:before="0" w:after="0"/>
        <w:rPr/>
      </w:pPr>
      <w:r>
        <w:rPr>
          <w:rFonts w:ascii="Times New Roman;sans-serif" w:hAnsi="Times New Roman;sans-serif"/>
          <w:b/>
          <w:color w:val="333333"/>
          <w:sz w:val="20"/>
        </w:rPr>
        <w:t>Critical Audit Matters</w:t>
      </w:r>
      <w:r>
        <w:rPr>
          <w:color w:val="333333"/>
          <w:highlight w:val="white"/>
        </w:rPr>
        <w:t xml:space="preserve"> </w:t>
      </w:r>
    </w:p>
    <w:p>
      <w:pPr>
        <w:pStyle w:val="TextBody"/>
        <w:spacing w:lineRule="auto" w:line="288" w:before="0" w:after="0"/>
        <w:jc w:val="both"/>
        <w:rPr/>
      </w:pPr>
      <w:r>
        <w:rPr>
          <w:rFonts w:ascii="Times New Roman;sans-serif" w:hAnsi="Times New Roman;sans-serif"/>
          <w:b w:val="false"/>
          <w:color w:val="333333"/>
          <w:sz w:val="20"/>
        </w:rPr>
        <w:t>The critical audit matters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matters does not alter in any way our opinion on the consolidated</w:t>
      </w:r>
      <w:r>
        <w:rPr>
          <w:color w:val="0088CC"/>
          <w:highlight w:val="white"/>
        </w:rPr>
        <w:t xml:space="preserve"> </w:t>
      </w:r>
      <w:r>
        <w:rPr>
          <w:rFonts w:ascii="Times New Roman;sans-serif" w:hAnsi="Times New Roman;sans-serif"/>
          <w:b w:val="false"/>
          <w:color w:val="333333"/>
          <w:sz w:val="20"/>
        </w:rPr>
        <w:t>financial statements, taken as a whole, and we are not, by communicating the critical audit matters below, providing a separate opinion on the critical audit matters or on the accounts or disclosures to which it relates.</w:t>
      </w:r>
    </w:p>
    <w:p>
      <w:pPr>
        <w:pStyle w:val="TextBody"/>
        <w:spacing w:before="0" w:after="0"/>
        <w:jc w:val="both"/>
        <w:rPr/>
      </w:pPr>
      <w:r>
        <w:rPr/>
      </w:r>
    </w:p>
    <w:p>
      <w:pPr>
        <w:pStyle w:val="TextBody"/>
        <w:spacing w:lineRule="auto" w:line="268" w:before="0" w:after="0"/>
        <w:ind w:left="0" w:right="0" w:firstLine="1530"/>
        <w:jc w:val="both"/>
        <w:rPr>
          <w:rFonts w:ascii="Times New Roman;sans-serif" w:hAnsi="Times New Roman;sans-serif"/>
          <w:b/>
          <w:i/>
          <w:color w:val="333333"/>
          <w:sz w:val="20"/>
        </w:rPr>
      </w:pPr>
      <w:r>
        <w:rPr>
          <w:rFonts w:ascii="Times New Roman;sans-serif" w:hAnsi="Times New Roman;sans-serif"/>
          <w:b/>
          <w:i/>
          <w:color w:val="333333"/>
          <w:sz w:val="20"/>
        </w:rPr>
        <w:t>Valuation of incurred but not reported reserves</w:t>
      </w:r>
    </w:p>
    <w:tbl>
      <w:tblPr>
        <w:tblW w:w="10205" w:type="dxa"/>
        <w:jc w:val="left"/>
        <w:tblInd w:w="0" w:type="dxa"/>
        <w:tblCellMar>
          <w:top w:w="28" w:type="dxa"/>
          <w:left w:w="28" w:type="dxa"/>
          <w:bottom w:w="28" w:type="dxa"/>
          <w:right w:w="28" w:type="dxa"/>
        </w:tblCellMar>
      </w:tblPr>
      <w:tblGrid>
        <w:gridCol w:w="431"/>
        <w:gridCol w:w="380"/>
        <w:gridCol w:w="382"/>
        <w:gridCol w:w="2639"/>
        <w:gridCol w:w="2639"/>
        <w:gridCol w:w="3734"/>
      </w:tblGrid>
      <w:tr>
        <w:trPr/>
        <w:tc>
          <w:tcPr>
            <w:tcW w:w="43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c>
          <w:tcPr>
            <w:tcW w:w="2639" w:type="dxa"/>
            <w:tcBorders/>
            <w:shd w:fill="auto" w:val="clear"/>
            <w:vAlign w:val="center"/>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11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9012"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Company’s unpaid claims were $140.9 million, of which, a significant portion is incurred but not reported reserves. As discussed in Notes 1 and 10 to the consolidated financial statements, the Company’s incurred but not reported (IBNR) liability for its Medicare Advantage and Direct Contracting Entity programs is determined by using actuarial methods that include a number of factors and assumptions, including completion factors, which seek to measure the cumulative percentage of claims expense that have been paid as of the reporting date based on historical claim payment patterns, and assumed medical cost trend factors, which represent an estimate of claims expense based on recent claims expense levels and medical cost levels. There is significant uncertainty inherent in determining management’s best estimate of completion and trend factors, which are used to calculate actuarial estimates of IBNR.</w:t>
            </w:r>
          </w:p>
        </w:tc>
      </w:tr>
      <w:tr>
        <w:trPr/>
        <w:tc>
          <w:tcPr>
            <w:tcW w:w="11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Auditing management’s best estimate of the IBNR was complex and required the involvement of our actuarial specialists due to the highly judgmental nature of completion and trend factor assumptions used in the valuation process. These assumptions have a significant effect on the valuation of the IBNR liability.</w:t>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over the Company’s actuarial process for estimating the liability for incurred but not paid claims. These audit procedures included among others, testing management review controls over the application of the actuarial assumptions within the reserve models and the review and approval processes that management has in place for estimating the liability for incurred but not paid claims. </w:t>
            </w:r>
          </w:p>
        </w:tc>
      </w:tr>
    </w:tbl>
    <w:tbl>
      <w:tblPr>
        <w:tblW w:w="10205" w:type="dxa"/>
        <w:jc w:val="left"/>
        <w:tblInd w:w="0" w:type="dxa"/>
        <w:tblCellMar>
          <w:top w:w="28" w:type="dxa"/>
          <w:left w:w="28" w:type="dxa"/>
          <w:bottom w:w="28" w:type="dxa"/>
          <w:right w:w="28" w:type="dxa"/>
        </w:tblCellMar>
      </w:tblPr>
      <w:tblGrid>
        <w:gridCol w:w="506"/>
        <w:gridCol w:w="444"/>
        <w:gridCol w:w="446"/>
        <w:gridCol w:w="2575"/>
        <w:gridCol w:w="2575"/>
        <w:gridCol w:w="3659"/>
      </w:tblGrid>
      <w:tr>
        <w:trPr/>
        <w:tc>
          <w:tcPr>
            <w:tcW w:w="50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2575" w:type="dxa"/>
            <w:tcBorders/>
            <w:shd w:fill="auto" w:val="clear"/>
            <w:vAlign w:val="center"/>
          </w:tcPr>
          <w:p>
            <w:pPr>
              <w:pStyle w:val="TableContents"/>
              <w:spacing w:before="0" w:after="283"/>
              <w:rPr>
                <w:sz w:val="4"/>
                <w:szCs w:val="4"/>
              </w:rPr>
            </w:pPr>
            <w:r>
              <w:rPr>
                <w:sz w:val="4"/>
                <w:szCs w:val="4"/>
              </w:rPr>
            </w:r>
          </w:p>
        </w:tc>
        <w:tc>
          <w:tcPr>
            <w:tcW w:w="3659" w:type="dxa"/>
            <w:tcBorders/>
            <w:shd w:fill="auto" w:val="clear"/>
            <w:vAlign w:val="center"/>
          </w:tcPr>
          <w:p>
            <w:pPr>
              <w:pStyle w:val="TableContents"/>
              <w:spacing w:before="0" w:after="283"/>
              <w:rPr>
                <w:sz w:val="4"/>
                <w:szCs w:val="4"/>
              </w:rPr>
            </w:pPr>
            <w:r>
              <w:rPr>
                <w:sz w:val="4"/>
                <w:szCs w:val="4"/>
              </w:rPr>
            </w:r>
          </w:p>
        </w:tc>
      </w:tr>
      <w:tr>
        <w:trPr/>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pPr>
            <w:r>
              <w:rPr>
                <w:rFonts w:ascii="Times New Roman;sans-serif" w:hAnsi="Times New Roman;sans-serif"/>
                <w:b w:val="false"/>
                <w:sz w:val="20"/>
              </w:rPr>
              <w:br/>
            </w:r>
            <w:r>
              <w:rPr>
                <w:rFonts w:ascii="Times New Roman;sans-serif" w:hAnsi="Times New Roman;sans-serif"/>
                <w:b w:val="false"/>
                <w:color w:val="000000"/>
                <w:sz w:val="20"/>
              </w:rPr>
              <w:t>To test the Company’s liability for IBNR,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w:t>
            </w:r>
          </w:p>
        </w:tc>
      </w:tr>
      <w:tr>
        <w:trPr/>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involved actuarial specialists to assist with our audit procedures, which included, among others, evaluating the methodologies applied by the Company in determining the IBNR, evaluating the Company’s actuarial assumptions used in their analysis by comparing the significant assumptions to the Company’s historical claim experience, and independently calculating a range of IBNR estimates for comparison to management’s actuarial best estimate of the IBNR. Additionally, we performed a review of the prior period IBNR liabilities to subsequent claims development.</w:t>
            </w:r>
          </w:p>
        </w:tc>
      </w:tr>
    </w:tbl>
    <w:p>
      <w:pPr>
        <w:pStyle w:val="TextBody"/>
        <w:spacing w:before="0" w:after="0"/>
        <w:jc w:val="both"/>
        <w:rPr/>
      </w:pPr>
      <w:r>
        <w:rPr/>
      </w:r>
    </w:p>
    <w:p>
      <w:pPr>
        <w:pStyle w:val="TextBody"/>
        <w:spacing w:lineRule="auto" w:line="268" w:before="0" w:after="0"/>
        <w:ind w:left="0" w:right="0" w:firstLine="1530"/>
        <w:rPr>
          <w:rFonts w:ascii="Times New Roman;sans-serif" w:hAnsi="Times New Roman;sans-serif"/>
          <w:b/>
          <w:i/>
          <w:color w:val="333333"/>
          <w:sz w:val="20"/>
        </w:rPr>
      </w:pPr>
      <w:r>
        <w:rPr>
          <w:rFonts w:ascii="Times New Roman;sans-serif" w:hAnsi="Times New Roman;sans-serif"/>
          <w:b/>
          <w:i/>
          <w:color w:val="333333"/>
          <w:sz w:val="20"/>
        </w:rPr>
        <w:t>Premium deficiency reserve</w:t>
      </w:r>
    </w:p>
    <w:tbl>
      <w:tblPr>
        <w:tblW w:w="10205" w:type="dxa"/>
        <w:jc w:val="left"/>
        <w:tblInd w:w="0" w:type="dxa"/>
        <w:tblCellMar>
          <w:top w:w="28" w:type="dxa"/>
          <w:left w:w="28" w:type="dxa"/>
          <w:bottom w:w="28" w:type="dxa"/>
          <w:right w:w="28" w:type="dxa"/>
        </w:tblCellMar>
      </w:tblPr>
      <w:tblGrid>
        <w:gridCol w:w="463"/>
        <w:gridCol w:w="407"/>
        <w:gridCol w:w="409"/>
        <w:gridCol w:w="2660"/>
        <w:gridCol w:w="2587"/>
        <w:gridCol w:w="3679"/>
      </w:tblGrid>
      <w:tr>
        <w:trPr/>
        <w:tc>
          <w:tcPr>
            <w:tcW w:w="46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660"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c>
          <w:tcPr>
            <w:tcW w:w="3679"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26"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56" w:before="0" w:after="0"/>
              <w:jc w:val="both"/>
              <w:rPr/>
            </w:pPr>
            <w:r>
              <w:rPr>
                <w:rFonts w:ascii="Times New Roman;sans-serif" w:hAnsi="Times New Roman;sans-serif"/>
                <w:b w:val="false"/>
                <w:color w:val="000000"/>
                <w:sz w:val="20"/>
              </w:rPr>
              <w:t xml:space="preserve">As of December 31, 2021, </w:t>
            </w:r>
            <w:r>
              <w:rPr>
                <w:rFonts w:ascii="Times New Roman;sans-serif" w:hAnsi="Times New Roman;sans-serif"/>
                <w:b w:val="false"/>
                <w:color w:val="333333"/>
                <w:sz w:val="20"/>
              </w:rPr>
              <w:t>the Company had recorded a premium deficiency reserve of $110 million (PDR). As discussed in Note 1 to the consolidated financial statements, a liability for premium deficiency reserves is an actuarial estimate for anticipated losses on the Corporation’s Medicare Advantage and Medicare Advantage Part D business. Management establishes premium deficiency reserves to the extent that the sum of expected future costs, claim adjustment expenses, and maintenance costs exceeds related future premiums.</w:t>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auto" w:val="clear"/>
            <w:tcMar>
              <w:top w:w="0" w:type="dxa"/>
              <w:left w:w="0" w:type="dxa"/>
              <w:bottom w:w="0" w:type="dxa"/>
              <w:right w:w="0" w:type="dxa"/>
            </w:tcMar>
            <w:vAlign w:val="center"/>
          </w:tcPr>
          <w:p>
            <w:pPr>
              <w:pStyle w:val="TableContents"/>
              <w:spacing w:lineRule="auto" w:line="256" w:before="0" w:after="0"/>
              <w:jc w:val="both"/>
              <w:rPr/>
            </w:pPr>
            <w:r>
              <w:rPr>
                <w:rFonts w:ascii="Times New Roman;sans-serif" w:hAnsi="Times New Roman;sans-serif"/>
                <w:b w:val="false"/>
                <w:color w:val="000000"/>
                <w:sz w:val="20"/>
              </w:rPr>
              <w:t xml:space="preserve">Auditing management’s </w:t>
            </w:r>
            <w:r>
              <w:rPr>
                <w:rFonts w:ascii="Times New Roman;sans-serif" w:hAnsi="Times New Roman;sans-serif"/>
                <w:b w:val="false"/>
                <w:color w:val="333333"/>
                <w:sz w:val="20"/>
              </w:rPr>
              <w:t>estimated PDR was complex and required the involvement of our actuarial specialists due to the significant estimation uncertainty surrounding the estimated future costs of care, claim expense and maintenance costs and trend assumptions utilized in the calculation of the PDR in comparison to the per month per member estimated premiums.</w:t>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6" w:type="dxa"/>
            <w:gridSpan w:val="3"/>
            <w:tcBorders/>
            <w:shd w:fill="auto" w:val="clear"/>
            <w:tcMar>
              <w:top w:w="0" w:type="dxa"/>
              <w:left w:w="0" w:type="dxa"/>
              <w:bottom w:w="0" w:type="dxa"/>
              <w:right w:w="0" w:type="dxa"/>
            </w:tcMar>
            <w:vAlign w:val="center"/>
          </w:tcPr>
          <w:p>
            <w:pPr>
              <w:pStyle w:val="TableContents"/>
              <w:spacing w:lineRule="auto" w:line="256" w:before="0" w:after="0"/>
              <w:jc w:val="both"/>
              <w:rPr/>
            </w:pPr>
            <w:r>
              <w:rPr>
                <w:rFonts w:ascii="Times New Roman;sans-serif" w:hAnsi="Times New Roman;sans-serif"/>
                <w:b w:val="false"/>
                <w:color w:val="000000"/>
                <w:sz w:val="20"/>
              </w:rPr>
              <w:t xml:space="preserve">We obtained an understanding, evaluated the design and tested the operating effectiveness of controls over the Company’s </w:t>
            </w:r>
            <w:r>
              <w:rPr>
                <w:rFonts w:ascii="Times New Roman;sans-serif" w:hAnsi="Times New Roman;sans-serif"/>
                <w:b w:val="false"/>
                <w:color w:val="333333"/>
                <w:sz w:val="20"/>
              </w:rPr>
              <w:t>PDR calculation, including those over the Company’s selection of assumptions such as the expected future costs, claim adjustment expenses, and maintenance costs.</w:t>
            </w:r>
          </w:p>
        </w:tc>
      </w:tr>
    </w:tbl>
    <w:tbl>
      <w:tblPr>
        <w:tblW w:w="10205" w:type="dxa"/>
        <w:jc w:val="left"/>
        <w:tblInd w:w="0" w:type="dxa"/>
        <w:tblCellMar>
          <w:top w:w="28" w:type="dxa"/>
          <w:left w:w="28" w:type="dxa"/>
          <w:bottom w:w="28" w:type="dxa"/>
          <w:right w:w="28" w:type="dxa"/>
        </w:tblCellMar>
      </w:tblPr>
      <w:tblGrid>
        <w:gridCol w:w="486"/>
        <w:gridCol w:w="427"/>
        <w:gridCol w:w="428"/>
        <w:gridCol w:w="2591"/>
        <w:gridCol w:w="2591"/>
        <w:gridCol w:w="3682"/>
      </w:tblGrid>
      <w:tr>
        <w:trPr/>
        <w:tc>
          <w:tcPr>
            <w:tcW w:w="48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c>
          <w:tcPr>
            <w:tcW w:w="2591" w:type="dxa"/>
            <w:tcBorders/>
            <w:shd w:fill="auto" w:val="clear"/>
            <w:vAlign w:val="center"/>
          </w:tcPr>
          <w:p>
            <w:pPr>
              <w:pStyle w:val="TableContents"/>
              <w:spacing w:before="0" w:after="283"/>
              <w:rPr>
                <w:sz w:val="4"/>
                <w:szCs w:val="4"/>
              </w:rPr>
            </w:pPr>
            <w:r>
              <w:rPr>
                <w:sz w:val="4"/>
                <w:szCs w:val="4"/>
              </w:rPr>
            </w:r>
          </w:p>
        </w:tc>
        <w:tc>
          <w:tcPr>
            <w:tcW w:w="3682" w:type="dxa"/>
            <w:tcBorders/>
            <w:shd w:fill="auto" w:val="clear"/>
            <w:vAlign w:val="center"/>
          </w:tcPr>
          <w:p>
            <w:pPr>
              <w:pStyle w:val="TableContents"/>
              <w:spacing w:before="0" w:after="283"/>
              <w:rPr>
                <w:sz w:val="4"/>
                <w:szCs w:val="4"/>
              </w:rPr>
            </w:pPr>
            <w:r>
              <w:rPr>
                <w:sz w:val="4"/>
                <w:szCs w:val="4"/>
              </w:rPr>
            </w:r>
          </w:p>
        </w:tc>
      </w:tr>
      <w:tr>
        <w:trPr/>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64" w:type="dxa"/>
            <w:gridSpan w:val="3"/>
            <w:tcBorders/>
            <w:shd w:fill="auto" w:val="clear"/>
            <w:tcMar>
              <w:top w:w="0" w:type="dxa"/>
              <w:left w:w="0" w:type="dxa"/>
              <w:bottom w:w="0" w:type="dxa"/>
              <w:right w:w="0" w:type="dxa"/>
            </w:tcMar>
            <w:vAlign w:val="center"/>
          </w:tcPr>
          <w:p>
            <w:pPr>
              <w:pStyle w:val="TableContents"/>
              <w:spacing w:before="0" w:after="0"/>
              <w:jc w:val="both"/>
              <w:rPr/>
            </w:pPr>
            <w:r>
              <w:rPr/>
            </w:r>
          </w:p>
          <w:p>
            <w:pPr>
              <w:pStyle w:val="TableContents"/>
              <w:spacing w:lineRule="auto" w:line="256" w:before="0" w:after="0"/>
              <w:jc w:val="both"/>
              <w:rPr/>
            </w:pPr>
            <w:r>
              <w:rPr>
                <w:rFonts w:ascii="Times New Roman;sans-serif" w:hAnsi="Times New Roman;sans-serif"/>
                <w:b w:val="false"/>
                <w:color w:val="000000"/>
                <w:sz w:val="20"/>
              </w:rPr>
              <w:t xml:space="preserve">To test the Company’s </w:t>
            </w:r>
            <w:r>
              <w:rPr>
                <w:rFonts w:ascii="Times New Roman;sans-serif" w:hAnsi="Times New Roman;sans-serif"/>
                <w:b w:val="false"/>
                <w:color w:val="333333"/>
                <w:sz w:val="20"/>
              </w:rPr>
              <w:t xml:space="preserve">calculation of PDR, our audit procedures included, among others, testing the completeness and accuracy of data used in the calculation by testing reconciliations of premium, claim and claim related expense costs to source documentation. </w:t>
            </w:r>
          </w:p>
        </w:tc>
      </w:tr>
      <w:tr>
        <w:trPr/>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4" w:type="dxa"/>
            <w:gridSpan w:val="3"/>
            <w:tcBorders/>
            <w:shd w:fill="auto" w:val="clear"/>
            <w:tcMar>
              <w:top w:w="0" w:type="dxa"/>
              <w:left w:w="0" w:type="dxa"/>
              <w:bottom w:w="0" w:type="dxa"/>
              <w:right w:w="0" w:type="dxa"/>
            </w:tcMar>
            <w:vAlign w:val="center"/>
          </w:tcPr>
          <w:p>
            <w:pPr>
              <w:pStyle w:val="TableContents"/>
              <w:spacing w:lineRule="auto" w:line="25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involved actuarial specialists to assist with testing the significant assumptions described above, which included evaluating the methodologies applied by the Company in determining the premium deficiency reserve, evaluating the Company’s actuarial assumptions used in their claims expense analysis by comparing the significant assumptions to the Company’s historical claim experience and total cost of care trends. In addition to the Company’s historical claim experience, we also compared the Company’s claim and claim related expense costs to industry, market and economic trends to evaluate the assumptions utilized in the calculation of the PDR.</w:t>
            </w:r>
          </w:p>
        </w:tc>
      </w:tr>
    </w:tbl>
    <w:p>
      <w:pPr>
        <w:pStyle w:val="TextBody"/>
        <w:spacing w:before="0" w:after="0"/>
        <w:jc w:val="both"/>
        <w:rPr/>
      </w:pPr>
      <w:r>
        <w:rPr/>
      </w:r>
    </w:p>
    <w:p>
      <w:pPr>
        <w:pStyle w:val="TextBody"/>
        <w:spacing w:before="0" w:after="0"/>
        <w:jc w:val="both"/>
        <w:rPr/>
      </w:pPr>
      <w:r>
        <w:rPr/>
      </w:r>
    </w:p>
    <w:p>
      <w:pPr>
        <w:pStyle w:val="TextBody"/>
        <w:spacing w:lineRule="auto" w:line="276" w:before="0" w:after="0"/>
        <w:rPr>
          <w:rFonts w:ascii="Times New Roman;sans-serif" w:hAnsi="Times New Roman;sans-serif"/>
          <w:b w:val="false"/>
          <w:color w:val="333333"/>
          <w:sz w:val="20"/>
        </w:rPr>
      </w:pPr>
      <w:r>
        <w:rPr>
          <w:rFonts w:ascii="Times New Roman;sans-serif" w:hAnsi="Times New Roman;sans-serif"/>
          <w:b w:val="false"/>
          <w:color w:val="333333"/>
          <w:sz w:val="20"/>
        </w:rPr>
        <w:t>/s/ Ernst &amp; Young LLP</w:t>
      </w:r>
    </w:p>
    <w:p>
      <w:pPr>
        <w:pStyle w:val="TextBody"/>
        <w:spacing w:lineRule="auto" w:line="268" w:before="0" w:after="0"/>
        <w:rPr>
          <w:rFonts w:ascii="Times New Roman;sans-serif" w:hAnsi="Times New Roman;sans-serif"/>
          <w:b w:val="false"/>
          <w:color w:val="333333"/>
          <w:sz w:val="20"/>
        </w:rPr>
      </w:pPr>
      <w:r>
        <w:rPr>
          <w:rFonts w:ascii="Times New Roman;sans-serif" w:hAnsi="Times New Roman;sans-serif"/>
          <w:b w:val="false"/>
          <w:color w:val="333333"/>
          <w:sz w:val="20"/>
        </w:rPr>
        <w:t>We have served as the Company’s auditor since 2018.</w:t>
      </w:r>
    </w:p>
    <w:p>
      <w:pPr>
        <w:pStyle w:val="TextBody"/>
        <w:spacing w:lineRule="auto" w:line="268" w:before="0" w:after="0"/>
        <w:rPr>
          <w:rFonts w:ascii="Times New Roman;sans-serif" w:hAnsi="Times New Roman;sans-serif"/>
          <w:b w:val="false"/>
          <w:color w:val="333333"/>
          <w:sz w:val="20"/>
        </w:rPr>
      </w:pPr>
      <w:r>
        <w:rPr>
          <w:rFonts w:ascii="Times New Roman;sans-serif" w:hAnsi="Times New Roman;sans-serif"/>
          <w:b w:val="false"/>
          <w:color w:val="333333"/>
          <w:sz w:val="20"/>
        </w:rPr>
        <w:t>New York, NY</w:t>
      </w:r>
    </w:p>
    <w:p>
      <w:pPr>
        <w:pStyle w:val="TextBody"/>
        <w:spacing w:lineRule="auto" w:line="268" w:before="0" w:after="0"/>
        <w:rPr>
          <w:rFonts w:ascii="Times New Roman;sans-serif" w:hAnsi="Times New Roman;sans-serif"/>
          <w:b w:val="false"/>
          <w:color w:val="333333"/>
          <w:sz w:val="20"/>
        </w:rPr>
      </w:pPr>
      <w:r>
        <w:rPr>
          <w:rFonts w:ascii="Times New Roman;sans-serif" w:hAnsi="Times New Roman;sans-serif"/>
          <w:b w:val="false"/>
          <w:color w:val="333333"/>
          <w:sz w:val="20"/>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CONSOLIDATED BALANCE SHEETS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68"/>
        <w:gridCol w:w="2170"/>
        <w:gridCol w:w="2182"/>
        <w:gridCol w:w="276"/>
        <w:gridCol w:w="1086"/>
        <w:gridCol w:w="143"/>
        <w:gridCol w:w="109"/>
        <w:gridCol w:w="109"/>
        <w:gridCol w:w="109"/>
        <w:gridCol w:w="274"/>
        <w:gridCol w:w="1076"/>
        <w:gridCol w:w="203"/>
      </w:tblGrid>
      <w:tr>
        <w:trPr/>
        <w:tc>
          <w:tcPr>
            <w:tcW w:w="2468" w:type="dxa"/>
            <w:tcBorders/>
            <w:shd w:fill="auto" w:val="clear"/>
            <w:vAlign w:val="center"/>
          </w:tcPr>
          <w:p>
            <w:pPr>
              <w:pStyle w:val="TableContents"/>
              <w:spacing w:before="0" w:after="283"/>
              <w:rPr>
                <w:sz w:val="4"/>
                <w:szCs w:val="4"/>
              </w:rPr>
            </w:pPr>
            <w:r>
              <w:rPr>
                <w:sz w:val="4"/>
                <w:szCs w:val="4"/>
              </w:rPr>
            </w:r>
          </w:p>
        </w:tc>
        <w:tc>
          <w:tcPr>
            <w:tcW w:w="2170"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6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299,968 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92,348 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293,851 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 sale (Amortized cost: 2021: $21,142; 2020: $0)</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2021: $307; 2020: $266)</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retrospective premiums</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34,923 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34,829 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receivable</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 and deposits</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752,546 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189,782 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3" w:type="dxa"/>
            <w:gridSpan w:val="3"/>
            <w:tcBorders/>
            <w:shd w:fill="auto" w:val="cle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 sale (Amortized cost: 2021: $177,527; 2020: $53,953)</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2021: $364; 2020: $471)</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w:t>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hanging="180"/>
        <w:jc w:val="both"/>
        <w:rPr/>
      </w:pPr>
      <w:r>
        <w:rPr/>
      </w:r>
    </w:p>
    <w:p>
      <w:pPr>
        <w:pStyle w:val="TextBody"/>
        <w:spacing w:before="120" w:after="283"/>
        <w:ind w:left="0" w:right="0" w:hanging="180"/>
        <w:jc w:val="both"/>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CONSOLIDATED BALANCE SHEETS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723"/>
        <w:gridCol w:w="2320"/>
        <w:gridCol w:w="2331"/>
        <w:gridCol w:w="226"/>
        <w:gridCol w:w="885"/>
        <w:gridCol w:w="116"/>
        <w:gridCol w:w="109"/>
        <w:gridCol w:w="109"/>
        <w:gridCol w:w="109"/>
        <w:gridCol w:w="225"/>
        <w:gridCol w:w="883"/>
        <w:gridCol w:w="169"/>
      </w:tblGrid>
      <w:tr>
        <w:trPr/>
        <w:tc>
          <w:tcPr>
            <w:tcW w:w="2723"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233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7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Stockholders' Equity (Deficit)</w:t>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claims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 net</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performance year obligation</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payable</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and securities payable</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current</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securities payable, net of discounts, and deferred issuance costs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payable</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411,487 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432,698 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21 )</w:t>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Convertible Preferred stock (Series Seed A, A-1, B, C, and D), $0.0001 par value; 0 and 155,387,025 shares authorized as of December 31, 2021, and 2020, respectively; 0 and 139,444,346 shares issued and outstanding as of December 31, 2021, and 2020, respectively; aggregate liquidation preference of $0 and $470,256 as of December 31, 2021, and 2020, respectively </w:t>
            </w:r>
            <w:r>
              <w:rPr>
                <w:rFonts w:ascii="Times New Roman;sans-serif" w:hAnsi="Times New Roman;sans-serif"/>
                <w:b w:val="false"/>
                <w:color w:val="000000"/>
                <w:sz w:val="13"/>
              </w:rPr>
              <w:t>(1)</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447,747 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2,500,000,000 and 0 shares authorized as of December 31, 2021, and 2020, respectively; 352,645,626 and 0 issued and outstanding as of December 31, 2021, and 2020, respectively</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Class B Common Stock, $0.0001 par value; 500,000,000 and 351,572,668 shares authorized; 118,206,768 and 89,206,266 issued and outstanding as of December 31, 2021, and 2020, respectively </w:t>
            </w:r>
            <w:r>
              <w:rPr>
                <w:rFonts w:ascii="Times New Roman;sans-serif" w:hAnsi="Times New Roman;sans-serif"/>
                <w:b w:val="false"/>
                <w:color w:val="000000"/>
                <w:sz w:val="13"/>
              </w:rPr>
              <w:t>(1)</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2,154,187 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411,867 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(1,028,982)</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Treasury stock, at cost; 14,730 and 0 shares held as of December 31, 2021</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and 2020, respectively</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Clover stockholders’ equity (deficit)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(617,096)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(613,193)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stockholders' equity (deficit)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CONSOLIDATED STATEMENTS OF OPERATIONS AND COMPREHENSIVE LOSS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and share amounts)</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117"/>
        <w:gridCol w:w="1513"/>
        <w:gridCol w:w="1523"/>
        <w:gridCol w:w="109"/>
        <w:gridCol w:w="109"/>
        <w:gridCol w:w="109"/>
        <w:gridCol w:w="109"/>
        <w:gridCol w:w="109"/>
        <w:gridCol w:w="109"/>
        <w:gridCol w:w="237"/>
        <w:gridCol w:w="949"/>
        <w:gridCol w:w="109"/>
        <w:gridCol w:w="109"/>
        <w:gridCol w:w="109"/>
        <w:gridCol w:w="109"/>
        <w:gridCol w:w="211"/>
        <w:gridCol w:w="881"/>
        <w:gridCol w:w="109"/>
        <w:gridCol w:w="109"/>
        <w:gridCol w:w="109"/>
        <w:gridCol w:w="109"/>
        <w:gridCol w:w="211"/>
        <w:gridCol w:w="881"/>
        <w:gridCol w:w="156"/>
      </w:tblGrid>
      <w:tr>
        <w:trPr/>
        <w:tc>
          <w:tcPr>
            <w:tcW w:w="2117"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9"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1575" w:type="dxa"/>
            <w:gridSpan w:val="6"/>
            <w:tcBorders/>
            <w:shd w:fill="auto" w:val="clear"/>
          </w:tcPr>
          <w:p>
            <w:pPr>
              <w:pStyle w:val="TableContents"/>
              <w:spacing w:before="0" w:after="283"/>
              <w:rPr>
                <w:sz w:val="4"/>
                <w:szCs w:val="4"/>
              </w:rPr>
            </w:pPr>
            <w:r>
              <w:rPr>
                <w:sz w:val="4"/>
                <w:szCs w:val="4"/>
              </w:rPr>
            </w:r>
          </w:p>
        </w:tc>
      </w:tr>
      <w:tr>
        <w:trPr/>
        <w:tc>
          <w:tcPr>
            <w:tcW w:w="51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$489, $599, and $832 for the years ended December 31, 2021, 2020, and 2019,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Advantage net medical claims incurred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net medical claims incurred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medical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payable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loss per share attributable to Class A and Class B common stockholders – basic and diluted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Basic and diluted weighted average number of Class A and Class B common shares and common share equivalents outstanding </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412,922,424 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88,691,582 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87,829,419 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available-for-sale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(363,691)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 Because the Corporation had a net loss during the year ended December 31, 2021, and a net loss during the year ended December 31,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CHANGES IN CONVERTIBLE PREFERRED STOCK AND STOCKHOLDERS' EQUITY (DEFICIT)</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tbl>
      <w:tblPr>
        <w:tblW w:w="18748" w:type="dxa"/>
        <w:jc w:val="center"/>
        <w:tblInd w:w="0" w:type="dxa"/>
        <w:tblCellMar>
          <w:top w:w="28" w:type="dxa"/>
          <w:left w:w="28" w:type="dxa"/>
          <w:bottom w:w="28" w:type="dxa"/>
          <w:right w:w="28" w:type="dxa"/>
        </w:tblCellMar>
      </w:tblPr>
      <w:tblGrid>
        <w:gridCol w:w="720"/>
        <w:gridCol w:w="225"/>
        <w:gridCol w:w="226"/>
        <w:gridCol w:w="531"/>
        <w:gridCol w:w="535"/>
        <w:gridCol w:w="196"/>
        <w:gridCol w:w="109"/>
        <w:gridCol w:w="109"/>
        <w:gridCol w:w="109"/>
        <w:gridCol w:w="196"/>
        <w:gridCol w:w="736"/>
        <w:gridCol w:w="109"/>
        <w:gridCol w:w="109"/>
        <w:gridCol w:w="109"/>
        <w:gridCol w:w="109"/>
        <w:gridCol w:w="109"/>
        <w:gridCol w:w="109"/>
        <w:gridCol w:w="109"/>
        <w:gridCol w:w="524"/>
        <w:gridCol w:w="527"/>
        <w:gridCol w:w="196"/>
        <w:gridCol w:w="109"/>
        <w:gridCol w:w="109"/>
        <w:gridCol w:w="109"/>
        <w:gridCol w:w="196"/>
        <w:gridCol w:w="406"/>
        <w:gridCol w:w="109"/>
        <w:gridCol w:w="109"/>
        <w:gridCol w:w="109"/>
        <w:gridCol w:w="109"/>
        <w:gridCol w:w="524"/>
        <w:gridCol w:w="527"/>
        <w:gridCol w:w="196"/>
        <w:gridCol w:w="109"/>
        <w:gridCol w:w="109"/>
        <w:gridCol w:w="109"/>
        <w:gridCol w:w="291"/>
        <w:gridCol w:w="291"/>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886"/>
        <w:gridCol w:w="109"/>
        <w:gridCol w:w="327"/>
        <w:gridCol w:w="322"/>
        <w:gridCol w:w="668"/>
        <w:gridCol w:w="181"/>
        <w:gridCol w:w="327"/>
        <w:gridCol w:w="273"/>
        <w:gridCol w:w="775"/>
        <w:gridCol w:w="153"/>
        <w:gridCol w:w="327"/>
        <w:gridCol w:w="196"/>
        <w:gridCol w:w="751"/>
        <w:gridCol w:w="154"/>
      </w:tblGrid>
      <w:tr>
        <w:trPr/>
        <w:tc>
          <w:tcPr>
            <w:tcW w:w="7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2018</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67,427,138 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42,243,445 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(502,574)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reverse recapitalization</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72,017,208 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45,119,147 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balance, beginning of period</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87,362,592 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(502,574)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916,527 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available-for-sale</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Beneficial conversion feature</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2019</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88,279,119 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2019</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67,427,138 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42,686,624 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403,046 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(891,633)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(488,537)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reverse recapitalization</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72,017,208 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45,592,495 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balance, beginning of period</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88,279,119 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1,297,977 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Buyback and subsequent cancellation of common shares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(370,830)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loss on investment securities, available-for-sale</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Interests issued</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2020</w:t>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89,206,266 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(613,193)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2020</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89,206,266 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(1,028,982)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(613,193)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4,303,062 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163,723 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526,346 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loss on investment securities, available-for-sale</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conversion</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139,444,346 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exercises of legacy warrants</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7,205,490 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debt conversion and other issuances</w:t>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75,084,703 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Business Combination and PIPE offering</w:t>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143,475,108 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(49,975,104)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0"/>
        <w:rPr/>
      </w:pPr>
      <w:r>
        <w:rPr/>
      </w:r>
    </w:p>
    <w:tbl>
      <w:tblPr>
        <w:tblW w:w="16956" w:type="dxa"/>
        <w:jc w:val="center"/>
        <w:tblInd w:w="0" w:type="dxa"/>
        <w:tblCellMar>
          <w:top w:w="28" w:type="dxa"/>
          <w:left w:w="28" w:type="dxa"/>
          <w:bottom w:w="28" w:type="dxa"/>
          <w:right w:w="28" w:type="dxa"/>
        </w:tblCellMar>
      </w:tblPr>
      <w:tblGrid>
        <w:gridCol w:w="602"/>
        <w:gridCol w:w="291"/>
        <w:gridCol w:w="293"/>
        <w:gridCol w:w="203"/>
        <w:gridCol w:w="203"/>
        <w:gridCol w:w="109"/>
        <w:gridCol w:w="109"/>
        <w:gridCol w:w="109"/>
        <w:gridCol w:w="109"/>
        <w:gridCol w:w="196"/>
        <w:gridCol w:w="406"/>
        <w:gridCol w:w="109"/>
        <w:gridCol w:w="109"/>
        <w:gridCol w:w="109"/>
        <w:gridCol w:w="109"/>
        <w:gridCol w:w="109"/>
        <w:gridCol w:w="109"/>
        <w:gridCol w:w="109"/>
        <w:gridCol w:w="525"/>
        <w:gridCol w:w="526"/>
        <w:gridCol w:w="109"/>
        <w:gridCol w:w="109"/>
        <w:gridCol w:w="109"/>
        <w:gridCol w:w="109"/>
        <w:gridCol w:w="196"/>
        <w:gridCol w:w="331"/>
        <w:gridCol w:w="109"/>
        <w:gridCol w:w="109"/>
        <w:gridCol w:w="109"/>
        <w:gridCol w:w="109"/>
        <w:gridCol w:w="533"/>
        <w:gridCol w:w="533"/>
        <w:gridCol w:w="109"/>
        <w:gridCol w:w="109"/>
        <w:gridCol w:w="109"/>
        <w:gridCol w:w="109"/>
        <w:gridCol w:w="196"/>
        <w:gridCol w:w="331"/>
        <w:gridCol w:w="109"/>
        <w:gridCol w:w="109"/>
        <w:gridCol w:w="109"/>
        <w:gridCol w:w="109"/>
        <w:gridCol w:w="323"/>
        <w:gridCol w:w="323"/>
        <w:gridCol w:w="109"/>
        <w:gridCol w:w="109"/>
        <w:gridCol w:w="109"/>
        <w:gridCol w:w="109"/>
        <w:gridCol w:w="196"/>
        <w:gridCol w:w="436"/>
        <w:gridCol w:w="109"/>
        <w:gridCol w:w="109"/>
        <w:gridCol w:w="109"/>
        <w:gridCol w:w="109"/>
        <w:gridCol w:w="196"/>
        <w:gridCol w:w="871"/>
        <w:gridCol w:w="109"/>
        <w:gridCol w:w="109"/>
        <w:gridCol w:w="109"/>
        <w:gridCol w:w="109"/>
        <w:gridCol w:w="196"/>
        <w:gridCol w:w="886"/>
        <w:gridCol w:w="109"/>
        <w:gridCol w:w="327"/>
        <w:gridCol w:w="196"/>
        <w:gridCol w:w="571"/>
        <w:gridCol w:w="109"/>
        <w:gridCol w:w="327"/>
        <w:gridCol w:w="196"/>
        <w:gridCol w:w="556"/>
        <w:gridCol w:w="109"/>
        <w:gridCol w:w="327"/>
        <w:gridCol w:w="196"/>
        <w:gridCol w:w="736"/>
        <w:gridCol w:w="154"/>
      </w:tblGrid>
      <w:tr>
        <w:trPr/>
        <w:tc>
          <w:tcPr>
            <w:tcW w:w="60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ind w:left="0" w:right="0" w:hanging="9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231,273,129 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(231,273,129)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A Common Stock to Class B Common Stock</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(88,514,196)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88,514,196 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for extinguishment of debt</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Public and Private Placement Warrants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(147,582)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exercises of Public and Private Placement Warrants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9,408,264 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stock issuance costs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52,173,913 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(587,756)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2021</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352,645,626 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118,206,768 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539,317 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CLOVER HEALTH INVESTMENTS, CORP.</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CONSOLIDATED STATEMENTS OF CASH FLOWS</w:t>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(Dollars in thousands)</w:t>
      </w:r>
    </w:p>
    <w:tbl>
      <w:tblPr>
        <w:tblW w:w="8516" w:type="dxa"/>
        <w:jc w:val="center"/>
        <w:tblInd w:w="0" w:type="dxa"/>
        <w:tblCellMar>
          <w:top w:w="28" w:type="dxa"/>
          <w:left w:w="28" w:type="dxa"/>
          <w:bottom w:w="28" w:type="dxa"/>
          <w:right w:w="28" w:type="dxa"/>
        </w:tblCellMar>
      </w:tblPr>
      <w:tblGrid>
        <w:gridCol w:w="1783"/>
        <w:gridCol w:w="1563"/>
        <w:gridCol w:w="1573"/>
        <w:gridCol w:w="181"/>
        <w:gridCol w:w="676"/>
        <w:gridCol w:w="109"/>
        <w:gridCol w:w="109"/>
        <w:gridCol w:w="109"/>
        <w:gridCol w:w="109"/>
        <w:gridCol w:w="181"/>
        <w:gridCol w:w="676"/>
        <w:gridCol w:w="109"/>
        <w:gridCol w:w="109"/>
        <w:gridCol w:w="109"/>
        <w:gridCol w:w="109"/>
        <w:gridCol w:w="181"/>
        <w:gridCol w:w="676"/>
        <w:gridCol w:w="154"/>
      </w:tblGrid>
      <w:tr>
        <w:trPr/>
        <w:tc>
          <w:tcPr>
            <w:tcW w:w="1783"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2019</w:t>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(363,737)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used in operating activities: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 expense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notes and securities discounts and debt issuance costs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disposal of property and equipment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163,723 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Paid-in-kind interest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warrants payable and amortization of warrants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derivative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Accretion, net of amortization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realized losses (gains) on available-for-sale securities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Asset impairment charges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retrospective premiums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receivables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Reinsurance recoverable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Surety bonds and deposits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Healthcare receivables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right-of-use assets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Unpaid claims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 and accrued expenses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salaries and benefits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Premium deficiency reserve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Reinsurance premium payable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(64,414)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rent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year obligation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Direct Contracting payable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operating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(159,875)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short-term investments and available-for-sale securities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(876,252)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(174,318)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(505,545)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sales of short-term investments and available-for-sale securities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269,205 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of short-term investments and available-for-sale securities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314,666 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of held-to-maturity securities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business, net of cash acquired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provided by investing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(181,908)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convertible notes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financing costs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notes payable principal</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early exercise liability</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reverse recapitalization, net of transaction costs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666,241 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Buyback and subsequent cancellation of common shares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received for the exercise of Public and Private Warrants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stock issuance costs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for the redemptions of Public Warrants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noncontrolling interest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925,393 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333,978 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cash and cash equivalents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year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year</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cash flow disclosures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during the year for interest</w:t>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during the year for health insurance industry fee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non-cash investing and financing activities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of warrants issued in connection with notes payable</w:t>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of bridge loan in connection with convertible notes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preferred stock to common stock</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related to convertible debt</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contribution for extinguishment of debt</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related to warrants exercised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Public and Private Warrants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related to the exercise of Public and Private Warrants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obtained in exchange for lease liabilities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CLOVER HEALTH INVESTMENTS, CORP.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 (collectively with its affiliates and subsidiaries, "Clover" or the "Corporation") is singularly focused on creating great, sustainable healthcare to improve every life. Clover has centered its strategy on building and deploying technology through its flagship software platform, the Clover Assistant, to help America’s seniors receive better care at lower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1, 2021, the Corporation's subsidiary Clover Health Partners, LLC, began participating as a Direct Contracting Entity (DCE) in the Global and Professional Direct Contracting Model (DC Model) of the Centers for Medicare and Medicaid Services (CMS), an agency of the United States Department of Health and Human Services.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Clover's DCE, which assumes full risk (i.e., 100.0% shared savings and shared losses) for the total cost of care of aligned Original Medicare beneficiaries (DCE Beneficiaries), focuses on its technology platform to enhance healthcare delivery, reduce expenditures, and improve care for DCE Beneficiaries.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was originally incorporated as a Cayman Islands exempted company on October 18, 2019,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wholly-owned subsidiary of SCH (Merger Sub), was merged with and into Legacy Clover. Pursuant to the Merger Agreement, the separate corporate existence of Merger Sub ceased, Legacy Clover survived and merged with and into SCH, with SCH as the surviving corporation, and SCH was redomesticated as a Delaware corporation and renamed Clover Health Investments, Corp. (the "Business Combination"). The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are disclosed in periodic reports filed with the SEC. As a result of the Business Combination, there were simultaneous changes to Legacy Clover's convertible securities, warrants, and convertible preferred stock. See Note 12 (Notes and Securities Payable), Note 13 (Warrants Payable), and Note 17 (Stockholders' Equity and Convertible Preferred Stock) for additional information regarding these changes. See also Note 3 (Business Combination) for additional information related to the Business Combination.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The Corporation was previously treated as an “emerging growth company” under the Jumpstart Our Business Startups Act of 2012, or the JOBS Act. Effective January 1, 2022, the Corporation is no longer eligible for treatment as an emerging growth company in accordance with SEC’s </w:t>
      </w:r>
      <w:r>
        <w:rPr>
          <w:rFonts w:ascii="Times New Roman;sans-serif" w:hAnsi="Times New Roman;sans-serif"/>
          <w:b w:val="false"/>
          <w:i/>
          <w:color w:val="000000"/>
          <w:sz w:val="20"/>
        </w:rPr>
        <w:t>Topic 10 - Emerging Growth Companies</w:t>
      </w:r>
      <w:r>
        <w:rPr>
          <w:rFonts w:ascii="Times New Roman;sans-serif" w:hAnsi="Times New Roman;sans-serif"/>
          <w:b w:val="false"/>
          <w:color w:val="000000"/>
          <w:sz w:val="20"/>
        </w:rPr>
        <w:t>. Accordingly, the Corporation is now required to adopt all accounting guidance within the same period as all other large accelerated filers. The Corporation has adopted all new or revised accounting guidance as indicated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prepared these consolidated financial statements in accordance with U.S. GAAP, which differs from the statutory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GAAP requires management to make estimates and assumptions that impact the amounts reported in the consolidated financial statements and the accompanying notes.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reinsurance, premium deficiency reserve, warrants, embedded derivative related to the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conform to the current period presentation, prepaid expenses, which were previously included in other assets, current, are presented as a separate line item in the prior year’s Consolidated Balance Sheet. Certain amounts in the prior years’ Consolidated Statements of Cash Flows have been reclassified to conform to the current year’s presentation, primarily related to the amortization of notes and securities discounts and debt issuance costs, change in fair value of warrants payable and amortization of warrants, prepaid expenses, and other assets. Additionally, certain amounts in the prior years’ Consolidated Statement of Operations and Comprehensive Loss have been reclassified to conform to the current year’s presentation, primarily related to MA net medical claims incurred and other medical costs. These reclassifications had no effect on the previously reported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chief operating decision maker is the Chief Executive Officer. The chief operating decision maker manages operations, allocates resources, and evaluates financial performance on a company-wide basis. The Corporation operates in two reporting segments: the MA segment and DC segment.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Corporation’s arrangements with third-party providers require it to guarantee the performance of its care network to CMS. As a result of the Corporation’s participation in the DC Model, the Corporation determined that it was making a performance guarantee with respect to providers of DCE Beneficiaries that should be recognized in the financial statements. Accordingly, a liability for the performance guarantee was recorded on the Consolidated Balance Sheet. Each month, as the performance guarantee is fulfilled, the guarantee is amortized on a straight-line basis for the amount that represents the completed performance. With respect to each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Direct Contracting revenue is also known in the DC Model as CMS’ performance year expenditures and is the primary component used to calculate shared savings or shared loss versus the performance year benchmark. Direct Contracting revenue is representative of CMS’ total expenditures incurred for medical services provided on behalf of DCE Beneficiaries during months in which those beneficiaries were alignment-eligible and aligned to the DCE. Direct Contracting revenue is calculated by taking the sum of the capitation payments made to the Corporation for services within the scope of the Corporation’s capitation arrangement and fee-for-service (FFS) payments made to providers directly from CMS. Additionally, the DCE has entered into a surety bond agreement with CMS and a third-party surety to cover the reserve requirement, which is fifty percent of the amount determined by the CMS agreement.</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Short-term investments consist of investments which the Corporation expects to convert into cash within one year of the balance sheet date,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available-for-sale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which consist entirely of debt securities with fixed or determinable payments and fixed maturity dates, that the Corporation purchases that are not classified as held-to-maturity, are classified as available-for-sale financial assets. The Corporation’s available-for-sale investments are U.S. Treasury fixed maturity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investments are measured at fair value, and unrealized gains and losses, if any, are recorded in other comprehensive income, net of applicable income taxes, until realized from a sale or an expected credit loss is recognized.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held-to-maturity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which consist entirely of debt securities with fixed or determinable payments and fixed maturity dates, where the Corporation has a positive intent and ability to hold to maturity, are classified as held-to-maturity financial assets. The Corporation’s held-to-maturity investments are comprised of U.S. Treasury fixed maturity securities. The held-to-maturity investments are measured at amortized cost using the effective interest method less impairment. Unrealized holding gains or losses are not recognized.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2021, the Corporation adopted the provisions of ASC 326 and modified its accounting policy for the assessment of available-for-sale and held-to-maturity securities for impairment, as further described below. Prior to January 1, 2021, the Corporation applied the other-than-temporary impairment model for available-for-sale securities in an unrealized loss position which did not result in impairments for 2020 or 2019. Beginning on January 1, 2021, the Corporation adopted ASC 326, which retained many similarities from the previous other-than-temporary impairment model but eliminated the consideration of the length of time over which the fair value had been less than cost. Additionally, under ASC 326, the expected losses on securities are recognized through an allowance for credit losses rather than as a reduction in the amortized cost of the security.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Corporation identifies securities that are in an unrealized loss position and could potentially have an impairment.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Corporation considers relevant facts and circumstances in evaluating the impairment of a security. Relevant facts and circumstances considered include (1) the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 (5) changes in credit rating of the security by the rating agencies, and (6) the volatility of the fair value changes. There are a number of significant risks and uncertainties inherent in the process of monitoring impairments.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Corporation’s management to determine the fair value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estimates and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available-for-sale securities whose fair value is less than their amortized cost which the Corporation does not intend to sell or is not required to sell, management evaluates the expected cash flows to be received as compared to amortized cost and determines if an expected credit loss has occurred. In the event of an expected credit loss, only the amount of the impairment related to the expected credit loss is recognized in income with the remainder, if any, of the loss recognized in other comprehensive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Corporation has the intent to sell the security or it is more likely than not that the Corporation will be required to sell the security before recovery of the amortized cost basis, management recognizes an impairment loss in income in an amount equal to the full difference between the amortized cost basis and the fair value.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2021, 2020, and 2019, respectively, there has been no impairment loss reported.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Held-to-maturity securities are evaluated for potential credit loss on a collective basis. The estimate of credit losses considers historical credit loss information that is adjusted for current conditions and reasonable and supportable forecasts.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Allowance for expected credit losses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assesses outstanding receivables at each period for credit risk. The majority of receivables are from CMS, a United States government entity that presents very limited credit risk.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consists of income from operating subleases, miscellaneous revenue, investment income, and commissions.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income includes interest, dividends received or accrued on investments, and realized gains or losses. Investment income is reported as earned and is presented net of related investment expenses and expected credit losses. Realized gains or losses are recognized based on the specific identification method. Purchases and sales are recorded on a trade-date basis.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includes three levels of inputs based on the degree to which the exit price is independently observable or determinable that may be used to measure fair value as described below:</w:t>
      </w:r>
    </w:p>
    <w:p>
      <w:pPr>
        <w:pStyle w:val="TextBody"/>
        <w:spacing w:lineRule="auto" w:line="288" w:before="240" w:after="283"/>
        <w:jc w:val="both"/>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Valuations are based on quoted (unadjusted) market prices in active markets for identical assets or liabilities. Since valuations are based on quoted 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pStyle w:val="TextBody"/>
        <w:spacing w:lineRule="auto" w:line="288" w:before="240" w:after="283"/>
        <w:jc w:val="both"/>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Valuations are based on observable inputs other than Level 1 prices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pStyle w:val="TextBody"/>
        <w:spacing w:lineRule="auto" w:line="288" w:before="240" w:after="283"/>
        <w:jc w:val="both"/>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Valuations are based on techniques that use significant inputs that are unobservable and reflect management’s best estimate of what market 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The Corporation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 with its reinsurers.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 - cloud computing arrangements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cloud computing arrangements mostly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in other assets, and are generally amortized over the fixed, non-cancelable term of the associated hosting arrangement on a straight-line basis.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Deferred acquisition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costs directly related to the successful acquisition of new business, which is primarily made up of commissions costs, are deferred and subsequently amortized. Deferred acquisition costs are recorded as other assets on the Consolidated Balance Sheet and are amortized over the estimated life of the related contracts. The amortization of deferred acquisition costs is recorded in general and administrative expenses in the Consolidated Statement of Operations and Comprehensive Loss. As of December 31, 2021, there were no deferred acquisition costs as a result of the acceleration of amortization for deferred acquisition costs due to the recognition of a premium deficiency reserve during the year ended December 31, 2021. For the year ended December 31, 2021, amortization expense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deferred acquisition costs of $10.7 million was recognized in general and administrative expenses. There was no amortization expense of deferred acquisition costs for the years ended December 31, 2020 and 2019.</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other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Goodwill and other intangible assets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a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2021, 2020, and 2019, respectively, there were no circumstances that indicate that the carrying amount of intangible assets deemed to have an indefinite useful life may not be recoverable.</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Reinsurance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Corporation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expected credit losses of reinsurance recoverable is evaluated based upon a number of factors. Such factors include the amounts outstanding, history of losses, ratings of reinsurers, disputes, any collateral or letters of credit held and other relevant factors. The Corporation had no material credit allowances for reinsurance recoverable as of December 31, 2021 and 2020,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Unpaid claims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Unpaid claims and unpaid claims adjustment expenses include reported claims and incurred but not yet reported (IBNR) claims, as well as the estimated expense of processing these claims. Management develops an estimate for IBNR using actuarial methodologies and assumptions, primarily based upon historical claim experience.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Corporation’s reserving practice is to consistently recognize an actuarial best estimate inclusive of a provision for moderately adverse conditions. This provision is reported as part of incurred claims.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Medical claims incurred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recognizes the cost of medical claims in the period in which services are provided, including an estimate of the cost of medical claims IBNR. This methodology is applied for both the Corporation’s MA and Direct Contracting operations. Medical claim expense reported in the Consolidated Statements of Operations and Comprehensive Loss includes direct medical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 medical expenses include amounts paid or payable to hospitals, physicians, pharmacy benefit managers, providers of ancillary services, mandatory supplemental benefits, and is inclusive of the medical expense related to the Corporation’s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liability for premium deficiency reserves is an actuarial estimate for anticipated losses on the Corporation’s MA and MA Part D (MAPD) business.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calculating premium deficiency reserves, management groups contracts in a manner consistent with the method of acquiring, servicing, and measuring the profitability of such contracts.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was inclusive of the 2020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$8.0 million for the HIF in 2020, which is reflected in the Consolidated Statements of Operations and Comprehensive Loss.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Notes and securities payable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Non-convertible notes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records the non-convertible notes at carrying value, net of discounts on the Consolidated Balance Sheets.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Premiums earned, net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anticipated to be received within twelve months based on the documented diagnostic criteria of the Corporation’s enrollees are estimated and included in revenue for the period including the member months for which the payment is designated by CMS.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 the Corporation’s Consolidated Statements of Operations and Comprehensive Loss, based upon available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MAPD revenue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received from CMS and members from Clover’s participation in the MAPD program are determined from the Corporation’s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from CMS for reinsurance and low-income cost subsidies are based on assumptions submitted with the annual bid. A reconciliation and related settlement of CMS’ prospective subsidies against actual prescription drug costs paid is made after the end of the year. Consumer discounts of 50.0%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The Corporation has sublease arrangements and recognizes sublease income from leasing excess space. Sublease income is recognized on a straight-line basis over the sublease term. As of December 31, 2021 and 2020, respectively, the Corporation does not have any financing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2021 and 2020, respectively, the Corporation has not included optional extension periods in the measurement of its leases as they are not reasonably certain of exercise. The Corporation monitors its plans to renew its material leases on a quarterly basis.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pStyle w:val="TextBody"/>
        <w:spacing w:lineRule="auto" w:line="288" w:before="240" w:after="283"/>
        <w:jc w:val="both"/>
        <w:rPr/>
      </w:pPr>
      <w:r>
        <w:rPr>
          <w:rFonts w:ascii="Times New Roman;sans-serif" w:hAnsi="Times New Roman;sans-serif"/>
          <w:b w:val="false"/>
          <w:color w:val="000000"/>
          <w:sz w:val="20"/>
        </w:rPr>
        <w:t xml:space="preserve">In determining the classification of a lease as operating or finance,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75.0% to represent “a major part” and 90.0% to represent “substantially all” as allowed in ASC 842 in evaluating leases for appropriate classification. These are applied consistently to the Corporation’s entire portfolio of leases.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Corporation accounts for all stock-based payment awards granted to employees and non-employees as stock-based compensation expense at fair value. The Corporation’s stock-based payments include stock options, restricted stock units, and grants of common stock, including common stock subject to vesting. The measurement date for employee awards is the grant date, and stock-based compensation costs are recognized as expense over the employees’ requisite service period, which is the vesting period, on a straight-line basis. Nonemployee share-based payment equity awards are measured at the grant-date fair value of the equity instruments, similar to employee share-based payment equity awards. Stock-based compensation costs for non-employees are recognized as expense over the vesting period on a straight-line basis. Stock-based compensation expense is classified in the accompanying </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Loss in salaries and benefits. The Corporation recognizes stock-based compensation expense for the portion of awards that have vested. Forfeitures are recorded as they occur.</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 is estimated on the date of grant using the Black-Scholes option-pricing model.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Comprehensive income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is a measurement of certain changes in stockholders’ equity that results from transactions and other economic events other than transactions with the stockholders. The cumulative amount of these changes is reported on the Consolidated Balance Sheets.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Federal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2021 and 2020, respectively, sufficient doubt existed over the Corporation’s ability to generate sufficient taxable income to realize its deferred income tax assets, and accordingly, the Corporation has provided a full valuation allowance against its deferred tax assets.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material uncertain tax positions during the years ended December 31, 2021 and 2020,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2021, 2020, and 2019,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follows the two-class method when computing net loss per share as the Corporation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potentially dilutive common shares. For purpose of this calculation, outstanding stock options, convertible preferred stock and warrants to purchase shares of convertible preferred stock are considered potential dilutive common shares.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convertible preferred stock contractually entitled the holders of such shares to participate in dividends but did not contractually require the holders of such shares to participate in losses of the Corporation. Accordingly, in periods in which the Corporation reported a net loss attributable to common stockholders, such losses were not allocated to such participating securities.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the Corporation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Corporation reported a net loss attributable to common stockholders for the years ended December 31, 2021, 2020, and 2019.</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COVID-19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societal and economic impact of the novel coronavirus (COVID-19) pandemic is continuing to evolve, and the ultimate impact on the Corporation’s business, results of operations, financial condition, and cash flows is uncertain and difficult to predict. The global pandemic has severely impacted businesses worldwide, including many in the health insurance sector. In response to the pandemic, the Corporation has implemented additional steps related to its care delivery, member support, and internal policies and operations.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lineRule="auto" w:line="288" w:before="240" w:after="283"/>
        <w:jc w:val="both"/>
        <w:rPr/>
      </w:pPr>
      <w:r>
        <w:rPr>
          <w:rFonts w:ascii="Times New Roman;sans-serif" w:hAnsi="Times New Roman;sans-serif"/>
          <w:b w:val="false"/>
          <w:color w:val="000000"/>
          <w:sz w:val="20"/>
        </w:rPr>
        <w:t xml:space="preserve">In August 2018, the Financial Accounting Standards Board (the "FASB") issued Accounting Standard Update (ASU) 2018-13, </w:t>
      </w:r>
      <w:r>
        <w:rPr>
          <w:rFonts w:ascii="Times New Roman;sans-serif" w:hAnsi="Times New Roman;sans-serif"/>
          <w:b w:val="false"/>
          <w:i/>
          <w:color w:val="000000"/>
          <w:sz w:val="20"/>
        </w:rPr>
        <w:t>Changes to Disclosure Requirements for Fair Value Measurements</w:t>
      </w:r>
      <w:r>
        <w:rPr>
          <w:rFonts w:ascii="Times New Roman;sans-serif" w:hAnsi="Times New Roman;sans-serif"/>
          <w:b w:val="false"/>
          <w:color w:val="000000"/>
          <w:sz w:val="20"/>
        </w:rPr>
        <w:t>, the purpose of which is to improve the effectiveness of disclosure requirements for recurring and nonrecurring 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Cloud computing arrangements</w:t>
      </w:r>
    </w:p>
    <w:p>
      <w:pPr>
        <w:pStyle w:val="TextBody"/>
        <w:spacing w:lineRule="auto" w:line="288" w:before="240" w:after="283"/>
        <w:jc w:val="both"/>
        <w:rPr/>
      </w:pPr>
      <w:r>
        <w:rPr>
          <w:rFonts w:ascii="Times New Roman;sans-serif" w:hAnsi="Times New Roman;sans-serif"/>
          <w:b w:val="false"/>
          <w:color w:val="000000"/>
          <w:sz w:val="20"/>
        </w:rPr>
        <w:t xml:space="preserve">In August 2018, the FASB issued ASU 2018-15, </w:t>
      </w:r>
      <w:r>
        <w:rPr>
          <w:rFonts w:ascii="Times New Roman;sans-serif" w:hAnsi="Times New Roman;sans-serif"/>
          <w:b w:val="false"/>
          <w:i/>
          <w:color w:val="000000"/>
          <w:sz w:val="20"/>
        </w:rPr>
        <w:t>Intangibles – Goodwill and Other (Topic 350) – Internal Use Software: Customer's Accounting for Implementation Costs Incurred in a Cloud Computing Arrangement That Is a Service Contract</w:t>
      </w:r>
      <w:r>
        <w:rPr>
          <w:rFonts w:ascii="Times New Roman;sans-serif" w:hAnsi="Times New Roman;sans-serif"/>
          <w:b w:val="false"/>
          <w:color w:val="000000"/>
          <w:sz w:val="20"/>
        </w:rPr>
        <w:t xml:space="preserve">. This update changes the accounting guidance for cloud computing arrangements. If a cloud computing arrangement includes a license to internal-use software, the software license is accounted for by the customer by recognizing an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Consolidated Balance Sheet in other assets, current and are amortized on a straight-line basis over the term of the underlying cloud computing hosting contract, which is the noncancelable term of the arrangement plus any reasonably certain renewal periods. As of December 31, 2021, $5.9 million was recorded in other assets, current, as deferred implementation costs. For the year ended December 31, 2021, amortization expense associated with the Corporation’s cloud computing arrangements was $0.7 million. No </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impairment was recognized during the year ended December 31, 2021, as there were no events or changes in circumstances to indicate that the carrying amount of the Corporation's cloud computing arrangements may not be recoverable.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w:t>
      </w:r>
    </w:p>
    <w:p>
      <w:pPr>
        <w:pStyle w:val="TextBody"/>
        <w:spacing w:lineRule="auto" w:line="288" w:before="240" w:after="283"/>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Instruments—Credit Losses (Topic 326): Measurement of Credit Losses on Financial Instruments</w:t>
      </w:r>
      <w:r>
        <w:rPr>
          <w:rFonts w:ascii="Times New Roman;sans-serif" w:hAnsi="Times New Roman;sans-serif"/>
          <w:b w:val="false"/>
          <w:color w:val="000000"/>
          <w:sz w:val="20"/>
        </w:rPr>
        <w:t>, which was subsequently modified by several ASUs issued in 2018 and 2019. The guidance introduces a new current expected credit loss (CECL)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The Corporation’s investment portfolio consists primarily of available-for-sale and held-to-maturity debt securities. ASU 2016-13 is effective for nonpublic entities in fiscal years beginning after December 15, 2022, and public entities beginning after December 15, 2021. The Corporation adopted ASU 2016-13 on January 1, 2021. Due to the high concentration of the Corporation’s financial assets with the federal government, the Corporation has determined that most of these assets pose zero nonpayment risk; consequently, the adoption of ASU 2016-13 did not have a material impact on the Corporation’s financial statements.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other intangible assets</w:t>
      </w:r>
    </w:p>
    <w:p>
      <w:pPr>
        <w:pStyle w:val="TextBody"/>
        <w:spacing w:lineRule="auto" w:line="288" w:before="240" w:after="283"/>
        <w:jc w:val="both"/>
        <w:rPr/>
      </w:pPr>
      <w:r>
        <w:rPr>
          <w:rFonts w:ascii="Times New Roman;sans-serif" w:hAnsi="Times New Roman;sans-serif"/>
          <w:b w:val="false"/>
          <w:color w:val="000000"/>
          <w:sz w:val="20"/>
        </w:rPr>
        <w:t xml:space="preserve">In January 2017, the FASB issued ASU 2017-04, </w:t>
      </w:r>
      <w:r>
        <w:rPr>
          <w:rFonts w:ascii="Times New Roman;sans-serif" w:hAnsi="Times New Roman;sans-serif"/>
          <w:b w:val="false"/>
          <w:i/>
          <w:color w:val="000000"/>
          <w:sz w:val="20"/>
        </w:rPr>
        <w:t>Intangibles – Goodwill and Other (Topic 350): Simplifying the Test for Goodwill Impairment</w:t>
      </w:r>
      <w:r>
        <w:rPr>
          <w:rFonts w:ascii="Times New Roman;sans-serif" w:hAnsi="Times New Roman;sans-serif"/>
          <w:b w:val="false"/>
          <w:color w:val="000000"/>
          <w:sz w:val="20"/>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adopted ASU 2017-04 on January 1, 2021. The adoption of ASU 2017-04 did not have an impact on the Corporation’s financial statements.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240" w:after="283"/>
        <w:jc w:val="both"/>
        <w:rPr/>
      </w:pPr>
      <w:r>
        <w:rPr>
          <w:rFonts w:ascii="Times New Roman;sans-serif" w:hAnsi="Times New Roman;sans-serif"/>
          <w:b w:val="false"/>
          <w:color w:val="000000"/>
          <w:sz w:val="20"/>
        </w:rPr>
        <w:t xml:space="preserve">In December 2019, the FASB issued ASU 2019-12,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adopted this standard on January 1, 2021. The adoption of ASU 2019-12 did not have an impact on the Corporation’s financial statements.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convertible instruments and contracts in an entity's own equity</w:t>
      </w:r>
    </w:p>
    <w:p>
      <w:pPr>
        <w:pStyle w:val="TextBody"/>
        <w:spacing w:lineRule="auto" w:line="288" w:before="240" w:after="283"/>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Debt—Debt with Conversion and Other Options (Subtopic 470-20) and Derivatives and Hedging—Contracts in Entity's Own Equity (Subtopic 815-40)</w:t>
      </w:r>
      <w:r>
        <w:rPr>
          <w:rFonts w:ascii="Times New Roman;sans-serif" w:hAnsi="Times New Roman;sans-serif"/>
          <w:b w:val="false"/>
          <w:color w:val="000000"/>
          <w:sz w:val="20"/>
        </w:rPr>
        <w:t>. The amendments in ASU 2020-06 simplify the accounting for convertible instruments by removing 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 2021. The Corporation adopted this standard on January 1, 2022. The adoption of ASU 2020-06 did not have an impact on the Corporation’s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2020, Legacy Clover entered into a Merger Agreement with SCH, a SPAC, and Merger Sub. On January 7, 2021, as contemplated by the Merger Agreement and following approval by SCH's shareholders at an extraordinary general meeting held January 6, 2021 (the "Special Meeting"):</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Merger Sub merged with and into Legacy Clover, the separate corporate existence of Merger Sub ceased and Legacy Clover became the surviving corporation and a wholly-owned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Mergers, among other things, (i) all outstanding shares of common stock of Legacy Clover immediately prior to the effective time of the First Merger were canceled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had not been previously separated into the underlying Class A ordinary share and underlying warrant of SCH upon the request of the holder thereof, was canceled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and, together with the Public Warrants, the “Warrants”). Each whole Warrant entitled the registered holder to purchase one whole share of Class A Common Stock at a price of $11.50 per share, subject to adjustment at any time commencing on April 24, 2021, which was 12 months from the closing of SCH's initial public offering.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is authorized to issue 25,000,000 shares of preferred stock having a par value of $0.0001 per share. See Note 17 (Stockholders' Equity and Convertible Preferred Stock) for additional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has had and will have a significant impact on the Corporation's future reported financial position and results 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also Note 12 (Notes and Securities Payable), Note 13 (Warrants Payable), and Note 17 (Stockholders' Equity and Convertible Preferred Stock) for additional information regarding changes to the instruments as a result of the Business Combination.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4. Investment Securities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amortized cost and fair values of investments as of December 31, 2021, and December 31, 2020, respectively:</w:t>
      </w:r>
    </w:p>
    <w:tbl>
      <w:tblPr>
        <w:tblW w:w="10205" w:type="dxa"/>
        <w:jc w:val="left"/>
        <w:tblInd w:w="0" w:type="dxa"/>
        <w:tblCellMar>
          <w:top w:w="28" w:type="dxa"/>
          <w:left w:w="28" w:type="dxa"/>
          <w:bottom w:w="28" w:type="dxa"/>
          <w:right w:w="28" w:type="dxa"/>
        </w:tblCellMar>
      </w:tblPr>
      <w:tblGrid>
        <w:gridCol w:w="1109"/>
        <w:gridCol w:w="914"/>
        <w:gridCol w:w="918"/>
        <w:gridCol w:w="109"/>
        <w:gridCol w:w="109"/>
        <w:gridCol w:w="109"/>
        <w:gridCol w:w="221"/>
        <w:gridCol w:w="867"/>
        <w:gridCol w:w="114"/>
        <w:gridCol w:w="109"/>
        <w:gridCol w:w="109"/>
        <w:gridCol w:w="109"/>
        <w:gridCol w:w="547"/>
        <w:gridCol w:w="938"/>
        <w:gridCol w:w="286"/>
        <w:gridCol w:w="109"/>
        <w:gridCol w:w="109"/>
        <w:gridCol w:w="109"/>
        <w:gridCol w:w="395"/>
        <w:gridCol w:w="1186"/>
        <w:gridCol w:w="206"/>
        <w:gridCol w:w="109"/>
        <w:gridCol w:w="109"/>
        <w:gridCol w:w="109"/>
        <w:gridCol w:w="211"/>
        <w:gridCol w:w="826"/>
        <w:gridCol w:w="159"/>
      </w:tblGrid>
      <w:tr>
        <w:trPr/>
        <w:tc>
          <w:tcPr>
            <w:tcW w:w="1109"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941"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9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41"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1"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4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198,669 </w:t>
            </w:r>
          </w:p>
        </w:tc>
        <w:tc>
          <w:tcPr>
            <w:tcW w:w="1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1" w:type="dxa"/>
            <w:gridSpan w:val="3"/>
            <w:tcBorders/>
            <w:shd w:fill="CFF0FC" w:val="clear"/>
            <w:tcMar>
              <w:top w:w="0" w:type="dxa"/>
              <w:left w:w="0" w:type="dxa"/>
              <w:bottom w:w="0" w:type="dxa"/>
              <w:right w:w="0" w:type="dxa"/>
            </w:tcMar>
            <w:vAlign w:val="center"/>
          </w:tcPr>
          <w:p>
            <w:pPr>
              <w:pStyle w:val="TableContents"/>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199,309 </w:t>
            </w:r>
          </w:p>
        </w:tc>
        <w:tc>
          <w:tcPr>
            <w:tcW w:w="1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197,406 </w:t>
            </w:r>
          </w:p>
        </w:tc>
        <w:tc>
          <w:tcPr>
            <w:tcW w:w="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1139"/>
        <w:gridCol w:w="943"/>
        <w:gridCol w:w="948"/>
        <w:gridCol w:w="109"/>
        <w:gridCol w:w="109"/>
        <w:gridCol w:w="109"/>
        <w:gridCol w:w="234"/>
        <w:gridCol w:w="800"/>
        <w:gridCol w:w="121"/>
        <w:gridCol w:w="109"/>
        <w:gridCol w:w="109"/>
        <w:gridCol w:w="109"/>
        <w:gridCol w:w="557"/>
        <w:gridCol w:w="954"/>
        <w:gridCol w:w="291"/>
        <w:gridCol w:w="109"/>
        <w:gridCol w:w="109"/>
        <w:gridCol w:w="109"/>
        <w:gridCol w:w="528"/>
        <w:gridCol w:w="1016"/>
        <w:gridCol w:w="274"/>
        <w:gridCol w:w="109"/>
        <w:gridCol w:w="109"/>
        <w:gridCol w:w="109"/>
        <w:gridCol w:w="211"/>
        <w:gridCol w:w="721"/>
        <w:gridCol w:w="160"/>
      </w:tblGrid>
      <w:tr>
        <w:trPr/>
        <w:tc>
          <w:tcPr>
            <w:tcW w:w="1139"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1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4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30"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8"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8"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53,953 </w:t>
            </w:r>
          </w:p>
        </w:tc>
        <w:tc>
          <w:tcPr>
            <w:tcW w:w="1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FF0FC" w:val="clear"/>
            <w:tcMar>
              <w:top w:w="0" w:type="dxa"/>
              <w:left w:w="0" w:type="dxa"/>
              <w:bottom w:w="0" w:type="dxa"/>
              <w:right w:w="0" w:type="dxa"/>
            </w:tcMar>
            <w:vAlign w:val="center"/>
          </w:tcPr>
          <w:p>
            <w:pPr>
              <w:pStyle w:val="TableContents"/>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54,647 </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54,700 </w:t>
            </w:r>
          </w:p>
        </w:tc>
        <w:tc>
          <w:tcPr>
            <w:tcW w:w="16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and fair value of debt securities as of December 31, 2021, by contractual maturity:</w:t>
      </w:r>
    </w:p>
    <w:tbl>
      <w:tblPr>
        <w:tblW w:w="9021" w:type="dxa"/>
        <w:jc w:val="left"/>
        <w:tblInd w:w="0" w:type="dxa"/>
        <w:tblCellMar>
          <w:top w:w="28" w:type="dxa"/>
          <w:left w:w="28" w:type="dxa"/>
          <w:bottom w:w="28" w:type="dxa"/>
          <w:right w:w="28" w:type="dxa"/>
        </w:tblCellMar>
      </w:tblPr>
      <w:tblGrid>
        <w:gridCol w:w="1137"/>
        <w:gridCol w:w="997"/>
        <w:gridCol w:w="1000"/>
        <w:gridCol w:w="109"/>
        <w:gridCol w:w="109"/>
        <w:gridCol w:w="109"/>
        <w:gridCol w:w="337"/>
        <w:gridCol w:w="747"/>
        <w:gridCol w:w="176"/>
        <w:gridCol w:w="109"/>
        <w:gridCol w:w="109"/>
        <w:gridCol w:w="109"/>
        <w:gridCol w:w="233"/>
        <w:gridCol w:w="516"/>
        <w:gridCol w:w="120"/>
        <w:gridCol w:w="109"/>
        <w:gridCol w:w="109"/>
        <w:gridCol w:w="109"/>
        <w:gridCol w:w="232"/>
        <w:gridCol w:w="908"/>
        <w:gridCol w:w="119"/>
        <w:gridCol w:w="109"/>
        <w:gridCol w:w="109"/>
        <w:gridCol w:w="109"/>
        <w:gridCol w:w="211"/>
        <w:gridCol w:w="826"/>
        <w:gridCol w:w="154"/>
      </w:tblGrid>
      <w:tr>
        <w:trPr/>
        <w:tc>
          <w:tcPr>
            <w:tcW w:w="1137"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7"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Available-for-sale</w:t>
            </w:r>
          </w:p>
        </w:tc>
      </w:tr>
      <w:tr>
        <w:trPr/>
        <w:tc>
          <w:tcPr>
            <w:tcW w:w="31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0"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34"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21,142 </w:t>
            </w:r>
          </w:p>
        </w:tc>
        <w:tc>
          <w:tcPr>
            <w:tcW w:w="1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134"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198,669 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respectively, net investment income, which is included within other income in the Consolidated Statements of Operations and Comprehensive Loss, was derived from the following sources:</w:t>
      </w:r>
    </w:p>
    <w:tbl>
      <w:tblPr>
        <w:tblW w:w="6452" w:type="dxa"/>
        <w:jc w:val="left"/>
        <w:tblInd w:w="0" w:type="dxa"/>
        <w:tblCellMar>
          <w:top w:w="28" w:type="dxa"/>
          <w:left w:w="28" w:type="dxa"/>
          <w:bottom w:w="28" w:type="dxa"/>
          <w:right w:w="28" w:type="dxa"/>
        </w:tblCellMar>
      </w:tblPr>
      <w:tblGrid>
        <w:gridCol w:w="820"/>
        <w:gridCol w:w="720"/>
        <w:gridCol w:w="724"/>
        <w:gridCol w:w="109"/>
        <w:gridCol w:w="109"/>
        <w:gridCol w:w="109"/>
        <w:gridCol w:w="109"/>
        <w:gridCol w:w="109"/>
        <w:gridCol w:w="112"/>
        <w:gridCol w:w="112"/>
        <w:gridCol w:w="217"/>
        <w:gridCol w:w="481"/>
        <w:gridCol w:w="112"/>
        <w:gridCol w:w="112"/>
        <w:gridCol w:w="112"/>
        <w:gridCol w:w="112"/>
        <w:gridCol w:w="217"/>
        <w:gridCol w:w="636"/>
        <w:gridCol w:w="112"/>
        <w:gridCol w:w="109"/>
        <w:gridCol w:w="109"/>
        <w:gridCol w:w="109"/>
        <w:gridCol w:w="211"/>
        <w:gridCol w:w="616"/>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5"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41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and fair values aggregated by investment category and length of time that individual securities have been in a continuous unrealized loss position were as follows at December 31, 2021:</w:t>
      </w:r>
    </w:p>
    <w:tbl>
      <w:tblPr>
        <w:tblW w:w="10205" w:type="dxa"/>
        <w:jc w:val="left"/>
        <w:tblInd w:w="0" w:type="dxa"/>
        <w:tblCellMar>
          <w:top w:w="28" w:type="dxa"/>
          <w:left w:w="28" w:type="dxa"/>
          <w:bottom w:w="28" w:type="dxa"/>
          <w:right w:w="28" w:type="dxa"/>
        </w:tblCellMar>
      </w:tblPr>
      <w:tblGrid>
        <w:gridCol w:w="888"/>
        <w:gridCol w:w="648"/>
        <w:gridCol w:w="651"/>
        <w:gridCol w:w="211"/>
        <w:gridCol w:w="826"/>
        <w:gridCol w:w="109"/>
        <w:gridCol w:w="109"/>
        <w:gridCol w:w="109"/>
        <w:gridCol w:w="109"/>
        <w:gridCol w:w="226"/>
        <w:gridCol w:w="698"/>
        <w:gridCol w:w="116"/>
        <w:gridCol w:w="109"/>
        <w:gridCol w:w="109"/>
        <w:gridCol w:w="109"/>
        <w:gridCol w:w="211"/>
        <w:gridCol w:w="616"/>
        <w:gridCol w:w="109"/>
        <w:gridCol w:w="109"/>
        <w:gridCol w:w="109"/>
        <w:gridCol w:w="109"/>
        <w:gridCol w:w="270"/>
        <w:gridCol w:w="616"/>
        <w:gridCol w:w="140"/>
        <w:gridCol w:w="109"/>
        <w:gridCol w:w="109"/>
        <w:gridCol w:w="109"/>
        <w:gridCol w:w="211"/>
        <w:gridCol w:w="826"/>
        <w:gridCol w:w="109"/>
        <w:gridCol w:w="109"/>
        <w:gridCol w:w="109"/>
        <w:gridCol w:w="109"/>
        <w:gridCol w:w="225"/>
        <w:gridCol w:w="696"/>
        <w:gridCol w:w="168"/>
      </w:tblGrid>
      <w:tr>
        <w:trPr/>
        <w:tc>
          <w:tcPr>
            <w:tcW w:w="88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2513"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9"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r>
      <w:tr>
        <w:trPr/>
        <w:tc>
          <w:tcPr>
            <w:tcW w:w="2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8"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number of positions)</w:t>
            </w:r>
          </w:p>
        </w:tc>
      </w:tr>
      <w:tr>
        <w:trPr/>
        <w:tc>
          <w:tcPr>
            <w:tcW w:w="2187"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187,251 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4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68"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87"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positions</w:t>
            </w:r>
          </w:p>
        </w:tc>
        <w:tc>
          <w:tcPr>
            <w:tcW w:w="2397" w:type="dxa"/>
            <w:gridSpan w:val="8"/>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6"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9" w:type="dxa"/>
            <w:gridSpan w:val="8"/>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0"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8"/>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8"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did not record any credit allowances for debt securities that were in an unrealized loss position as of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December 31, 2021, were assessed, based on, among other things: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relative magnitude to which fair values of these securities have been below their amortized cost was not indicative of an impairment loss;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absence of compelling evidence that would cause the Corporation to call into question the financial condition or near-term prospects of the issuer of the applicable security;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Corporation's ability and intent to hold the applicable security for a period of time sufficient to allow for any anticipated recovery.</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sales and maturities of investment securities, inclusive of short-term investments, and related gross realized gains (losses) which are included within other income in the Consolidated Statements of Operations and Comprehensive Loss, were as follows for the years ended December 31, 2021, 2020, and 2019, respectively:</w:t>
      </w:r>
    </w:p>
    <w:tbl>
      <w:tblPr>
        <w:tblW w:w="8979" w:type="dxa"/>
        <w:jc w:val="left"/>
        <w:tblInd w:w="0" w:type="dxa"/>
        <w:tblCellMar>
          <w:top w:w="28" w:type="dxa"/>
          <w:left w:w="28" w:type="dxa"/>
          <w:bottom w:w="28" w:type="dxa"/>
          <w:right w:w="28" w:type="dxa"/>
        </w:tblCellMar>
      </w:tblPr>
      <w:tblGrid>
        <w:gridCol w:w="1478"/>
        <w:gridCol w:w="1299"/>
        <w:gridCol w:w="1302"/>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78"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7" w:type="dxa"/>
            <w:gridSpan w:val="11"/>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December 31, 2020, the Corporation had $11.1 million and $7.5 million, respectively, in deposits with various states and regulatory bodies that are included as part of the Corporation's investment balances.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fair value measurements for financial instruments as of December 31, 2021, and December 31, 2020, respectively:</w:t>
      </w:r>
    </w:p>
    <w:tbl>
      <w:tblPr>
        <w:tblW w:w="8698" w:type="dxa"/>
        <w:jc w:val="left"/>
        <w:tblInd w:w="0" w:type="dxa"/>
        <w:tblCellMar>
          <w:top w:w="28" w:type="dxa"/>
          <w:left w:w="28" w:type="dxa"/>
          <w:bottom w:w="28" w:type="dxa"/>
          <w:right w:w="28" w:type="dxa"/>
        </w:tblCellMar>
      </w:tblPr>
      <w:tblGrid>
        <w:gridCol w:w="1297"/>
        <w:gridCol w:w="1142"/>
        <w:gridCol w:w="1146"/>
        <w:gridCol w:w="109"/>
        <w:gridCol w:w="109"/>
        <w:gridCol w:w="109"/>
        <w:gridCol w:w="213"/>
        <w:gridCol w:w="411"/>
        <w:gridCol w:w="110"/>
        <w:gridCol w:w="109"/>
        <w:gridCol w:w="109"/>
        <w:gridCol w:w="109"/>
        <w:gridCol w:w="211"/>
        <w:gridCol w:w="826"/>
        <w:gridCol w:w="109"/>
        <w:gridCol w:w="109"/>
        <w:gridCol w:w="109"/>
        <w:gridCol w:w="109"/>
        <w:gridCol w:w="213"/>
        <w:gridCol w:w="411"/>
        <w:gridCol w:w="110"/>
        <w:gridCol w:w="109"/>
        <w:gridCol w:w="109"/>
        <w:gridCol w:w="109"/>
        <w:gridCol w:w="211"/>
        <w:gridCol w:w="826"/>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3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86"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54" w:type="dxa"/>
            <w:tcBorders/>
            <w:shd w:fill="CFF0FC"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005" w:type="dxa"/>
        <w:jc w:val="left"/>
        <w:tblInd w:w="0" w:type="dxa"/>
        <w:tblCellMar>
          <w:top w:w="28" w:type="dxa"/>
          <w:left w:w="28" w:type="dxa"/>
          <w:bottom w:w="28" w:type="dxa"/>
          <w:right w:w="28" w:type="dxa"/>
        </w:tblCellMar>
      </w:tblPr>
      <w:tblGrid>
        <w:gridCol w:w="1297"/>
        <w:gridCol w:w="1142"/>
        <w:gridCol w:w="1146"/>
        <w:gridCol w:w="109"/>
        <w:gridCol w:w="109"/>
        <w:gridCol w:w="109"/>
        <w:gridCol w:w="213"/>
        <w:gridCol w:w="411"/>
        <w:gridCol w:w="110"/>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093"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154" w:type="dxa"/>
            <w:tcBorders/>
            <w:shd w:fill="CFF0FC"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09"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FF0FC"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54" w:type="dxa"/>
            <w:tcBorders>
              <w:top w:val="doub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142,592 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(Notes and Securities Payable), Note 13 (Warrants Payable), and Note 14 (Derivative Liabilities) for additional information regarding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convertible securities was based on Level 3 inputs, which were unobservable and reflect management’s best estimate of what market participants would use when pricing the asset or liability, including assumptions about risk. There was no fair value associated with convertible securities at December 31, 2021, due to the conversion of the securities to shares of the Corporation’s common stock due to the completion of the Business Combination, and the estimated fair value of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inputs used in the Black-Scholes model to measure the warrants payable that are categorized within Level 3 of the fair value hierarchy, as of the year ended December 31, 2020, are as follows:</w:t>
      </w:r>
    </w:p>
    <w:tbl>
      <w:tblPr>
        <w:tblW w:w="8632" w:type="dxa"/>
        <w:jc w:val="left"/>
        <w:tblInd w:w="0" w:type="dxa"/>
        <w:tblCellMar>
          <w:top w:w="28" w:type="dxa"/>
          <w:left w:w="28" w:type="dxa"/>
          <w:bottom w:w="28" w:type="dxa"/>
          <w:right w:w="28" w:type="dxa"/>
        </w:tblCellMar>
      </w:tblPr>
      <w:tblGrid>
        <w:gridCol w:w="694"/>
        <w:gridCol w:w="611"/>
        <w:gridCol w:w="614"/>
        <w:gridCol w:w="109"/>
        <w:gridCol w:w="109"/>
        <w:gridCol w:w="109"/>
        <w:gridCol w:w="1009"/>
        <w:gridCol w:w="1009"/>
        <w:gridCol w:w="1012"/>
        <w:gridCol w:w="109"/>
        <w:gridCol w:w="109"/>
        <w:gridCol w:w="109"/>
        <w:gridCol w:w="559"/>
        <w:gridCol w:w="1633"/>
        <w:gridCol w:w="837"/>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63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stock purchase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purchase warrants</w:t>
            </w:r>
          </w:p>
        </w:tc>
      </w:tr>
      <w:tr>
        <w:trPr/>
        <w:tc>
          <w:tcPr>
            <w:tcW w:w="191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stock price</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5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837"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Strike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8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83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years</w:t>
            </w:r>
          </w:p>
        </w:tc>
      </w:tr>
      <w:tr>
        <w:trPr/>
        <w:tc>
          <w:tcPr>
            <w:tcW w:w="19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837"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factor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8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balances of Level 3 financial liabilities during the years ended December 31, 2021 and 2020, respectively, are as follows:</w:t>
      </w:r>
    </w:p>
    <w:tbl>
      <w:tblPr>
        <w:tblW w:w="10205" w:type="dxa"/>
        <w:jc w:val="left"/>
        <w:tblInd w:w="0" w:type="dxa"/>
        <w:tblCellMar>
          <w:top w:w="28" w:type="dxa"/>
          <w:left w:w="28" w:type="dxa"/>
          <w:bottom w:w="28" w:type="dxa"/>
          <w:right w:w="28" w:type="dxa"/>
        </w:tblCellMar>
      </w:tblPr>
      <w:tblGrid>
        <w:gridCol w:w="853"/>
        <w:gridCol w:w="730"/>
        <w:gridCol w:w="733"/>
        <w:gridCol w:w="109"/>
        <w:gridCol w:w="109"/>
        <w:gridCol w:w="109"/>
        <w:gridCol w:w="345"/>
        <w:gridCol w:w="1352"/>
        <w:gridCol w:w="177"/>
        <w:gridCol w:w="109"/>
        <w:gridCol w:w="109"/>
        <w:gridCol w:w="109"/>
        <w:gridCol w:w="358"/>
        <w:gridCol w:w="1226"/>
        <w:gridCol w:w="185"/>
        <w:gridCol w:w="109"/>
        <w:gridCol w:w="109"/>
        <w:gridCol w:w="109"/>
        <w:gridCol w:w="322"/>
        <w:gridCol w:w="1104"/>
        <w:gridCol w:w="166"/>
        <w:gridCol w:w="109"/>
        <w:gridCol w:w="109"/>
        <w:gridCol w:w="109"/>
        <w:gridCol w:w="211"/>
        <w:gridCol w:w="976"/>
        <w:gridCol w:w="159"/>
      </w:tblGrid>
      <w:tr>
        <w:trPr/>
        <w:tc>
          <w:tcPr>
            <w:tcW w:w="853"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securities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592"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payable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46"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16"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949,553 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1,092,145 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(949,553)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(1,092,145)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losses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84"/>
        <w:gridCol w:w="777"/>
        <w:gridCol w:w="780"/>
        <w:gridCol w:w="358"/>
        <w:gridCol w:w="1405"/>
        <w:gridCol w:w="184"/>
        <w:gridCol w:w="109"/>
        <w:gridCol w:w="109"/>
        <w:gridCol w:w="109"/>
        <w:gridCol w:w="338"/>
        <w:gridCol w:w="1329"/>
        <w:gridCol w:w="174"/>
        <w:gridCol w:w="109"/>
        <w:gridCol w:w="109"/>
        <w:gridCol w:w="109"/>
        <w:gridCol w:w="333"/>
        <w:gridCol w:w="1142"/>
        <w:gridCol w:w="171"/>
        <w:gridCol w:w="109"/>
        <w:gridCol w:w="109"/>
        <w:gridCol w:w="109"/>
        <w:gridCol w:w="211"/>
        <w:gridCol w:w="976"/>
        <w:gridCol w:w="162"/>
      </w:tblGrid>
      <w:tr>
        <w:trPr/>
        <w:tc>
          <w:tcPr>
            <w:tcW w:w="88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securities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8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6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payable</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2019</w:t>
            </w:r>
          </w:p>
        </w:tc>
        <w:tc>
          <w:tcPr>
            <w:tcW w:w="358"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251,885 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w:t>
            </w:r>
          </w:p>
        </w:tc>
        <w:tc>
          <w:tcPr>
            <w:tcW w:w="176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76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w:t>
            </w:r>
          </w:p>
        </w:tc>
        <w:tc>
          <w:tcPr>
            <w:tcW w:w="176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w:t>
            </w:r>
          </w:p>
        </w:tc>
        <w:tc>
          <w:tcPr>
            <w:tcW w:w="176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losses (gains)</w:t>
            </w:r>
          </w:p>
        </w:tc>
        <w:tc>
          <w:tcPr>
            <w:tcW w:w="176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697,668 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(93,751)</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684,027 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949,553 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Level 3 financial liabilities in the table above, on September 25, 2020, Seek Insurance Services, Inc. (Seek), a field marketing organization and an indirect wholly-owned subsidiary of the Corporation, entered into a note purchase agreement with a third-party investor and issued a note (the “Seek Convertible Note”) in the principal amount of $20.0 million, for which the carrying value is approximately the same as the fair value. For additional information, see Note 12 (Notes and Securities Payable). As of December 31, 2021, and December 31, 2020, both the carrying values, which includes accrued interest, and the fair values of the Seek Convertible Note were $22.0 million and $20.4 million, respectively, and these were considered Level 3 financial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financial assets or liabilities for the years ended December 31, 2021 or 2020.</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accounted for as liabilities in accordance with ASC 815-40 and are presented within warrants payable on the Consolidated Balance Sheet. The warrant liabilities were measured at fair value at inception and measured on a recurring basis, with changes in fair value presented within change in fair value of warrants payable in the Consolidated Statement of Operations and Comprehensive Loss. On July 22, 2021, the Corporation issued a press release stating that it would redeem all of its Warrants. The end of the redemption period was September 9, 2021, at which time the Corporation redeemed all unexercised Warrants at a price of $0.10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 warrant. Following the redemption exercise, no Warrants were outstanding. For additional information, please see Note 13 (Warrants Payable).</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Liability Measurement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were measured at fair value on a recurring basis. The Corporation classified the Warrants as a liability due to certain settlement terms and provisions related to certain tender offers and indexation characteristics following the Business Combination and accounted for them as liability instruments in accordance with ASC 815, adjusting the fair value at the end of each reporting period. Additionally, the Corporation determined that the Public Warrants were classified within Level 1 of the fair value hierarchy as the fair value was equal to the publicly traded price of the Public Warrants, and the Private Placement Warrants were classified within Level 2 of the fair value hierarchy as the fair value was estimated using the price of the Public Warrants. In connection with the redemption, effective August 24, 2021, the Public Warrants were delisted and classified within Level 2 of the fair value hierarchy as the fair value of the Public Warrants was based on proportional changes in the price of the Corporation’s common stock. There were no Private Warrants outstanding at August 24, 2021. See Note 13 (Warrants Payable) for additional information on the exercises and redemption of Warrants.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warrants payable:</w:t>
      </w:r>
    </w:p>
    <w:tbl>
      <w:tblPr>
        <w:tblW w:w="7720" w:type="dxa"/>
        <w:jc w:val="left"/>
        <w:tblInd w:w="0" w:type="dxa"/>
        <w:tblCellMar>
          <w:top w:w="28" w:type="dxa"/>
          <w:left w:w="28" w:type="dxa"/>
          <w:bottom w:w="28" w:type="dxa"/>
          <w:right w:w="28" w:type="dxa"/>
        </w:tblCellMar>
      </w:tblPr>
      <w:tblGrid>
        <w:gridCol w:w="1400"/>
        <w:gridCol w:w="1232"/>
        <w:gridCol w:w="1237"/>
        <w:gridCol w:w="109"/>
        <w:gridCol w:w="109"/>
        <w:gridCol w:w="109"/>
        <w:gridCol w:w="624"/>
        <w:gridCol w:w="2445"/>
        <w:gridCol w:w="455"/>
      </w:tblGrid>
      <w:tr>
        <w:trPr/>
        <w:tc>
          <w:tcPr>
            <w:tcW w:w="1400"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44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and Private Placement Warrants</w:t>
            </w:r>
          </w:p>
        </w:tc>
      </w:tr>
      <w:tr>
        <w:trPr/>
        <w:tc>
          <w:tcPr>
            <w:tcW w:w="3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measurement, January 7,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147,582 </w:t>
            </w:r>
          </w:p>
        </w:tc>
        <w:tc>
          <w:tcPr>
            <w:tcW w:w="4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(66,214)</w:t>
            </w:r>
          </w:p>
        </w:tc>
        <w:tc>
          <w:tcPr>
            <w:tcW w:w="4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(81,283)</w:t>
            </w:r>
          </w:p>
        </w:tc>
        <w:tc>
          <w:tcPr>
            <w:tcW w:w="4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redeemed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payable 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6. Healthcare Receivables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2021, and December 31, 2020, the Corporation recognized rebate receivables of approximately $33.1 million and $26.6 million, respectively. In addition to pharmaceutical rebates, Medicare Part D settlement receivables, member premium receivables and other CMS receivables included in healthcare receivables totaled $14.9 million and $12.1 million at December 31, 2021, and December 31, 2020,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7. Related Party Transactions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Related party agreements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$12.7 million, $11.1 million, and $9.7 million for the years ended December 31, 2021, 2020, and 2019, respectively. Additionally, $2.3 million and $1.5 million were payable to CarePoint Health as of December 31, 2021, and December 31, 2020,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contracted with Rogue Trading, LLC (Rogue), a marketing services provider. The Corporation’s President and Chief Technology Officer, Andrew Toy, is related to the Chief Executive Officer of Rogue. Expenses and fees related to these contracts were $0.3 million, $0.3 million, and $0.1 million for the years ended December 31, 2021, 2020, and 2019,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Corporation has a contract with Medical Records Exchange, LLC (d/b/a ChartFast) pursuant to which the Corporation receives administrative services related to medical records via ChartFast’s electronic applications and web portal platform. ChartFast is </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ultimately owned and controlled by Mr. Garipalli. Expenses and fees incurred related to this agreement were $0.2 million for the years ended December 31, 2021 and 2020, and none for the year ended December 31, 2019.</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2021, the Corporation signed a contract with Thyme Care, Inc. (Thyme Care), an oncology benefit management company, through which Thyme Care will provide concierge cancer coordination services to the Corporation’s Medicare Advantage members in New Jersey and develop a provider network to help ensure member access to high-value oncology care. Mr. Garipalli is a member of Thyme Care’s board of directors. Expenses and fees incurred related to this agreement were $0.3 million for the year ended December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Property and Equipment, Net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p>
      <w:pPr>
        <w:pStyle w:val="TextBody"/>
        <w:spacing w:before="0" w:after="0"/>
        <w:rPr/>
      </w:pPr>
      <w:r>
        <w:rPr/>
      </w:r>
    </w:p>
    <w:tbl>
      <w:tblPr>
        <w:tblW w:w="6680" w:type="dxa"/>
        <w:jc w:val="left"/>
        <w:tblInd w:w="0" w:type="dxa"/>
        <w:tblCellMar>
          <w:top w:w="28" w:type="dxa"/>
          <w:left w:w="28" w:type="dxa"/>
          <w:bottom w:w="28" w:type="dxa"/>
          <w:right w:w="28" w:type="dxa"/>
        </w:tblCellMar>
      </w:tblPr>
      <w:tblGrid>
        <w:gridCol w:w="1488"/>
        <w:gridCol w:w="1309"/>
        <w:gridCol w:w="1312"/>
        <w:gridCol w:w="109"/>
        <w:gridCol w:w="109"/>
        <w:gridCol w:w="109"/>
        <w:gridCol w:w="211"/>
        <w:gridCol w:w="616"/>
        <w:gridCol w:w="109"/>
        <w:gridCol w:w="109"/>
        <w:gridCol w:w="109"/>
        <w:gridCol w:w="109"/>
        <w:gridCol w:w="211"/>
        <w:gridCol w:w="616"/>
        <w:gridCol w:w="154"/>
      </w:tblGrid>
      <w:tr>
        <w:trPr/>
        <w:tc>
          <w:tcPr>
            <w:tcW w:w="1488"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fixtures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recorded by the Corporation was approximately $0.3 million, $0.5 million, and $0.6 million for the years ended December 31, 2021, 2020, and 2019, respectively. Amortization expense recorded by the Corporation was approximately $0.2 million, $0.1 million, and none for the years ended December 31, 2021, 2020, and 2019, respectively.</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9. Goodwill and Other Intangible Assets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was $3.0 million as of December 31, 2021 and 2020. The other intangible assets consist of licenses with indefinite useful lives that are related to Certificates of Operating Authority in 45 states and the District of Columbia. Goodwill was $1.2 million as of December 31, 2021 and 2020. Intangible assets with indefinite useful lives and goodwill are not amortized but are tested for impairment in the fourth quarter, or more frequently if events or changes in circumstances indicate that the assets may be impaired. As of December 31, 2021 and 2020, respectively, there were no circumstances that indicate that the carrying amount of goodwill and intangible assets deemed to have an indefinite useful life may not be recoverable. No impairment was recorded during the years ended December 31,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10. Unpaid Claims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liability for unpaid claims, including claims adjustment expenses, for the years ended December 31, 2021 and 2020, is summarized as follows:</w:t>
      </w:r>
    </w:p>
    <w:tbl>
      <w:tblPr>
        <w:tblW w:w="6935" w:type="dxa"/>
        <w:jc w:val="left"/>
        <w:tblInd w:w="0" w:type="dxa"/>
        <w:tblCellMar>
          <w:top w:w="28" w:type="dxa"/>
          <w:left w:w="28" w:type="dxa"/>
          <w:bottom w:w="28" w:type="dxa"/>
          <w:right w:w="28" w:type="dxa"/>
        </w:tblCellMar>
      </w:tblPr>
      <w:tblGrid>
        <w:gridCol w:w="1427"/>
        <w:gridCol w:w="1256"/>
        <w:gridCol w:w="1261"/>
        <w:gridCol w:w="109"/>
        <w:gridCol w:w="109"/>
        <w:gridCol w:w="109"/>
        <w:gridCol w:w="211"/>
        <w:gridCol w:w="826"/>
        <w:gridCol w:w="109"/>
        <w:gridCol w:w="109"/>
        <w:gridCol w:w="109"/>
        <w:gridCol w:w="109"/>
        <w:gridCol w:w="211"/>
        <w:gridCol w:w="826"/>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9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Gross and net balance, beginning of period</w:t>
            </w:r>
            <w:r>
              <w:rPr>
                <w:color w:val="000000"/>
              </w:rPr>
              <w:t xml:space="preserve">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Gross and net balance, end of period </w:t>
            </w:r>
            <w:r>
              <w:rPr>
                <w:rFonts w:ascii="Times New Roman;sans-serif" w:hAnsi="Times New Roman;sans-serif"/>
                <w:b/>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Includes amounts due to related parties. </w:t>
      </w:r>
    </w:p>
    <w:p>
      <w:pPr>
        <w:pStyle w:val="TextBody"/>
        <w:spacing w:lineRule="auto" w:line="288" w:before="60" w:after="283"/>
        <w:ind w:left="0" w:right="0" w:hanging="180"/>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Differs from the total unpaid claims amount reported on the Consolidated Balance Sheets due to the fact the figure here excludes unpaid claims for the Corporation’s DCE of $4.6 million as of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uses a variety of standard actuarial techniques to establish unpaid claims reserves. Management estimates are supported by the Corporation's actuarial analysis. The Corporation utilizes an internal actuarial team to review the adequacy of unpaid claim and unpaid claim adjustment expense. The estimation of claim costs is inherently difficult and requires significant judgment.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Unpaid Claims for MA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Unpaid claims for MA operations as reported on the Consolidated Statements of Operations and Comprehensive Loss as of December 31, 2021, were $136.3 million. During the year ended December 31, 2021, $113.7 million was paid for incurred claims attributable to insured events of prior years. The unfavorable development of $15.8 million was recognized during the year ended December 31, 2021, resulting from the Corporation's claims experience, partially attributable to the direct cost of COVID-19 and the increased utilization from the deferral of healthcare services as a result of the stay-at-home orders and closure of certain provider facilities throughout 2020 due to COVID-19 restrictions. A favorable development of $13.7 million was recognized during the year ended December 31, 2020, resulting from the actualization of fee-for-service claims. Original estimates are increased or decreased, as additional information becomes known regarding individual claims. The ratio of current year medical claims paid as a percentage of current year net medical claims incurred was 84.2% for the year ended December 31, 2021, and 82.8% for the year ended December 31, 2020. This ratio serves as an indicator of claims processing speed, indicating that claims were processed at a faster rate during the year ended December 31, 2021, than during the year ended December 31, 2020.</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regarding incurred and paid claims development for medical claims, as well as cumulative claim frequency and the total of incurred but not reported liabilities as of December 31, 2021, respectively:</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459"/>
        <w:gridCol w:w="403"/>
        <w:gridCol w:w="405"/>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29"/>
        <w:gridCol w:w="899"/>
        <w:gridCol w:w="117"/>
        <w:gridCol w:w="109"/>
        <w:gridCol w:w="109"/>
        <w:gridCol w:w="109"/>
        <w:gridCol w:w="710"/>
        <w:gridCol w:w="663"/>
        <w:gridCol w:w="947"/>
      </w:tblGrid>
      <w:tr>
        <w:trPr/>
        <w:tc>
          <w:tcPr>
            <w:tcW w:w="45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r>
      <w:tr>
        <w:trPr/>
        <w:tc>
          <w:tcPr>
            <w:tcW w:w="1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Cumulative incurred claims for the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Incurred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Total IBNR</w:t>
            </w:r>
            <w:r>
              <w:rPr>
                <w:rFonts w:ascii="Times New Roman;sans-serif" w:hAnsi="Times New Roman;sans-serif"/>
                <w:b/>
                <w:color w:val="000000"/>
                <w:sz w:val="13"/>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reported claims</w:t>
            </w:r>
          </w:p>
        </w:tc>
      </w:tr>
      <w:tr>
        <w:trPr/>
        <w:tc>
          <w:tcPr>
            <w:tcW w:w="12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ones)</w:t>
            </w:r>
          </w:p>
        </w:tc>
      </w:tr>
      <w:tr>
        <w:trPr/>
        <w:tc>
          <w:tcPr>
            <w:tcW w:w="1267" w:type="dxa"/>
            <w:gridSpan w:val="3"/>
            <w:tcBorders/>
            <w:shd w:fill="CCEEFF" w:val="clear"/>
            <w:tcMar>
              <w:top w:w="0" w:type="dxa"/>
              <w:left w:w="0" w:type="dxa"/>
              <w:bottom w:w="0" w:type="dxa"/>
              <w:right w:w="0" w:type="dxa"/>
            </w:tcMar>
            <w:vAlign w:val="center"/>
          </w:tcPr>
          <w:p>
            <w:pPr>
              <w:pStyle w:val="TableContents"/>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2019 and prior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2,926,156 </w:t>
            </w:r>
          </w:p>
        </w:tc>
        <w:tc>
          <w:tcPr>
            <w:tcW w:w="9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1,433,039 </w:t>
            </w:r>
          </w:p>
        </w:tc>
        <w:tc>
          <w:tcPr>
            <w:tcW w:w="9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2,384,691 </w:t>
            </w:r>
          </w:p>
        </w:tc>
        <w:tc>
          <w:tcPr>
            <w:tcW w:w="9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3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6,743,886 </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0"/>
        </w:rPr>
        <w:t>(1)    </w:t>
      </w:r>
      <w:r>
        <w:rPr>
          <w:rFonts w:ascii="Times New Roman;sans-serif" w:hAnsi="Times New Roman;sans-serif"/>
          <w:b w:val="false"/>
          <w:color w:val="000000"/>
          <w:sz w:val="16"/>
        </w:rPr>
        <w:t>Differs from the total unpaid claims amount reported on the Consolidated Balance Sheets due to the fact the figure here excludes unpaid claims for the Corporation’s DCE of $4.6 million as of December 31, 2021.</w:t>
      </w:r>
    </w:p>
    <w:p>
      <w:pPr>
        <w:pStyle w:val="TextBody"/>
        <w:spacing w:before="0" w:after="0"/>
        <w:jc w:val="both"/>
        <w:rPr/>
      </w:pPr>
      <w:r>
        <w:rPr/>
      </w:r>
    </w:p>
    <w:tbl>
      <w:tblPr>
        <w:tblW w:w="6084" w:type="dxa"/>
        <w:jc w:val="left"/>
        <w:tblInd w:w="0" w:type="dxa"/>
        <w:tblCellMar>
          <w:top w:w="28" w:type="dxa"/>
          <w:left w:w="28" w:type="dxa"/>
          <w:bottom w:w="28" w:type="dxa"/>
          <w:right w:w="28" w:type="dxa"/>
        </w:tblCellMar>
      </w:tblPr>
      <w:tblGrid>
        <w:gridCol w:w="478"/>
        <w:gridCol w:w="419"/>
        <w:gridCol w:w="423"/>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Cumulative net paid claims through December 31,</w:t>
            </w:r>
          </w:p>
        </w:tc>
      </w:tr>
      <w:tr>
        <w:trPr/>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Paid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20"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Incurred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2019 and prior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611,027 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rFonts w:ascii="Times New Roman;sans-serif" w:hAnsi="Times New Roman;sans-serif"/>
          <w:b w:val="false"/>
          <w:color w:val="000000"/>
          <w:sz w:val="16"/>
        </w:rPr>
      </w:pPr>
      <w:r>
        <w:rPr>
          <w:rFonts w:ascii="Times New Roman;sans-serif" w:hAnsi="Times New Roman;sans-serif"/>
          <w:b w:val="false"/>
          <w:color w:val="000000"/>
          <w:sz w:val="16"/>
        </w:rPr>
        <w:t>*Unaudited supplemental information</w:t>
      </w:r>
    </w:p>
    <w:p>
      <w:pPr>
        <w:pStyle w:val="TextBody"/>
        <w:spacing w:before="60" w:after="283"/>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incurred and paid claims development tables to unpaid claims and claims adjustment expenses for medical claims on the Consolidated Balance Sheets is as follows:</w:t>
      </w:r>
    </w:p>
    <w:tbl>
      <w:tblPr>
        <w:tblW w:w="6602" w:type="dxa"/>
        <w:jc w:val="left"/>
        <w:tblInd w:w="0" w:type="dxa"/>
        <w:tblCellMar>
          <w:top w:w="28" w:type="dxa"/>
          <w:left w:w="28" w:type="dxa"/>
          <w:bottom w:w="28" w:type="dxa"/>
          <w:right w:w="28" w:type="dxa"/>
        </w:tblCellMar>
      </w:tblPr>
      <w:tblGrid>
        <w:gridCol w:w="1785"/>
        <w:gridCol w:w="1572"/>
        <w:gridCol w:w="1577"/>
        <w:gridCol w:w="109"/>
        <w:gridCol w:w="109"/>
        <w:gridCol w:w="109"/>
        <w:gridCol w:w="211"/>
        <w:gridCol w:w="976"/>
        <w:gridCol w:w="154"/>
      </w:tblGrid>
      <w:tr>
        <w:trPr/>
        <w:tc>
          <w:tcPr>
            <w:tcW w:w="1785"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incurred claims,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paid claims,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unpaid claims, including claims adjustment expenses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The following balance reflects the unpaid claims for Medicare Advantage only. The DCE and other medical unpaid claims should be included in order to reconcile to the total unpaid claims on the Consolidated Balance Sheets.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Reinsurance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Medicare Advantage Reinsurance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2021, the Corporation renewed a specific excess loss reinsurance agreement to reinsure its MA plan liabilities in excess of approximately $0.6 million per covered person per agreement terms for the year ended December 31, 2021, and $0.5 million per covered person per agreement terms for the years ended December 31,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the reinsurance agreements on the accompanying consolidated financial statements for the years ended December 31, 2021, 2020, and 2019, respectively, are as follows: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0" w:after="0"/>
        <w:rPr/>
      </w:pPr>
      <w:r>
        <w:rPr/>
      </w:r>
    </w:p>
    <w:tbl>
      <w:tblPr>
        <w:tblW w:w="6819" w:type="dxa"/>
        <w:jc w:val="left"/>
        <w:tblInd w:w="0" w:type="dxa"/>
        <w:tblCellMar>
          <w:top w:w="28" w:type="dxa"/>
          <w:left w:w="28" w:type="dxa"/>
          <w:bottom w:w="28" w:type="dxa"/>
          <w:right w:w="28" w:type="dxa"/>
        </w:tblCellMar>
      </w:tblPr>
      <w:tblGrid>
        <w:gridCol w:w="852"/>
        <w:gridCol w:w="750"/>
        <w:gridCol w:w="75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ceded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819" w:type="dxa"/>
        <w:jc w:val="left"/>
        <w:tblInd w:w="0" w:type="dxa"/>
        <w:tblCellMar>
          <w:top w:w="28" w:type="dxa"/>
          <w:left w:w="28" w:type="dxa"/>
          <w:bottom w:w="28" w:type="dxa"/>
          <w:right w:w="28" w:type="dxa"/>
        </w:tblCellMar>
      </w:tblPr>
      <w:tblGrid>
        <w:gridCol w:w="852"/>
        <w:gridCol w:w="750"/>
        <w:gridCol w:w="75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incurred,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incurred, ceded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Reinsurance recoverable for the MA plan as of December 31, 2021 and 2020, respectively, were comprised of the following:</w:t>
      </w:r>
    </w:p>
    <w:tbl>
      <w:tblPr>
        <w:tblW w:w="6606" w:type="dxa"/>
        <w:jc w:val="left"/>
        <w:tblInd w:w="0" w:type="dxa"/>
        <w:tblCellMar>
          <w:top w:w="28" w:type="dxa"/>
          <w:left w:w="28" w:type="dxa"/>
          <w:bottom w:w="28" w:type="dxa"/>
          <w:right w:w="28" w:type="dxa"/>
        </w:tblCellMar>
      </w:tblPr>
      <w:tblGrid>
        <w:gridCol w:w="1628"/>
        <w:gridCol w:w="1433"/>
        <w:gridCol w:w="1439"/>
        <w:gridCol w:w="109"/>
        <w:gridCol w:w="109"/>
        <w:gridCol w:w="109"/>
        <w:gridCol w:w="211"/>
        <w:gridCol w:w="361"/>
        <w:gridCol w:w="109"/>
        <w:gridCol w:w="109"/>
        <w:gridCol w:w="109"/>
        <w:gridCol w:w="109"/>
        <w:gridCol w:w="211"/>
        <w:gridCol w:w="406"/>
        <w:gridCol w:w="154"/>
      </w:tblGrid>
      <w:tr>
        <w:trPr/>
        <w:tc>
          <w:tcPr>
            <w:tcW w:w="1628"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4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claims, gross and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 Contracting Reinsurance Arrangement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Within the DCE arrangement there is an option election for each direct contracting entity participant to elect participation in a reinsurance, which is not a separate contract and is included in the current DCE arrangement. The stop loss (charges) premiums and recoupments are incurred in accordance with the regulations set forth in the participation agreement in direct relation to the direct contracting program and will reduce the exposure of high dollar claims to the Corporation. The premiums (recoupments) will be recognized as revenue (contra-revenue), respectively, in Direct Contracting revenue on the Statement of Operations as there is a right to the recoupments as the point of attachment in the stop loss agreement.</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the DCE reinsurance arrangements on the accompanying consolidated financial statements for the year ended December 31, 2021 are as follows:</w:t>
      </w:r>
    </w:p>
    <w:tbl>
      <w:tblPr>
        <w:tblW w:w="5754" w:type="dxa"/>
        <w:jc w:val="left"/>
        <w:tblInd w:w="0" w:type="dxa"/>
        <w:tblCellMar>
          <w:top w:w="28" w:type="dxa"/>
          <w:left w:w="28" w:type="dxa"/>
          <w:bottom w:w="28" w:type="dxa"/>
          <w:right w:w="28" w:type="dxa"/>
        </w:tblCellMar>
      </w:tblPr>
      <w:tblGrid>
        <w:gridCol w:w="1260"/>
        <w:gridCol w:w="1108"/>
        <w:gridCol w:w="1111"/>
        <w:gridCol w:w="163"/>
        <w:gridCol w:w="163"/>
        <w:gridCol w:w="163"/>
        <w:gridCol w:w="316"/>
        <w:gridCol w:w="1239"/>
        <w:gridCol w:w="231"/>
      </w:tblGrid>
      <w:tr>
        <w:trPr/>
        <w:tc>
          <w:tcPr>
            <w:tcW w:w="1260"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75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34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 gross and net</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Claims incurred, gross and net</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gross and net</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$5.3 million of life insurance reserves as of both December 31, 2021 and 2020,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1.0% to 4.5%. Under the arrangement, SFLIC is required to hold in trust all of the outstanding liabilities as of the reporting date.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$0.9 million of annuity reserves as of both December 31, 2021 and 2020, respectively, related to annuity contracts originally issued by Ullico, are 100% ceded to Sagicor Life Insurance Company,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1.0% to 5.8%. Ceded life insurance and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annuity reserves are included in other assets and gross life insurance and annuity reserves are included in other liabilities on the Consolidated Balance Sheets,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12. Notes and Securities Payable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Non-convertible Notes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was secured by the assets of the Corporation. The initial obligation of $40.0 million had a maturity date of March 1, 2022, and was subject to an interest rate of 11.0%, payable monthly, with the majority of principal payments commencing 36 months prior to the maturity date. The additional $20.0 million obligation had a maturity date of October 1, 2022, and was subject to an interest rate of 11.3%, payable monthly, with the majority of principal payments commencing 36 months prior to the maturity date. In conjunction with the Loan Facility, the Corporation issued warrants. See Note 13 (Warrants Payable) for additional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2021, the Corporation voluntarily paid the remaining principal of $20.7 million and interest of $0.2 million, thereby terminating the Loan Facility.</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 </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securities bore a yield ("interest") at the increasing rates noted below which compounded semi-annually, and would mature April 1, 2023, unless earlier converted, repurchased, or extended. The interest rate and embedded feature discount factor varied based on the length of time elapsed from the issue date of the securities. The interest rates began at 6.5% for the first twelve-month period through the first anniversary of the security issue date, increasing ratably on a semi-annual basis, to 13.5% at the third anniversary of the security issue date until the convertible securities ceased to be outstanding. The embedded feature discount factors began at 75.0% for the first twelve-month period through the first anniversary of the security issue date, decreasing ratably on a semi-annual basis, to 55.0% at the forty-two month anniversary of the security issue date until the convertible securities ceased to be outstanding.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convertible securities was $76.5 million at December 31, 2020. 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unamortized discount was $337.3 million at December 31, 2020. Amortization of the debt discount was approximately $21.1 million during the year ended December 31, 2020. Interest expense on the convertible securities was $31.1 million during the year ended December 31, 2020. The effective interest rate, inclusive of amortization of the discount and the contractual rate, was 90.1% during the year ended December 31, 2020. The effective interest rate, inclusive of amortization of the discount and the contractual rate, was in excess of 100% during the year ended December 31, 2019, as a result of the beginning convertible securities carrying value of $0. The results presented as of and for the year ended December 31, 2021, above, reflect the impact of the conversion of the convertible securities into common stock in connection with the Business Combination.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Seek Convertible Note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2020, Seek issued the Seek Convertible Note in the principal amount of $20.0 million. The note bears simple interest at an annual rate of 8.0% and matures on September 25, 2023, unless earlier accelerated, converted, or paid in full. The outstanding principal and any accrued but unpaid interest will become immediately due and payable at the election of the note holder upon the occurrence of any event of default as defined in the note. 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analyzed the embedded features for derivative accounting consideration and determined that the features are clearly and closely related to the debt host and do not require separate accounting as a derivative.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the note was $19.9 million at both December 31, 2021, and December 31, 2020. The Corporation capitalized $0.1 million of issuance costs which are being amortized using the effective interest method over the term of the note. Unamortized debt issuance costs were $0.1 million at both December 31, 2021, and December 31, 2020. Amortization of the debt issuance costs and interest expense on the note were $1.6 million and $0.4 million during the years ended December 31, 2021 and 2020,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was 8.2% during the years ended December 31, 2021 and 2020,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maturities of the Corporation’s securities payable over the next five years as of December 31, 2021:</w:t>
      </w:r>
    </w:p>
    <w:p>
      <w:pPr>
        <w:pStyle w:val="TextBody"/>
        <w:spacing w:before="0" w:after="0"/>
        <w:jc w:val="both"/>
        <w:rPr/>
      </w:pPr>
      <w:r>
        <w:rPr/>
      </w:r>
    </w:p>
    <w:tbl>
      <w:tblPr>
        <w:tblW w:w="1726" w:type="dxa"/>
        <w:jc w:val="left"/>
        <w:tblInd w:w="0" w:type="dxa"/>
        <w:tblCellMar>
          <w:top w:w="28" w:type="dxa"/>
          <w:left w:w="28" w:type="dxa"/>
          <w:bottom w:w="28" w:type="dxa"/>
          <w:right w:w="28" w:type="dxa"/>
        </w:tblCellMar>
      </w:tblPr>
      <w:tblGrid>
        <w:gridCol w:w="201"/>
        <w:gridCol w:w="176"/>
        <w:gridCol w:w="179"/>
        <w:gridCol w:w="227"/>
        <w:gridCol w:w="777"/>
        <w:gridCol w:w="166"/>
      </w:tblGrid>
      <w:tr>
        <w:trPr/>
        <w:tc>
          <w:tcPr>
            <w:tcW w:w="2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13. Warrants Payable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Legacy Warrants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Loan Facility, the Corporation issued warrants to purchase 2,618,770 shares of the Corporation's Series D preferred stock at an exercise price of $4.53 per share. On October 5, 2020, the Corporation entered into the Merger Agreement with SCH and simultaneously amended the warrants to be automatically exercisable for common stock in connection with the Business Combination. The warrants were accounted for as derivative instruments, and the initial fair value of approximately $1.2 million,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2015, the Corporation issued warrants to purchase 4,342,956 shares of the Corporation's common stock at an exercise price of $0.50 per share. The warrants were also contingently exercisable for an additional 4,342,956 shares based proportionally on the aggregate principal amounts of additional notes borrowed by the Corporation.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the Loan Facility warrants and the September 2015 warrants automatically converted into 3,484,154 shares of Legacy Clover common stock and, after giving effect to the Exchange Ratio converted into 7,205,490 shares of Class B Common Stock upon the closing of the Business Combination.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Public Warrants and Private Placement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Corporation assumed, as of January 7, 2021, Public Warrants to purchase an aggregate of 27,599,938 shares of the Corporation's Class A Common Stock and Private Placement Warrants to purchase an aggregate of 10,933,333 shares of the Corporation's Class A Common Stock. Each whole Warrant entitled the registered holder to purchase one whole share of Class A Common Stock at a price of $11.50 per share, at any time commencing on April 24,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were accounted for as liabilities in accordance with ASC 815-40 and are presented within warrants payable on the Consolidated Balance Sheet. The warrant liabilities were measured at fair value at inception and on a recurring basis until redeemed, with changes in fair value presented within change in fair value of warrants payable in the Consolidated Statement of Operations and Comprehensive Loss. See Note 5 (Fair Value Measurements)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Corporation issued a press release stating that it would redeem all of its Warrants that remained outstanding on August 23, 2021, the redemption date, for a redemption price of $0.10 per Warrant. On August 25, 2021, the Corporation announced that it was extending the period during which holders of the Public Warrants could exercise the Warrants to September 9, 2021, at which time any unexercised Public Warrants would be redeemed at a price of $0.10 per Warrant. Payment upon exercise of the Warrants could be made either (i) in cash, at an exercise price of $11.50 per share of Class A Common Stock or (ii) on a "cashless basis" in which the exercising holder received 0.249 shares of Class A Common Stock per Warrant shares of Class A Common Stock.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redemption date, 33,932 Public Warrants were exercised for cash, and 26,716,041 were exercised on a cashless basis in exchange for an aggregate of 6,685,865 shares of Common Stock, in each case in accordance with the terms of the Warrant Agreement, representing 96.9% of the Public Warrants. In addition, all of the Private Placement Warrants were exercised on a cashless basis in exchange for an aggregate of 2,722,399 shares of Common Stock, in accordance with the terms of the Warrant Agreement. In connection with the redemption, the Public Warrants were delisted and total cash proceeds generated from exercises of the Public Warrants were $0.4 million. The remaining unexercised 849,965 Public Warrants were redeemed by the Corporation for $0.1 million. Following the warrant redemption exercises, no Warrants were outstanding.</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Derivative Liabilities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year ended December 31, 2021. This capital contribution of $44.8 million was recorded as an increase in additional paid in capital as the notes were issued to affiliates of the Corporation. The Corporation recognized a gain of $93.8 million and a loss of $138.6 million from activity related to derivative liabilities in connection with the convertible securities during the years ended December 31, 2020 and 2019, respectively, which was recognized in (gain) loss on derivative in the Consolidated Statements of Operations and Comprehensive Loss. Upon the completion of the Business Combination with SCH on January 7, 2021, the derivative balance was extinguished as of January 7, 2021. See Note 3 (Business Combination), Note 5 (Fair Value Measurements), and Note 12 (Notes and Securities Payable) for additional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15. Letter of Credit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December 31, 2021, and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Leases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leases office space in New Jersey, Minnesota, Tennessee, Georgia, Florida, California, and Hong Kong under non-cancelable operating leases. At December 31, 2021, the remaining terms of the operating leases were between four months and 75 months, and certain lease agreements contain provisions for future rent increases.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the Corporation’s leases include options to renew, with renewal terms that can extend the lease term. The exercise of lease renewal options is at the Corporation’s sole discretion. The ability to terminate a lease is determined by the applicable lease terms and conditions. The Corporation is not reasonably certain that it will exercise the renewal or termination options. Therefore, these options are not recognized as part of the ROU asset and lease liability.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subleases certain of its leases to third parties for which it receives rental income to manage occupancy costs. These subleases are classified as operating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Mallory Green Lease: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22, 2021, the Corporation entered into an agreement to lease office space for its new corporate headquarters in Franklin, Tennessee, for a period of 37 months.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Montgomery Lease: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and, therefore, was no longer in default with respect to the Montgomery Lease.</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Summary of Lease Costs Recognized Under ASC 842: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contains a summary of the lease costs recognized under ASC 842 and other information pertaining to the Corporation's operating leases for the years ended December 31, 2021, 2020, and 2019: </w:t>
      </w:r>
    </w:p>
    <w:tbl>
      <w:tblPr>
        <w:tblW w:w="10125" w:type="dxa"/>
        <w:jc w:val="left"/>
        <w:tblInd w:w="0" w:type="dxa"/>
        <w:tblCellMar>
          <w:top w:w="28" w:type="dxa"/>
          <w:left w:w="28" w:type="dxa"/>
          <w:bottom w:w="28" w:type="dxa"/>
          <w:right w:w="28" w:type="dxa"/>
        </w:tblCellMar>
      </w:tblPr>
      <w:tblGrid>
        <w:gridCol w:w="2100"/>
        <w:gridCol w:w="1849"/>
        <w:gridCol w:w="1856"/>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2100"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8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8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31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r>
        <w:trPr/>
        <w:tc>
          <w:tcPr>
            <w:tcW w:w="58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31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Corporation's future lease payments for non-cancelable operating lease liabilities as of December 31, 2021:</w:t>
      </w:r>
    </w:p>
    <w:tbl>
      <w:tblPr>
        <w:tblW w:w="3400" w:type="dxa"/>
        <w:jc w:val="left"/>
        <w:tblInd w:w="0" w:type="dxa"/>
        <w:tblCellMar>
          <w:top w:w="28" w:type="dxa"/>
          <w:left w:w="28" w:type="dxa"/>
          <w:bottom w:w="28" w:type="dxa"/>
          <w:right w:w="28" w:type="dxa"/>
        </w:tblCellMar>
      </w:tblPr>
      <w:tblGrid>
        <w:gridCol w:w="688"/>
        <w:gridCol w:w="604"/>
        <w:gridCol w:w="612"/>
        <w:gridCol w:w="109"/>
        <w:gridCol w:w="109"/>
        <w:gridCol w:w="109"/>
        <w:gridCol w:w="251"/>
        <w:gridCol w:w="735"/>
        <w:gridCol w:w="183"/>
      </w:tblGrid>
      <w:tr>
        <w:trPr/>
        <w:tc>
          <w:tcPr>
            <w:tcW w:w="68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17. Stockholders' Equity and Convertible Preferred Stock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Stockholders’ Equity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was authorized to issue up to 2,500,000,000 shares of Class A Common Stock as of December 31, 2021, and up to 500,000,000 and 351,572,668 shares of Class B Common Stock as of December 31, 2021 and 2020, respectively. As of December 31, 2021, there were 352,645,626 shares of Class A Common Stock issued and outstanding. There were 118,206,768 and 89,206,266 shares of Class B Common Stock issued and outstanding as of December 31, 2021 and 2020, respectively. Class B common stock has 10 votes per share, and Class A common stock has one vote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December 31, 2021, there were no shares of preferred stock issued and outstanding.</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Corporation sold 52,173,913 shares of common stock at a public offering price of $5.75 per share for gross proceeds, before deducting underwriting discounts and commissions and other expenses payable by the Corporation, of $16.2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Convertible Preferred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Legacy Clover's preferred stock was convertible at the option of the holder, at any time and from time to time, and without the payment of additional consideration by the holder thereof, into fully paid and non-assessable shares of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Employee Benefit Plans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Savings Plan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a defined contribution retirement savings plan (the “401(k) Plan”) covering eligible employees, which includes safe harbor matching contributions based on the amount of employees' contributions to the 401(k) Plan. The Corporation contributes to the 401(k) Plan annually 100.0% of the first 4.0% compensation that is contributed by the employee up to 4.0% of eligible annual compensation. The Corporation's service contributions to the 401(k) Plan amounted to approximately $1.2 million, $1.2 million, and $1.3 million for the years ended December 31, 2021, 2020, and 2019, respectively, and are included in salaries and benefits on the Consolidated Statements of Operations and Comprehensive Loss. The Corporation's cash match is invested pursuant to the participant's contribution direction. Employer contributions are immediately 100.0% vested.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2020 Equity Incentive Plan (the "2020 Plan") and 2020 Management Incentive Plan (the “2020 MIP”) provide for grants of restricted stocks units (RSUs) and/or options to acquire shares of the Corporation's common stock, par value $0.0001 per share, to employees, directors, officers, and consultants of the Corporation. During the year ended December 31, 2021, the Corporation approved the 2020 Plan and the 2020 MIP, and the Corporation’s 2014 Equity Incentive Plan (the “2014 Plan” and, collectively with the 2020 Plan and the 2020 MIP, the “Plans”) was retired.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number of shares of the Corporation's common stock reserved for issuance over the term of the Plans, shares outstanding under the Plans, and shares remaining under the Plans, after giving effect to the Exchange Ratio, as of December 31, 2021, and December 31, 2020, were as follows: </w:t>
      </w:r>
    </w:p>
    <w:tbl>
      <w:tblPr>
        <w:tblW w:w="10205" w:type="dxa"/>
        <w:jc w:val="left"/>
        <w:tblInd w:w="0" w:type="dxa"/>
        <w:tblCellMar>
          <w:top w:w="28" w:type="dxa"/>
          <w:left w:w="28" w:type="dxa"/>
          <w:bottom w:w="28" w:type="dxa"/>
          <w:right w:w="28" w:type="dxa"/>
        </w:tblCellMar>
      </w:tblPr>
      <w:tblGrid>
        <w:gridCol w:w="577"/>
        <w:gridCol w:w="509"/>
        <w:gridCol w:w="510"/>
        <w:gridCol w:w="109"/>
        <w:gridCol w:w="109"/>
        <w:gridCol w:w="109"/>
        <w:gridCol w:w="880"/>
        <w:gridCol w:w="809"/>
        <w:gridCol w:w="812"/>
        <w:gridCol w:w="109"/>
        <w:gridCol w:w="109"/>
        <w:gridCol w:w="109"/>
        <w:gridCol w:w="899"/>
        <w:gridCol w:w="839"/>
        <w:gridCol w:w="841"/>
        <w:gridCol w:w="109"/>
        <w:gridCol w:w="109"/>
        <w:gridCol w:w="109"/>
        <w:gridCol w:w="802"/>
        <w:gridCol w:w="719"/>
        <w:gridCol w:w="1027"/>
      </w:tblGrid>
      <w:tr>
        <w:trPr/>
        <w:tc>
          <w:tcPr>
            <w:tcW w:w="577"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15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Plans</w:t>
            </w:r>
          </w:p>
        </w:tc>
      </w:tr>
      <w:tr>
        <w:trPr/>
        <w:tc>
          <w:tcPr>
            <w:tcW w:w="15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12"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41,905,875 </w:t>
            </w:r>
          </w:p>
        </w:tc>
        <w:tc>
          <w:tcPr>
            <w:tcW w:w="84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59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2020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30,641,401 </w:t>
            </w:r>
          </w:p>
        </w:tc>
        <w:tc>
          <w:tcPr>
            <w:tcW w:w="8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6,690,048 </w:t>
            </w:r>
          </w:p>
        </w:tc>
        <w:tc>
          <w:tcPr>
            <w:tcW w:w="8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23,442,323 </w:t>
            </w:r>
          </w:p>
        </w:tc>
        <w:tc>
          <w:tcPr>
            <w:tcW w:w="10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6"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2020 MIP</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12"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4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27"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89"/>
        <w:gridCol w:w="519"/>
        <w:gridCol w:w="520"/>
        <w:gridCol w:w="109"/>
        <w:gridCol w:w="109"/>
        <w:gridCol w:w="109"/>
        <w:gridCol w:w="866"/>
        <w:gridCol w:w="811"/>
        <w:gridCol w:w="814"/>
        <w:gridCol w:w="109"/>
        <w:gridCol w:w="109"/>
        <w:gridCol w:w="109"/>
        <w:gridCol w:w="887"/>
        <w:gridCol w:w="841"/>
        <w:gridCol w:w="843"/>
        <w:gridCol w:w="109"/>
        <w:gridCol w:w="109"/>
        <w:gridCol w:w="109"/>
        <w:gridCol w:w="785"/>
        <w:gridCol w:w="720"/>
        <w:gridCol w:w="1029"/>
      </w:tblGrid>
      <w:tr>
        <w:trPr/>
        <w:tc>
          <w:tcPr>
            <w:tcW w:w="58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r>
      <w:tr>
        <w:trPr/>
        <w:tc>
          <w:tcPr>
            <w:tcW w:w="16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w:t>
            </w:r>
          </w:p>
        </w:tc>
      </w:tr>
      <w:tr>
        <w:trPr/>
        <w:tc>
          <w:tcPr>
            <w:tcW w:w="1628"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1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36,557,759 </w:t>
            </w:r>
          </w:p>
        </w:tc>
        <w:tc>
          <w:tcPr>
            <w:tcW w:w="843"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17,844,505 </w:t>
            </w:r>
          </w:p>
        </w:tc>
        <w:tc>
          <w:tcPr>
            <w:tcW w:w="102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2014 Plan without having been fully exercised are available for awards under the 2020 Plan. Shares may be issued from authorized but unissued Corporation stock.</w: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Plans are administered by the Talent and Compensation Committee of the Corporation’s Board of Directors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Corporation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Corporation’s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granted options to purchase 1,937,968 shares of common stock during the year ended December 31, 2021. The Corporation recorded stock-based compensation expense for options, RSUs, and performance restricted stock units (PRSUs) granted under the Plans and discounts offered in connection with the Corporation’s 2020 Employee Stock Purchase Plan (ESPP) of $163.7 million during the year ended December 31, 2021, and such expenses are presented in salaries and benefits in the accompanying Consolidated Statements of Operations and Comprehensive Loss. Compensation cost presented in salaries and benefits in the accompanying Consolidated Statements of Operations and Comprehensive Loss were as follows:</w:t>
      </w:r>
    </w:p>
    <w:tbl>
      <w:tblPr>
        <w:tblW w:w="10044" w:type="dxa"/>
        <w:jc w:val="left"/>
        <w:tblInd w:w="0" w:type="dxa"/>
        <w:tblCellMar>
          <w:top w:w="28" w:type="dxa"/>
          <w:left w:w="28" w:type="dxa"/>
          <w:bottom w:w="28" w:type="dxa"/>
          <w:right w:w="28" w:type="dxa"/>
        </w:tblCellMar>
      </w:tblPr>
      <w:tblGrid>
        <w:gridCol w:w="2171"/>
        <w:gridCol w:w="1911"/>
        <w:gridCol w:w="1918"/>
        <w:gridCol w:w="109"/>
        <w:gridCol w:w="109"/>
        <w:gridCol w:w="109"/>
        <w:gridCol w:w="211"/>
        <w:gridCol w:w="826"/>
        <w:gridCol w:w="109"/>
        <w:gridCol w:w="109"/>
        <w:gridCol w:w="109"/>
        <w:gridCol w:w="109"/>
        <w:gridCol w:w="211"/>
        <w:gridCol w:w="616"/>
        <w:gridCol w:w="109"/>
        <w:gridCol w:w="109"/>
        <w:gridCol w:w="109"/>
        <w:gridCol w:w="109"/>
        <w:gridCol w:w="211"/>
        <w:gridCol w:w="616"/>
        <w:gridCol w:w="154"/>
      </w:tblGrid>
      <w:tr>
        <w:trPr/>
        <w:tc>
          <w:tcPr>
            <w:tcW w:w="2171" w:type="dxa"/>
            <w:tcBorders/>
            <w:shd w:fill="auto" w:val="clear"/>
            <w:vAlign w:val="center"/>
          </w:tcPr>
          <w:p>
            <w:pPr>
              <w:pStyle w:val="TableContents"/>
              <w:spacing w:before="0" w:after="283"/>
              <w:rPr>
                <w:sz w:val="4"/>
                <w:szCs w:val="4"/>
              </w:rPr>
            </w:pPr>
            <w:r>
              <w:rPr>
                <w:sz w:val="4"/>
                <w:szCs w:val="4"/>
              </w:rPr>
            </w:r>
          </w:p>
        </w:tc>
        <w:tc>
          <w:tcPr>
            <w:tcW w:w="1911"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recognized for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approximately $435.6 million of unrecognized stock-based compensation expense related to unvested stock options, RSUs, PRSUs, and the ESPP, estimated to be recognized over a period of 4.02 years. As of December 31, 2020, there was approximately $14.9 million of unrecognized stock-based compensation expense related to unvested stock options.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assumptions that the Corporation used in the Black-Scholes option-pricing model to determine the grant-date fair value of stock options granted for the years ended December 31, 2021, 2020 and 2019, respectively, were as follows: </w:t>
      </w:r>
    </w:p>
    <w:tbl>
      <w:tblPr>
        <w:tblW w:w="7052" w:type="dxa"/>
        <w:jc w:val="left"/>
        <w:tblInd w:w="0" w:type="dxa"/>
        <w:tblCellMar>
          <w:top w:w="28" w:type="dxa"/>
          <w:left w:w="28" w:type="dxa"/>
          <w:bottom w:w="28" w:type="dxa"/>
          <w:right w:w="28" w:type="dxa"/>
        </w:tblCellMar>
      </w:tblPr>
      <w:tblGrid>
        <w:gridCol w:w="1194"/>
        <w:gridCol w:w="1051"/>
        <w:gridCol w:w="1055"/>
        <w:gridCol w:w="109"/>
        <w:gridCol w:w="109"/>
        <w:gridCol w:w="109"/>
        <w:gridCol w:w="307"/>
        <w:gridCol w:w="309"/>
        <w:gridCol w:w="292"/>
        <w:gridCol w:w="109"/>
        <w:gridCol w:w="109"/>
        <w:gridCol w:w="109"/>
        <w:gridCol w:w="307"/>
        <w:gridCol w:w="309"/>
        <w:gridCol w:w="292"/>
        <w:gridCol w:w="109"/>
        <w:gridCol w:w="109"/>
        <w:gridCol w:w="109"/>
        <w:gridCol w:w="307"/>
        <w:gridCol w:w="309"/>
        <w:gridCol w:w="339"/>
      </w:tblGrid>
      <w:tr>
        <w:trPr/>
        <w:tc>
          <w:tcPr>
            <w:tcW w:w="119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2020 Plan during the year ended December 31, 2021 is as follows:</w:t>
      </w:r>
    </w:p>
    <w:tbl>
      <w:tblPr>
        <w:tblW w:w="7705" w:type="dxa"/>
        <w:jc w:val="left"/>
        <w:tblInd w:w="0" w:type="dxa"/>
        <w:tblCellMar>
          <w:top w:w="28" w:type="dxa"/>
          <w:left w:w="28" w:type="dxa"/>
          <w:bottom w:w="28" w:type="dxa"/>
          <w:right w:w="28" w:type="dxa"/>
        </w:tblCellMar>
      </w:tblPr>
      <w:tblGrid>
        <w:gridCol w:w="1010"/>
        <w:gridCol w:w="889"/>
        <w:gridCol w:w="891"/>
        <w:gridCol w:w="554"/>
        <w:gridCol w:w="554"/>
        <w:gridCol w:w="556"/>
        <w:gridCol w:w="109"/>
        <w:gridCol w:w="109"/>
        <w:gridCol w:w="109"/>
        <w:gridCol w:w="704"/>
        <w:gridCol w:w="1706"/>
        <w:gridCol w:w="514"/>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2021</w:t>
            </w:r>
          </w:p>
        </w:tc>
        <w:tc>
          <w:tcPr>
            <w:tcW w:w="110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2021</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1,937,968 </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(184,169)</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110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1,753,799 </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2014 Plan during the year ended December 31, 2021 is as follows:</w:t>
      </w:r>
    </w:p>
    <w:tbl>
      <w:tblPr>
        <w:tblW w:w="7705" w:type="dxa"/>
        <w:jc w:val="left"/>
        <w:tblInd w:w="0" w:type="dxa"/>
        <w:tblCellMar>
          <w:top w:w="28" w:type="dxa"/>
          <w:left w:w="28" w:type="dxa"/>
          <w:bottom w:w="28" w:type="dxa"/>
          <w:right w:w="28" w:type="dxa"/>
        </w:tblCellMar>
      </w:tblPr>
      <w:tblGrid>
        <w:gridCol w:w="1010"/>
        <w:gridCol w:w="889"/>
        <w:gridCol w:w="891"/>
        <w:gridCol w:w="554"/>
        <w:gridCol w:w="554"/>
        <w:gridCol w:w="556"/>
        <w:gridCol w:w="109"/>
        <w:gridCol w:w="109"/>
        <w:gridCol w:w="109"/>
        <w:gridCol w:w="704"/>
        <w:gridCol w:w="1706"/>
        <w:gridCol w:w="514"/>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2021</w:t>
            </w:r>
          </w:p>
        </w:tc>
        <w:tc>
          <w:tcPr>
            <w:tcW w:w="110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36,513,193 </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2021</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(4,284,070)</w:t>
            </w:r>
          </w:p>
        </w:tc>
        <w:tc>
          <w:tcPr>
            <w:tcW w:w="5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5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(1,073,381)</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110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31,155,742 </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stock options granted during the years ended December 31, 2021, 2020, and 2019 was $3.36 per share, $1.04 per share, and $0.62 per share, respectively.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outstanding stock options, substantially all of which are expected to vest, had an aggregate intrinsic value of $52.5 million, and a weighted-average remaining contractual term of 6.80 years. As of December 31, 2021, there were 21,872,378 options exercisable under the Plan, with an aggregate intrinsic value of $39.2 million, a weighted-average exercise price of $2.32 per share, and a weighted-average remaining contractual term of 6.20 years. The total value of stock options exercised during the years ended December 31, 2021, 2020, and 2019, was $39.3 million, $5.8 million, and $1.3 million, respectively. Cash received from stock option exercises during the years ended December 31, 2021, 2020, and 2019, totaled $6.1 million, $2.1 million, and $0.7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has been exercised, the Corporation must redeem those shares at the original exercise price and remit payment of the forfeited portion of shares back to the employee.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total RSU activity for the year ended December 31, 2021, is presented below: </w:t>
      </w:r>
    </w:p>
    <w:tbl>
      <w:tblPr>
        <w:tblW w:w="9032" w:type="dxa"/>
        <w:jc w:val="left"/>
        <w:tblInd w:w="0" w:type="dxa"/>
        <w:tblCellMar>
          <w:top w:w="28" w:type="dxa"/>
          <w:left w:w="28" w:type="dxa"/>
          <w:bottom w:w="28" w:type="dxa"/>
          <w:right w:w="28" w:type="dxa"/>
        </w:tblCellMar>
      </w:tblPr>
      <w:tblGrid>
        <w:gridCol w:w="1009"/>
        <w:gridCol w:w="889"/>
        <w:gridCol w:w="891"/>
        <w:gridCol w:w="109"/>
        <w:gridCol w:w="109"/>
        <w:gridCol w:w="109"/>
        <w:gridCol w:w="540"/>
        <w:gridCol w:w="541"/>
        <w:gridCol w:w="501"/>
        <w:gridCol w:w="932"/>
        <w:gridCol w:w="2721"/>
        <w:gridCol w:w="681"/>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22,031,869 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(639,752)</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6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(97,276)</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w:t>
            </w:r>
          </w:p>
        </w:tc>
        <w:tc>
          <w:tcPr>
            <w:tcW w:w="6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21,294,841 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 date fair value of the RSUs was $14.34 per underlying share.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granted PRSUs which become eligible to vest if prior to the vesting date the average closing price of one share of the Corporation's common stock for 90 consecutive days equals or exceeds a specified price (the "Market PRSUs"). Additionally, the Corporation has granted PRSUs that vest based on pre-established milestones including Corporation performance. The grant date fair value of the Market PRSUs is recognized as expense over the vesting period under the accelerated attribution method and is not adjusted in future periods for the success or failure to achieve the specified market condition. The Corporation has also determined the requisite service period for the PRSUs with multiple performance conditions to be the longest of the explicit, implicit, or derived service period.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tbl>
      <w:tblPr>
        <w:tblW w:w="4004" w:type="dxa"/>
        <w:jc w:val="left"/>
        <w:tblInd w:w="0" w:type="dxa"/>
        <w:tblCellMar>
          <w:top w:w="28" w:type="dxa"/>
          <w:left w:w="28" w:type="dxa"/>
          <w:bottom w:w="28" w:type="dxa"/>
          <w:right w:w="28" w:type="dxa"/>
        </w:tblCellMar>
      </w:tblPr>
      <w:tblGrid>
        <w:gridCol w:w="993"/>
        <w:gridCol w:w="875"/>
        <w:gridCol w:w="877"/>
        <w:gridCol w:w="109"/>
        <w:gridCol w:w="109"/>
        <w:gridCol w:w="109"/>
        <w:gridCol w:w="308"/>
        <w:gridCol w:w="308"/>
        <w:gridCol w:w="316"/>
      </w:tblGrid>
      <w:tr>
        <w:trPr/>
        <w:tc>
          <w:tcPr>
            <w:tcW w:w="993"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Expected volatility is based on a blend of peer group company historical data adjusted for the Corporation's leverage.</w:t>
      </w:r>
    </w:p>
    <w:p>
      <w:pPr>
        <w:pStyle w:val="TextBody"/>
        <w:spacing w:lineRule="auto" w:line="288" w:before="0" w:after="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Risk-free interest rate based on U.S. Treasury yields with a term equal to the remaining Performance Period as of the grant date.</w:t>
      </w:r>
    </w:p>
    <w:p>
      <w:pPr>
        <w:pStyle w:val="TextBody"/>
        <w:spacing w:lineRule="auto" w:line="288" w:before="0" w:after="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Dividend yield was assumed to be zero as the Corporation does not anticipate paying dividends.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total PRSU activity for the year ended December 31, 2021, is presented below:</w:t>
      </w:r>
    </w:p>
    <w:tbl>
      <w:tblPr>
        <w:tblW w:w="8821" w:type="dxa"/>
        <w:jc w:val="left"/>
        <w:tblInd w:w="0" w:type="dxa"/>
        <w:tblCellMar>
          <w:top w:w="28" w:type="dxa"/>
          <w:left w:w="28" w:type="dxa"/>
          <w:bottom w:w="28" w:type="dxa"/>
          <w:right w:w="28" w:type="dxa"/>
        </w:tblCellMar>
      </w:tblPr>
      <w:tblGrid>
        <w:gridCol w:w="1036"/>
        <w:gridCol w:w="913"/>
        <w:gridCol w:w="915"/>
        <w:gridCol w:w="540"/>
        <w:gridCol w:w="541"/>
        <w:gridCol w:w="541"/>
        <w:gridCol w:w="1044"/>
        <w:gridCol w:w="2529"/>
        <w:gridCol w:w="762"/>
      </w:tblGrid>
      <w:tr>
        <w:trPr/>
        <w:tc>
          <w:tcPr>
            <w:tcW w:w="1036"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PRSUs</w:t>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27,818,524 </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2021</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27,818,524 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$173.7 million of unrecognized share-based compensation expense related to PRSUs, which is expected to be recognized over a period of 3.13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Employee Stock Purchase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5, 2020, SCH’s board of directors adopted, and on January 6, 2021, stockholders approved the ESPP. The ESPP provides a means by which eligible employees and/or eligible service providers of either the Corporation or designated related corporations and </w:t>
      </w: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2,785,582 shares, and the maximum number of shares that may be purchased on any single purchase date by any one participant is 5,000 shares. As of December 31, 2021, 2,785,582 shares of Class A common stock were available for issuance under the ESPP.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first day of each fiscal year, beginning with the 2022 fiscal year and ending on (and including) the first day of the 2030 fiscal year, the calculation of the maximum number of ESPP shares shall include automatic increases in an amount equal to the lesser of (i) 1.0% of the total number of shares of Class A common stock outstanding on the last day of the calendar month prior to the date of such automatic increase, and (ii) such number of shares of Class A common stock as determined by the administrator of the ESPP; provided that the maximum number of shares of Class A common stock reserved under the ESPP shall not exceed 10.0% of the total outstanding capital stock of the Corporation (inclusive of the shares reserved under the ESPP) as of January 7, 2021, on an as-converted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offering period for the ESPP was five months, commencing on September 1, 2021, and ending on January 31, 2022. The second offering period will begin on March 14, 2022, and end on November 22, 2022, and the third offering period will begin on November 23, 2022, and end on May 21,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214,797 shares of the Corporation’s common stock have been purchased or distributed pursuant to the ESPP.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that the Corporation used in the Black-Scholes option-pricing model to determine the fair value of the purchase rights under the ESPP for the year ended December 31, 2021, were as follows:</w:t>
      </w:r>
    </w:p>
    <w:p>
      <w:pPr>
        <w:pStyle w:val="TextBody"/>
        <w:spacing w:before="0" w:after="0"/>
        <w:jc w:val="both"/>
        <w:rPr/>
      </w:pPr>
      <w:r>
        <w:rPr/>
      </w:r>
    </w:p>
    <w:tbl>
      <w:tblPr>
        <w:tblW w:w="4664" w:type="dxa"/>
        <w:jc w:val="left"/>
        <w:tblInd w:w="0" w:type="dxa"/>
        <w:tblCellMar>
          <w:top w:w="28" w:type="dxa"/>
          <w:left w:w="28" w:type="dxa"/>
          <w:bottom w:w="28" w:type="dxa"/>
          <w:right w:w="28" w:type="dxa"/>
        </w:tblCellMar>
      </w:tblPr>
      <w:tblGrid>
        <w:gridCol w:w="1194"/>
        <w:gridCol w:w="1052"/>
        <w:gridCol w:w="1054"/>
        <w:gridCol w:w="109"/>
        <w:gridCol w:w="109"/>
        <w:gridCol w:w="109"/>
        <w:gridCol w:w="359"/>
        <w:gridCol w:w="362"/>
        <w:gridCol w:w="316"/>
      </w:tblGrid>
      <w:tr>
        <w:trPr/>
        <w:tc>
          <w:tcPr>
            <w:tcW w:w="1194"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warrants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years ended December 31, 2021, 2020, and 2019 was $0.0 million, $7.0 million, and $0.9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activity relating to the warrants of the service providers during the years ended December 31, 2021 and 2020, respectively, is as follows: </w:t>
      </w:r>
    </w:p>
    <w:tbl>
      <w:tblPr>
        <w:tblW w:w="7855" w:type="dxa"/>
        <w:jc w:val="left"/>
        <w:tblInd w:w="0" w:type="dxa"/>
        <w:tblCellMar>
          <w:top w:w="28" w:type="dxa"/>
          <w:left w:w="28" w:type="dxa"/>
          <w:bottom w:w="28" w:type="dxa"/>
          <w:right w:w="28" w:type="dxa"/>
        </w:tblCellMar>
      </w:tblPr>
      <w:tblGrid>
        <w:gridCol w:w="1010"/>
        <w:gridCol w:w="889"/>
        <w:gridCol w:w="891"/>
        <w:gridCol w:w="604"/>
        <w:gridCol w:w="604"/>
        <w:gridCol w:w="606"/>
        <w:gridCol w:w="109"/>
        <w:gridCol w:w="109"/>
        <w:gridCol w:w="109"/>
        <w:gridCol w:w="704"/>
        <w:gridCol w:w="1706"/>
        <w:gridCol w:w="514"/>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2019</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261,681 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2020</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2020</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261,681 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2020</w:t>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261,681 </w:t>
            </w:r>
          </w:p>
        </w:tc>
        <w:tc>
          <w:tcPr>
            <w:tcW w:w="6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2021</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(261,681)</w:t>
            </w:r>
          </w:p>
        </w:tc>
        <w:tc>
          <w:tcPr>
            <w:tcW w:w="6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5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12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CCEEFF" w:val="clear"/>
            <w:tcMar>
              <w:left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19.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consisted of the following for the years ended December 31, 2021, 2020, and 2019, respectively:</w:t>
      </w:r>
    </w:p>
    <w:tbl>
      <w:tblPr>
        <w:tblW w:w="5514" w:type="dxa"/>
        <w:jc w:val="left"/>
        <w:tblInd w:w="0" w:type="dxa"/>
        <w:tblCellMar>
          <w:top w:w="28" w:type="dxa"/>
          <w:left w:w="28" w:type="dxa"/>
          <w:bottom w:w="28" w:type="dxa"/>
          <w:right w:w="28" w:type="dxa"/>
        </w:tblCellMar>
      </w:tblPr>
      <w:tblGrid>
        <w:gridCol w:w="852"/>
        <w:gridCol w:w="750"/>
        <w:gridCol w:w="753"/>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23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provision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was different from the amount computed using the federal statutory rate of 21% for the years ended December 31, 2021, 2020, and 2019, respectively, due to the following:</w:t>
      </w:r>
    </w:p>
    <w:tbl>
      <w:tblPr>
        <w:tblW w:w="7959" w:type="dxa"/>
        <w:jc w:val="left"/>
        <w:tblInd w:w="0" w:type="dxa"/>
        <w:tblCellMar>
          <w:top w:w="28" w:type="dxa"/>
          <w:left w:w="28" w:type="dxa"/>
          <w:bottom w:w="28" w:type="dxa"/>
          <w:right w:w="28" w:type="dxa"/>
        </w:tblCellMar>
      </w:tblPr>
      <w:tblGrid>
        <w:gridCol w:w="1362"/>
        <w:gridCol w:w="1199"/>
        <w:gridCol w:w="1204"/>
        <w:gridCol w:w="109"/>
        <w:gridCol w:w="109"/>
        <w:gridCol w:w="109"/>
        <w:gridCol w:w="196"/>
        <w:gridCol w:w="811"/>
        <w:gridCol w:w="109"/>
        <w:gridCol w:w="109"/>
        <w:gridCol w:w="109"/>
        <w:gridCol w:w="109"/>
        <w:gridCol w:w="196"/>
        <w:gridCol w:w="721"/>
        <w:gridCol w:w="109"/>
        <w:gridCol w:w="109"/>
        <w:gridCol w:w="109"/>
        <w:gridCol w:w="109"/>
        <w:gridCol w:w="196"/>
        <w:gridCol w:w="721"/>
        <w:gridCol w:w="154"/>
      </w:tblGrid>
      <w:tr>
        <w:trPr/>
        <w:tc>
          <w:tcPr>
            <w:tcW w:w="136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3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at federal statutory rate (21%)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convertible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convertible securities discount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related to convertible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liability related to convertible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Meals and entertainment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insurance industry fee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issued convertible securities for which the interest expense recorded in 2021 was none, and approximately $31.1 million, and $16.7 million, for 2020, and 2019, respectively, and is not deductible for tax purposes.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components of net deferred tax balances at December 31, 2021 and 2020, respectively, were as follows:</w:t>
      </w:r>
    </w:p>
    <w:tbl>
      <w:tblPr>
        <w:tblW w:w="7100" w:type="dxa"/>
        <w:jc w:val="left"/>
        <w:tblInd w:w="0" w:type="dxa"/>
        <w:tblCellMar>
          <w:top w:w="28" w:type="dxa"/>
          <w:left w:w="28" w:type="dxa"/>
          <w:bottom w:w="28" w:type="dxa"/>
          <w:right w:w="28" w:type="dxa"/>
        </w:tblCellMar>
      </w:tblPr>
      <w:tblGrid>
        <w:gridCol w:w="1563"/>
        <w:gridCol w:w="1375"/>
        <w:gridCol w:w="1381"/>
        <w:gridCol w:w="109"/>
        <w:gridCol w:w="109"/>
        <w:gridCol w:w="109"/>
        <w:gridCol w:w="196"/>
        <w:gridCol w:w="736"/>
        <w:gridCol w:w="109"/>
        <w:gridCol w:w="109"/>
        <w:gridCol w:w="109"/>
        <w:gridCol w:w="109"/>
        <w:gridCol w:w="196"/>
        <w:gridCol w:w="736"/>
        <w:gridCol w:w="154"/>
      </w:tblGrid>
      <w:tr>
        <w:trPr/>
        <w:tc>
          <w:tcPr>
            <w:tcW w:w="1563"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 (NOL)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deficiency reserve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claim reserve discounting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 and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income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loss and tax credit carryforwards and protective tax deposits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unused operating loss carryforwards available of approximately $989.1 million and $725.8 million as of December 31, 2021 and 2020,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$275.9 million and $163.2 million was established in 2021 and 2020,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does not have deposits admitted under Section 6603 of the Internal Revenue Code.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Impact of tax planning strategies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does not have any tax planning strategies that include the use of reinsurance and there are no deferred tax liabilities not recognized.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files income tax returns in the United States. The U.S. Internal Revenue Service (IRS) is not currently conducting any income tax audits. The Corporation’s federal income tax returns filed related to tax years subsequent to 2016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the Corporation’s effective tax rate.</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0" w:after="0"/>
        <w:rPr/>
      </w:pPr>
      <w:r>
        <w:rPr/>
      </w:r>
    </w:p>
    <w:p>
      <w:pPr>
        <w:pStyle w:val="TextBody"/>
        <w:spacing w:before="24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20. Net Loss Per Share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Class A and Class B common stockholders was calculated as follows:</w:t>
      </w:r>
    </w:p>
    <w:tbl>
      <w:tblPr>
        <w:tblW w:w="10205" w:type="dxa"/>
        <w:jc w:val="left"/>
        <w:tblInd w:w="0" w:type="dxa"/>
        <w:tblCellMar>
          <w:top w:w="28" w:type="dxa"/>
          <w:left w:w="28" w:type="dxa"/>
          <w:bottom w:w="28" w:type="dxa"/>
          <w:right w:w="28" w:type="dxa"/>
        </w:tblCellMar>
      </w:tblPr>
      <w:tblGrid>
        <w:gridCol w:w="2048"/>
        <w:gridCol w:w="1695"/>
        <w:gridCol w:w="1732"/>
        <w:gridCol w:w="109"/>
        <w:gridCol w:w="109"/>
        <w:gridCol w:w="109"/>
        <w:gridCol w:w="237"/>
        <w:gridCol w:w="949"/>
        <w:gridCol w:w="109"/>
        <w:gridCol w:w="109"/>
        <w:gridCol w:w="109"/>
        <w:gridCol w:w="109"/>
        <w:gridCol w:w="211"/>
        <w:gridCol w:w="883"/>
        <w:gridCol w:w="109"/>
        <w:gridCol w:w="109"/>
        <w:gridCol w:w="109"/>
        <w:gridCol w:w="109"/>
        <w:gridCol w:w="211"/>
        <w:gridCol w:w="883"/>
        <w:gridCol w:w="157"/>
      </w:tblGrid>
      <w:tr>
        <w:trPr/>
        <w:tc>
          <w:tcPr>
            <w:tcW w:w="2048"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data)</w:t>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and Class B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Basic and diluted weighted average number of Class A and Class B common shares and common share equivalents outstanding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412,922,424 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88,691,582 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87,829,419 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Corporation had a net loss during the year ended December 31, 2021, a net loss during the year ended December 31, 2020, and a net loss during the year ended December 31, 2019, the Corporation’s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Corporation excluded the following potential common shares, presented based on amounts outstanding at each period end, from the computation of diluted net loss per share attributable to Class A and Class B common stockholders for the periods indicated because including them would have had an anti-dilutive effect:</w:t>
      </w:r>
    </w:p>
    <w:tbl>
      <w:tblPr>
        <w:tblW w:w="10205" w:type="dxa"/>
        <w:jc w:val="left"/>
        <w:tblInd w:w="0" w:type="dxa"/>
        <w:tblCellMar>
          <w:top w:w="28" w:type="dxa"/>
          <w:left w:w="28" w:type="dxa"/>
          <w:bottom w:w="28" w:type="dxa"/>
          <w:right w:w="28" w:type="dxa"/>
        </w:tblCellMar>
      </w:tblPr>
      <w:tblGrid>
        <w:gridCol w:w="1974"/>
        <w:gridCol w:w="1665"/>
        <w:gridCol w:w="1672"/>
        <w:gridCol w:w="540"/>
        <w:gridCol w:w="541"/>
        <w:gridCol w:w="176"/>
        <w:gridCol w:w="141"/>
        <w:gridCol w:w="141"/>
        <w:gridCol w:w="141"/>
        <w:gridCol w:w="592"/>
        <w:gridCol w:w="594"/>
        <w:gridCol w:w="176"/>
        <w:gridCol w:w="141"/>
        <w:gridCol w:w="141"/>
        <w:gridCol w:w="141"/>
        <w:gridCol w:w="592"/>
        <w:gridCol w:w="594"/>
        <w:gridCol w:w="243"/>
      </w:tblGrid>
      <w:tr>
        <w:trPr/>
        <w:tc>
          <w:tcPr>
            <w:tcW w:w="1974"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167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5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53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Options to purchase common stock </w:t>
            </w:r>
            <w:r>
              <w:rPr>
                <w:rFonts w:ascii="Times New Roman;sans-serif" w:hAnsi="Times New Roman;sans-serif"/>
                <w:b w:val="false"/>
                <w:color w:val="000000"/>
                <w:sz w:val="13"/>
              </w:rPr>
              <w:t>(1)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32,879,626 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36,557,759 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24,344,848 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21,294,841 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27,818,524 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Convertible preferred stock (as converted to common stock)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139,444,346 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139,444,346 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Warrants to purchase common stock (as converted to common stock)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7,502,902 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4,884,132 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Warrants to purchase convertible preferred stock (as converted to common stock)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2,618,770 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shares excluded from computation of earnings per share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81,992,991 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top w:val="single" w:sz="2" w:space="0" w:color="FFFFFF"/>
              <w:bottom w:val="double" w:sz="4" w:space="0" w:color="FFFFFF"/>
            </w:tcBorders>
            <w:shd w:fill="CCEEFF" w:val="clear"/>
            <w:tcMar>
              <w:left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183,505,007 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171,292,096 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21. Commitments and Contingencies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2021, and December 31, 2020, respectively, there were no material known contingent liabilities arising outside the normal course of business.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Actions and Derivative Litigation</w:t>
      </w:r>
    </w:p>
    <w:p>
      <w:pPr>
        <w:pStyle w:val="TextBody"/>
        <w:spacing w:lineRule="auto" w:line="288" w:before="240" w:after="283"/>
        <w:jc w:val="both"/>
        <w:rPr/>
      </w:pPr>
      <w:r>
        <w:rPr>
          <w:rFonts w:ascii="Times New Roman;sans-serif" w:hAnsi="Times New Roman;sans-serif"/>
          <w:b w:val="false"/>
          <w:color w:val="000000"/>
          <w:sz w:val="20"/>
        </w:rPr>
        <w:t xml:space="preserve">In February 2021, the Corporation and certain of its directors and officers were named as defendants in putative class actions filed in the United States District Court for the Middle District of Tennessee: </w:t>
      </w:r>
      <w:r>
        <w:rPr>
          <w:rFonts w:ascii="Times New Roman;sans-serif" w:hAnsi="Times New Roman;sans-serif"/>
          <w:b w:val="false"/>
          <w:i/>
          <w:color w:val="000000"/>
          <w:sz w:val="20"/>
        </w:rPr>
        <w:t>Bond v. Clover Health Investments, Corp. et al.</w:t>
      </w:r>
      <w:r>
        <w:rPr>
          <w:rFonts w:ascii="Times New Roman;sans-serif" w:hAnsi="Times New Roman;sans-serif"/>
          <w:b w:val="false"/>
          <w:color w:val="000000"/>
          <w:sz w:val="20"/>
        </w:rPr>
        <w:t xml:space="preserve">, Case No. 3:21-cv-00096 (M.D. Tenn.); </w:t>
      </w:r>
      <w:r>
        <w:rPr>
          <w:rFonts w:ascii="Times New Roman;sans-serif" w:hAnsi="Times New Roman;sans-serif"/>
          <w:b w:val="false"/>
          <w:i/>
          <w:color w:val="000000"/>
          <w:sz w:val="20"/>
        </w:rPr>
        <w:t>Kaul v. Clover Health Investments, Corp., et al.</w:t>
      </w:r>
      <w:r>
        <w:rPr>
          <w:rFonts w:ascii="Times New Roman;sans-serif" w:hAnsi="Times New Roman;sans-serif"/>
          <w:b w:val="false"/>
          <w:color w:val="000000"/>
          <w:sz w:val="20"/>
        </w:rPr>
        <w:t xml:space="preserve">, Case No. 3:21-cv-00101 (M.D. Tenn.); </w:t>
      </w:r>
      <w:r>
        <w:rPr>
          <w:rFonts w:ascii="Times New Roman;sans-serif" w:hAnsi="Times New Roman;sans-serif"/>
          <w:b w:val="false"/>
          <w:i/>
          <w:color w:val="000000"/>
          <w:sz w:val="20"/>
        </w:rPr>
        <w:t>Yaniv v. Clover Health Investments, Corp., et al.</w:t>
      </w:r>
      <w:r>
        <w:rPr>
          <w:rFonts w:ascii="Times New Roman;sans-serif" w:hAnsi="Times New Roman;sans-serif"/>
          <w:b w:val="false"/>
          <w:color w:val="000000"/>
          <w:sz w:val="20"/>
        </w:rPr>
        <w:t xml:space="preserve">, Case No. 3:21-cv-00109 (M.D. Tenn.); and </w:t>
      </w:r>
      <w:r>
        <w:rPr>
          <w:rFonts w:ascii="Times New Roman;sans-serif" w:hAnsi="Times New Roman;sans-serif"/>
          <w:b w:val="false"/>
          <w:i/>
          <w:color w:val="000000"/>
          <w:sz w:val="20"/>
        </w:rPr>
        <w:t>Tremblay v. Clover Health Investments, Corp., et al.</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0" w:after="0"/>
        <w:rPr/>
      </w:pPr>
      <w:r>
        <w:rPr/>
      </w:r>
    </w:p>
    <w:p>
      <w:pPr>
        <w:pStyle w:val="TextBody"/>
        <w:spacing w:lineRule="auto" w:line="288" w:before="240" w:after="283"/>
        <w:jc w:val="both"/>
        <w:rPr/>
      </w:pPr>
      <w:r>
        <w:rPr>
          <w:rFonts w:ascii="Times New Roman;sans-serif" w:hAnsi="Times New Roman;sans-serif"/>
          <w:b w:val="false"/>
          <w:color w:val="000000"/>
          <w:sz w:val="20"/>
        </w:rPr>
        <w:t xml:space="preserve">Case No. 3:21-cv-00138 (M.D. Tenn.). The complaints asserted violations of sections 10(b) and 20(a) of the Exchange Act and Rule 10b-5 promulgated under the Exchange Act. The </w:t>
      </w:r>
      <w:r>
        <w:rPr>
          <w:rFonts w:ascii="Times New Roman;sans-serif" w:hAnsi="Times New Roman;sans-serif"/>
          <w:b w:val="false"/>
          <w:i/>
          <w:color w:val="000000"/>
          <w:sz w:val="20"/>
        </w:rPr>
        <w:t>Kaul</w:t>
      </w:r>
      <w:r>
        <w:rPr>
          <w:color w:val="000000"/>
        </w:rPr>
        <w:t xml:space="preserve"> </w:t>
      </w:r>
      <w:r>
        <w:rPr>
          <w:rFonts w:ascii="Times New Roman;sans-serif" w:hAnsi="Times New Roman;sans-serif"/>
          <w:b w:val="false"/>
          <w:color w:val="000000"/>
          <w:sz w:val="20"/>
        </w:rPr>
        <w:t>action asserted additional claims under sections 11 and 15 of the Securities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complaints generally related to allegations published in an article issued on February 4, 2021, by Hindenburg Research LLC (the “Hindenburg Article”). The complaints seek unspecified damages on behalf of all persons and entities who purchased or acquired Clover securities during the proposed class period (which begins on October 6, 2020, and, depending on the complaint, ends on February 3, 2021, or February 4, 2021), as well as certain other costs.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April 2021, the Middle District of Tennessee class actions described above were consolidated under </w:t>
      </w:r>
      <w:r>
        <w:rPr>
          <w:rFonts w:ascii="Times New Roman;sans-serif" w:hAnsi="Times New Roman;sans-serif"/>
          <w:b w:val="false"/>
          <w:i/>
          <w:color w:val="000000"/>
          <w:sz w:val="20"/>
        </w:rPr>
        <w:t>Bond v. Clover Health Investments, Corp., et al.</w:t>
      </w:r>
      <w:r>
        <w:rPr>
          <w:rFonts w:ascii="Times New Roman;sans-serif" w:hAnsi="Times New Roman;sans-serif"/>
          <w:b w:val="false"/>
          <w:color w:val="000000"/>
          <w:sz w:val="20"/>
        </w:rPr>
        <w:t xml:space="preserve">, Case No. 3:21-cv-00096 (M.D. Tenn.) as lead case. The court appointed a lead plaintiff, approved a lead counsel and a liaison counsel, and approved the parties' proposed schedule for filing an amended complaint and the defendants' responses. In June 2021, the lead plaintiff and a named plaintiff filed the amended complaint, asserting violations of sections 10(b) and 20(a) of the Exchange Act and Rule 10b-5 promulgated under the Exchange Act. The amended complaint names Clover and certain of its officers and directors as defendants and removes certain defendants named in the initial complaints. The amended complaint generally relates to allegations published in the Hindenburg Article and seeks unspecified damages on behalf of all persons and entities other than the defendants who purchased or acquired Clover securities during the proposed class period (which begins on October 6, 2020, and ends on February 3, 2021), as well as certain other costs. The Corporation moved to dismiss the complaint on August 27, 2021; that motion is fully briefed and pending before the court. In light of the consolidation and appointment of lead counsel for the proposed class members, the plaintiffs in the </w:t>
      </w:r>
      <w:r>
        <w:rPr>
          <w:rFonts w:ascii="Times New Roman;sans-serif" w:hAnsi="Times New Roman;sans-serif"/>
          <w:b w:val="false"/>
          <w:i/>
          <w:color w:val="000000"/>
          <w:sz w:val="20"/>
        </w:rPr>
        <w:t>Kaul</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Yaniv</w:t>
      </w:r>
      <w:r>
        <w:rPr>
          <w:color w:val="000000"/>
        </w:rPr>
        <w:t xml:space="preserve"> </w:t>
      </w:r>
      <w:r>
        <w:rPr>
          <w:rFonts w:ascii="Times New Roman;sans-serif" w:hAnsi="Times New Roman;sans-serif"/>
          <w:b w:val="false"/>
          <w:color w:val="000000"/>
          <w:sz w:val="20"/>
        </w:rPr>
        <w:t>actions filed notices of voluntary dismissal without prejudice on April 23, 2021, and January 28, 2022, respectively.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Parallel shareholder derivative actions have also been filed, naming Clover as a nominal defendant. The first action was filed in the United States District Court for the District of Delaware and is captioned </w:t>
      </w:r>
      <w:r>
        <w:rPr>
          <w:rFonts w:ascii="Times New Roman;sans-serif" w:hAnsi="Times New Roman;sans-serif"/>
          <w:b w:val="false"/>
          <w:i/>
          <w:color w:val="000000"/>
          <w:sz w:val="20"/>
        </w:rPr>
        <w:t>Furman v. Garipalli, et al</w:t>
      </w:r>
      <w:r>
        <w:rPr>
          <w:rFonts w:ascii="Times New Roman;sans-serif" w:hAnsi="Times New Roman;sans-serif"/>
          <w:b w:val="false"/>
          <w:color w:val="000000"/>
          <w:sz w:val="20"/>
        </w:rPr>
        <w:t>., Case No. 1:21-cv-00191 (D. Del.). The complaint asserts violations of sections 10(b) and 21D of the Exchange Act, breach of fiduciary duty, and waste of corporate assets against certain of the Corporation’s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w:t>
      </w:r>
      <w:r>
        <w:rPr>
          <w:color w:val="000000"/>
        </w:rPr>
        <w:t xml:space="preserve"> </w:t>
      </w:r>
      <w:r>
        <w:rPr>
          <w:rFonts w:ascii="Times New Roman;sans-serif" w:hAnsi="Times New Roman;sans-serif"/>
          <w:b w:val="false"/>
          <w:i/>
          <w:color w:val="000000"/>
          <w:sz w:val="20"/>
        </w:rPr>
        <w:t>Sun v. Garipalli, et al</w:t>
      </w:r>
      <w:r>
        <w:rPr>
          <w:rFonts w:ascii="Times New Roman;sans-serif" w:hAnsi="Times New Roman;sans-serif"/>
          <w:b w:val="false"/>
          <w:color w:val="000000"/>
          <w:sz w:val="20"/>
        </w:rPr>
        <w:t xml:space="preserve">., Case No. 3:21-cv-00311 (M.D. Tenn.), and </w:t>
      </w:r>
      <w:r>
        <w:rPr>
          <w:rFonts w:ascii="Times New Roman;sans-serif" w:hAnsi="Times New Roman;sans-serif"/>
          <w:b w:val="false"/>
          <w:i/>
          <w:color w:val="000000"/>
          <w:sz w:val="20"/>
        </w:rPr>
        <w:t>Luthra v. Garipalli, et al.</w:t>
      </w:r>
      <w:r>
        <w:rPr>
          <w:rFonts w:ascii="Times New Roman;sans-serif" w:hAnsi="Times New Roman;sans-serif"/>
          <w:b w:val="false"/>
          <w:color w:val="000000"/>
          <w:sz w:val="20"/>
        </w:rPr>
        <w:t>,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pStyle w:val="TextBody"/>
        <w:spacing w:lineRule="auto" w:line="288" w:before="0" w:after="0"/>
        <w:jc w:val="both"/>
        <w:rPr/>
      </w:pPr>
      <w:r>
        <w:rPr>
          <w:rFonts w:ascii="Times New Roman;sans-serif" w:hAnsi="Times New Roman;sans-serif"/>
          <w:b w:val="false"/>
          <w:color w:val="000000"/>
          <w:sz w:val="20"/>
        </w:rPr>
        <w:t xml:space="preserve">The fourth action was filed in the United States District of Delaware and is captioned </w:t>
      </w:r>
      <w:r>
        <w:rPr>
          <w:rFonts w:ascii="Times New Roman;sans-serif" w:hAnsi="Times New Roman;sans-serif"/>
          <w:b w:val="false"/>
          <w:i/>
          <w:color w:val="000000"/>
          <w:sz w:val="20"/>
        </w:rPr>
        <w:t>Wiegand v. Garipalli, et al.</w:t>
      </w:r>
      <w:r>
        <w:rPr>
          <w:rFonts w:ascii="Times New Roman;sans-serif" w:hAnsi="Times New Roman;sans-serif"/>
          <w:b w:val="false"/>
          <w:color w:val="000000"/>
          <w:sz w:val="20"/>
        </w:rPr>
        <w:t xml:space="preserve">, Case No. 1:21-cv-01053 (D. Del.). The complaint asserts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w:t>
      </w:r>
      <w:r>
        <w:rPr>
          <w:rFonts w:ascii="Times New Roman;sans-serif" w:hAnsi="Times New Roman;sans-serif"/>
          <w:b w:val="false"/>
          <w:i/>
          <w:color w:val="000000"/>
          <w:sz w:val="20"/>
        </w:rPr>
        <w:t>Sankaranarayanan v. Palihapitiya, et al.</w:t>
      </w:r>
      <w:r>
        <w:rPr>
          <w:rFonts w:ascii="Times New Roman;sans-serif" w:hAnsi="Times New Roman;sans-serif"/>
          <w:b w:val="false"/>
          <w:color w:val="000000"/>
          <w:sz w:val="20"/>
        </w:rPr>
        <w:t xml:space="preserve">,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 </w:t>
      </w:r>
    </w:p>
    <w:p>
      <w:pPr>
        <w:pStyle w:val="TextBody"/>
        <w:spacing w:lineRule="auto" w:line="288" w:before="0" w:after="0"/>
        <w:jc w:val="both"/>
        <w:rPr/>
      </w:pPr>
      <w:r>
        <w:rPr>
          <w:rFonts w:ascii="Times New Roman;sans-serif" w:hAnsi="Times New Roman;sans-serif"/>
          <w:b w:val="false"/>
          <w:color w:val="000000"/>
          <w:sz w:val="20"/>
        </w:rPr>
        <w:t xml:space="preserve">The sixth action was filed in the Delaware Court of Chancery and is captioned </w:t>
      </w:r>
      <w:r>
        <w:rPr>
          <w:rFonts w:ascii="Times New Roman;sans-serif" w:hAnsi="Times New Roman;sans-serif"/>
          <w:b w:val="false"/>
          <w:i/>
          <w:color w:val="000000"/>
          <w:sz w:val="20"/>
        </w:rPr>
        <w:t>Davies v. Garipalli, et al.</w:t>
      </w:r>
      <w:r>
        <w:rPr>
          <w:rFonts w:ascii="Times New Roman;sans-serif" w:hAnsi="Times New Roman;sans-serif"/>
          <w:b w:val="false"/>
          <w:color w:val="000000"/>
          <w:sz w:val="20"/>
        </w:rPr>
        <w:t xml:space="preserve">,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w:t>
      </w:r>
      <w:r>
        <w:rPr>
          <w:rFonts w:ascii="Times New Roman;sans-serif" w:hAnsi="Times New Roman;sans-serif"/>
          <w:b w:val="false"/>
          <w:i/>
          <w:color w:val="000000"/>
          <w:sz w:val="20"/>
        </w:rPr>
        <w:t>Uvaydov v. Palihapitiya, et al.</w:t>
      </w:r>
      <w:r>
        <w:rPr>
          <w:rFonts w:ascii="Times New Roman;sans-serif" w:hAnsi="Times New Roman;sans-serif"/>
          <w:b w:val="false"/>
          <w:color w:val="000000"/>
          <w:sz w:val="20"/>
        </w:rPr>
        <w:t>,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pStyle w:val="TextBody"/>
        <w:spacing w:lineRule="auto" w:line="288" w:before="0" w:after="0"/>
        <w:jc w:val="both"/>
        <w:rPr/>
      </w:pPr>
      <w:r>
        <w:rPr>
          <w:rFonts w:ascii="Times New Roman;sans-serif" w:hAnsi="Times New Roman;sans-serif"/>
          <w:b w:val="false"/>
          <w:color w:val="000000"/>
          <w:sz w:val="20"/>
        </w:rPr>
        <w:t xml:space="preserve">On May 10, 2021, the Middle District of Tennessee shareholder derivative actions described above were consolidated under </w:t>
      </w:r>
      <w:r>
        <w:rPr>
          <w:rFonts w:ascii="Times New Roman;sans-serif" w:hAnsi="Times New Roman;sans-serif"/>
          <w:b w:val="false"/>
          <w:i/>
          <w:color w:val="000000"/>
          <w:sz w:val="20"/>
        </w:rPr>
        <w:t>Sun v. Garipalli, et al.</w:t>
      </w:r>
      <w:r>
        <w:rPr>
          <w:rFonts w:ascii="Times New Roman;sans-serif" w:hAnsi="Times New Roman;sans-serif"/>
          <w:b w:val="false"/>
          <w:color w:val="000000"/>
          <w:sz w:val="20"/>
        </w:rPr>
        <w:t xml:space="preserve">, Case No. 3:21-cv-00311 (M.D. Tenn.) as lead case. The court designated co-lead counsel and liaison counsel and ordered the parties to submit a proposed schedule for the initial stage of the case. In June 2021, the parties in the </w:t>
      </w:r>
      <w:r>
        <w:rPr>
          <w:rFonts w:ascii="Times New Roman;sans-serif" w:hAnsi="Times New Roman;sans-serif"/>
          <w:b w:val="false"/>
          <w:i/>
          <w:color w:val="000000"/>
          <w:sz w:val="20"/>
        </w:rPr>
        <w:t>Sun and Furman</w:t>
      </w:r>
      <w:r>
        <w:rPr>
          <w:color w:val="000000"/>
        </w:rPr>
        <w:t xml:space="preserve"> </w:t>
      </w:r>
      <w:r>
        <w:rPr>
          <w:rFonts w:ascii="Times New Roman;sans-serif" w:hAnsi="Times New Roman;sans-serif"/>
          <w:b w:val="false"/>
          <w:color w:val="000000"/>
          <w:sz w:val="20"/>
        </w:rPr>
        <w:t xml:space="preserve">actions submitted joint stipulations and proposed orders to stay both actions. Soon thereafter, the courts in both actions approved the stipulations, thereby staying all proceedings and deadlines in the Sun and Furman actions pending a final decision on the motion to dismiss in the Middle District of Tennessee class actions consolidated under the </w:t>
      </w:r>
      <w:r>
        <w:rPr>
          <w:rFonts w:ascii="Times New Roman;sans-serif" w:hAnsi="Times New Roman;sans-serif"/>
          <w:b w:val="false"/>
          <w:i/>
          <w:color w:val="000000"/>
          <w:sz w:val="20"/>
        </w:rPr>
        <w:t>Bond</w:t>
      </w:r>
      <w:r>
        <w:rPr>
          <w:color w:val="000000"/>
        </w:rPr>
        <w:t xml:space="preserve"> </w:t>
      </w:r>
      <w:r>
        <w:rPr>
          <w:rFonts w:ascii="Times New Roman;sans-serif" w:hAnsi="Times New Roman;sans-serif"/>
          <w:b w:val="false"/>
          <w:color w:val="000000"/>
          <w:sz w:val="20"/>
        </w:rPr>
        <w:t xml:space="preserve">action, and approving the filing of an amended complaint. On November 30, 2021, the </w:t>
      </w:r>
      <w:r>
        <w:rPr>
          <w:rFonts w:ascii="Times New Roman;sans-serif" w:hAnsi="Times New Roman;sans-serif"/>
          <w:b w:val="false"/>
          <w:i/>
          <w:color w:val="000000"/>
          <w:sz w:val="20"/>
        </w:rPr>
        <w:t>Sun and Luthra</w:t>
      </w:r>
      <w:r>
        <w:rPr>
          <w:color w:val="000000"/>
        </w:rPr>
        <w:t xml:space="preserve"> </w:t>
      </w:r>
      <w:r>
        <w:rPr>
          <w:rFonts w:ascii="Times New Roman;sans-serif" w:hAnsi="Times New Roman;sans-serif"/>
          <w:b w:val="false"/>
          <w:color w:val="000000"/>
          <w:sz w:val="20"/>
        </w:rPr>
        <w:t xml:space="preserve">plaintiffs filed an amended complaint, asserting violations of section 14(a) of </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pStyle w:val="TextBody"/>
        <w:spacing w:lineRule="auto" w:line="288" w:before="0" w:after="0"/>
        <w:jc w:val="both"/>
        <w:rPr/>
      </w:pPr>
      <w:r>
        <w:rPr>
          <w:rFonts w:ascii="Times New Roman;sans-serif" w:hAnsi="Times New Roman;sans-serif"/>
          <w:b w:val="false"/>
          <w:color w:val="000000"/>
          <w:sz w:val="20"/>
        </w:rPr>
        <w:t xml:space="preserve">On September 16, 2021, the two District of Delaware derivative actions were consolidated under </w:t>
      </w:r>
      <w:r>
        <w:rPr>
          <w:rFonts w:ascii="Times New Roman;sans-serif" w:hAnsi="Times New Roman;sans-serif"/>
          <w:b w:val="false"/>
          <w:i/>
          <w:color w:val="000000"/>
          <w:sz w:val="20"/>
        </w:rPr>
        <w:t>In re Clover Health Investments, Corp. Derivative Litigation</w:t>
      </w:r>
      <w:r>
        <w:rPr>
          <w:rFonts w:ascii="Times New Roman;sans-serif" w:hAnsi="Times New Roman;sans-serif"/>
          <w:b w:val="false"/>
          <w:color w:val="000000"/>
          <w:sz w:val="20"/>
        </w:rPr>
        <w:t xml:space="preserve">, Case No. 1:21-cv-00191-LPS (Consolidated). The Furman complaint was deemed the operative complaint. All proceedings and deadlines in that matter are also stayed pending a final decision on the motion to dismiss in the Bond Action. On January 19, 2022, the court in Davies approved the parties’ joint stipulation and proposed order to stay all proceedings and deadlines in the action pending a final decision on the motion to dismiss in the Middle District of Tennessee class actions consolidated under the </w:t>
      </w:r>
      <w:r>
        <w:rPr>
          <w:rFonts w:ascii="Times New Roman;sans-serif" w:hAnsi="Times New Roman;sans-serif"/>
          <w:b w:val="false"/>
          <w:i/>
          <w:color w:val="000000"/>
          <w:sz w:val="20"/>
        </w:rPr>
        <w:t>Bond</w:t>
      </w:r>
      <w:r>
        <w:rPr>
          <w:color w:val="000000"/>
        </w:rPr>
        <w:t xml:space="preserve"> </w:t>
      </w:r>
      <w:r>
        <w:rPr>
          <w:rFonts w:ascii="Times New Roman;sans-serif" w:hAnsi="Times New Roman;sans-serif"/>
          <w:b w:val="false"/>
          <w:color w:val="000000"/>
          <w:sz w:val="20"/>
        </w:rPr>
        <w:t>action.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parties in the New York derivative actions agreed to stay and consolidate those two actions into one action. On February 2, 2022, the parties filed a stipulation with the court to that effect. Upon the court’s approval, the complaint in the </w:t>
      </w:r>
      <w:r>
        <w:rPr>
          <w:rFonts w:ascii="Times New Roman;sans-serif" w:hAnsi="Times New Roman;sans-serif"/>
          <w:b w:val="false"/>
          <w:i/>
          <w:color w:val="000000"/>
          <w:sz w:val="20"/>
        </w:rPr>
        <w:t>Sankaranarayanan</w:t>
      </w:r>
      <w:r>
        <w:rPr>
          <w:color w:val="000000"/>
        </w:rPr>
        <w:t xml:space="preserve"> </w:t>
      </w:r>
      <w:r>
        <w:rPr>
          <w:rFonts w:ascii="Times New Roman;sans-serif" w:hAnsi="Times New Roman;sans-serif"/>
          <w:b w:val="false"/>
          <w:color w:val="000000"/>
          <w:sz w:val="20"/>
        </w:rPr>
        <w:t xml:space="preserve">action will be deemed the operative complaint in the New York derivative actions and the parties will submit a proposed scheduling order for defendants’ response to that complaint.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Provider Payment Disputes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Corporation is currently involved in multiple disputes with healthcare providers and facilities involving allegations that the Corporation failed to appropriately reimburse the providers/facilities for services provided to the Corporation’s Medicare Advantage plan members. These disputes include, but are not limited to, a suit filed on December 15, 2021 in the Superior Court of New Jersey that is captioned </w:t>
      </w:r>
      <w:r>
        <w:rPr>
          <w:rFonts w:ascii="Times New Roman;sans-serif" w:hAnsi="Times New Roman;sans-serif"/>
          <w:b w:val="false"/>
          <w:i/>
          <w:color w:val="000000"/>
          <w:sz w:val="20"/>
        </w:rPr>
        <w:t>Columbus Ltach, LLC vs. Wellcare Health Plans, Inc., et. al.</w:t>
      </w:r>
      <w:r>
        <w:rPr>
          <w:rFonts w:ascii="Times New Roman;sans-serif" w:hAnsi="Times New Roman;sans-serif"/>
          <w:b w:val="false"/>
          <w:color w:val="000000"/>
          <w:sz w:val="20"/>
        </w:rPr>
        <w:t>, Docket No. L-009587-21 (N.J. Super. Ct. Law Div.), in which the plaintiff claims underpayments of over $0.3 million, and seeks related relief.</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Guaranty Assessments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22. Direct Contracting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Corporation began participating in the DC Model, which utilizes a structured model intended to reduce expenditures and preserve or enhance quality of care for beneficiaries in Medicare FFS. As a participating entity in the DC Model with a global risk arrangement, the Corporation assumes the responsibility of guaranteeing the performance of its care network. The DC Model is intended to reduce the administrative burden, support a focus on complex, chronically ill patients, and encourage physician organizations that have not typically participated in Medicare FFS to serve beneficiaries in Medicare FFS.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Key components of the financial agreement for Direct Contracting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Performance Year Benchmark</w:t>
      </w:r>
      <w:r>
        <w:rPr>
          <w:color w:val="000000"/>
        </w:rPr>
        <w:t xml:space="preserve"> </w:t>
      </w:r>
      <w:r>
        <w:rPr>
          <w:rFonts w:ascii="Times New Roman;sans-serif" w:hAnsi="Times New Roman;sans-serif"/>
          <w:b w:val="false"/>
          <w:color w:val="000000"/>
          <w:sz w:val="20"/>
        </w:rPr>
        <w:t>The target amount for Medicare expenditures on covered items and services (Medicare Part A and B) furnished to a DCE’s aligned beneficiaries during a performance year. The Performance Year Benchmark will be compared to the DCE’s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Performance Year</w:t>
      </w:r>
      <w:r>
        <w:rPr>
          <w:color w:val="000000"/>
        </w:rPr>
        <w:t xml:space="preserve"> </w:t>
      </w:r>
      <w:r>
        <w:rPr>
          <w:rFonts w:ascii="Times New Roman;sans-serif" w:hAnsi="Times New Roman;sans-serif"/>
          <w:b w:val="false"/>
          <w:color w:val="000000"/>
          <w:sz w:val="20"/>
        </w:rPr>
        <w:t>A calendar year except for the commencement year, which began on April 1, 2021, and will end on December 31, 2021.</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Risk-Sharing Arrangements</w:t>
      </w:r>
      <w:r>
        <w:rPr>
          <w:color w:val="000000"/>
        </w:rPr>
        <w:t xml:space="preserve"> </w:t>
      </w:r>
      <w:r>
        <w:rPr>
          <w:rFonts w:ascii="Times New Roman;sans-serif" w:hAnsi="Times New Roman;sans-serif"/>
          <w:b w:val="false"/>
          <w:color w:val="000000"/>
          <w:sz w:val="20"/>
        </w:rPr>
        <w:t>Used in determining the percent of savings and losses that DCEs are eligible to receive as shared savings or may be required to repay as shared losses.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 xml:space="preserve">Financial Reconciliation </w:t>
      </w:r>
      <w:r>
        <w:rPr>
          <w:rFonts w:ascii="Times New Roman;sans-serif" w:hAnsi="Times New Roman;sans-serif"/>
          <w:b w:val="false"/>
          <w:color w:val="000000"/>
          <w:sz w:val="20"/>
        </w:rPr>
        <w:t>The process by which CMS determines shared savings or shared losses by comparing the calculated total benchmark expenditure for a given DCE’s aligned population to the actual expenditures of that DCE’s aligned beneficiaries over the course of a performance year that includes various risk-mitigation options such as stop-loss reinsurance and risk corridors.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Risk-Mitigation Options</w:t>
      </w:r>
      <w:r>
        <w:rPr>
          <w:color w:val="000000"/>
        </w:rPr>
        <w:t xml:space="preserve"> </w:t>
      </w:r>
      <w:r>
        <w:rPr>
          <w:rFonts w:ascii="Times New Roman;sans-serif" w:hAnsi="Times New Roman;sans-serif"/>
          <w:b w:val="false"/>
          <w:color w:val="000000"/>
          <w:sz w:val="20"/>
        </w:rPr>
        <w:t>DCEs may elect a “stop-loss arrangement” each performance year, which is designed to reduce the financial uncertainty associated with high-cost expenditures of individual beneficiaries. The Corporation has elected participation in the program for the current performance year. Additionally, CMS has created a mandatory risk corridor program that allocates the DCE’s shared savings and losses in bands of percentage thresholds, after a deviation of greater than 25.0% of the Performance Year Benchmark.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Corporation’s arrangements with third-party providers require it to guarantee the performance of its care network to CMS, which if not obtained, could potentially result in payment to CMS during the financial reconciliation period. As a result of the DC agreement, the Corporation determined that there was a performance guarantee with the providers of DCE Beneficiaries that should be recognized in the consolidated financial statements. The Direct Contracting performance year obligation and receivable were initially measured as the target amount for Medicare expenditures on covered items and services. The obligation and receivable were subsequently amortized on a straight-line basis for the amount that represented the completed performance. The DCE is entitled to all of the consideration under the arrangement for all aligned beneficiaries and in the performance year in which the DCE is a participant, the final consideration due to the DCE by CMS (shared savings) or the consideration due to CMS by the DCE (shared loss) is reconciled in the subsequent years following the performance year. The shared savings or loss is measured periodically and will be applied to the Direct Contracting performance obligation if the Corporation is in a probable loss position. The Corporation is unable to estimate the maximum potential amount of future payments under the guarantee. This is attributable to the stop-loss arrangement and the corridors (tiered levels) in the arrangement. A certain percentage of these arrangements will still be the responsibility of the Corporation in addition to a number of variables that are not reasonable for the Corporation to estimate such as, but not limited to, risk ratings and benchmark trends that have an inestimable impact on the estimate of future payments.</w:t>
      </w:r>
    </w:p>
    <w:p>
      <w:pPr>
        <w:pStyle w:val="TextBody"/>
        <w:spacing w:before="0" w:after="0"/>
        <w:rPr/>
      </w:pPr>
      <w:r>
        <w:rPr/>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include the financial statement impacts of the performance guarantee:</w:t>
      </w:r>
    </w:p>
    <w:p>
      <w:pPr>
        <w:pStyle w:val="TextBody"/>
        <w:spacing w:before="0" w:after="0"/>
        <w:rPr/>
      </w:pPr>
      <w:r>
        <w:rPr/>
      </w:r>
    </w:p>
    <w:tbl>
      <w:tblPr>
        <w:tblW w:w="10122" w:type="dxa"/>
        <w:jc w:val="left"/>
        <w:tblInd w:w="0" w:type="dxa"/>
        <w:tblCellMar>
          <w:top w:w="28" w:type="dxa"/>
          <w:left w:w="28" w:type="dxa"/>
          <w:bottom w:w="28" w:type="dxa"/>
          <w:right w:w="28" w:type="dxa"/>
        </w:tblCellMar>
      </w:tblPr>
      <w:tblGrid>
        <w:gridCol w:w="2444"/>
        <w:gridCol w:w="2144"/>
        <w:gridCol w:w="2157"/>
        <w:gridCol w:w="175"/>
        <w:gridCol w:w="175"/>
        <w:gridCol w:w="175"/>
        <w:gridCol w:w="780"/>
        <w:gridCol w:w="1500"/>
        <w:gridCol w:w="572"/>
      </w:tblGrid>
      <w:tr>
        <w:trPr/>
        <w:tc>
          <w:tcPr>
            <w:tcW w:w="2444"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6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performance year receivable</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Direct Contracting performance year obligation </w:t>
            </w:r>
            <w:r>
              <w:rPr>
                <w:rFonts w:ascii="Times New Roman;sans-serif" w:hAnsi="Times New Roman;sans-serif"/>
                <w:b w:val="false"/>
                <w:color w:val="000000"/>
                <w:sz w:val="13"/>
              </w:rPr>
              <w:t>(1)</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36,891 </w:t>
            </w:r>
          </w:p>
        </w:tc>
        <w:tc>
          <w:tcPr>
            <w:tcW w:w="5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5"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2852" w:type="dxa"/>
            <w:gridSpan w:val="3"/>
            <w:tcBorders/>
            <w:shd w:fill="auto" w:val="clear"/>
            <w:vAlign w:val="center"/>
          </w:tcPr>
          <w:p>
            <w:pPr>
              <w:pStyle w:val="TableContents"/>
              <w:spacing w:before="0" w:after="283"/>
              <w:rPr>
                <w:sz w:val="4"/>
                <w:szCs w:val="4"/>
              </w:rPr>
            </w:pPr>
            <w:r>
              <w:rPr>
                <w:sz w:val="4"/>
                <w:szCs w:val="4"/>
              </w:rPr>
            </w:r>
          </w:p>
        </w:tc>
      </w:tr>
      <w:tr>
        <w:trPr/>
        <w:tc>
          <w:tcPr>
            <w:tcW w:w="10122" w:type="dxa"/>
            <w:gridSpan w:val="9"/>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obligation represents the consideration due to providers, net of the shared savings or loss for the period and amortization of the liability.</w:t>
            </w:r>
          </w:p>
        </w:tc>
      </w:tr>
    </w:tbl>
    <w:tbl>
      <w:tblPr>
        <w:tblW w:w="8929" w:type="dxa"/>
        <w:jc w:val="left"/>
        <w:tblInd w:w="0" w:type="dxa"/>
        <w:tblCellMar>
          <w:top w:w="28" w:type="dxa"/>
          <w:left w:w="28" w:type="dxa"/>
          <w:bottom w:w="28" w:type="dxa"/>
          <w:right w:w="28" w:type="dxa"/>
        </w:tblCellMar>
      </w:tblPr>
      <w:tblGrid>
        <w:gridCol w:w="2032"/>
        <w:gridCol w:w="1784"/>
        <w:gridCol w:w="1794"/>
        <w:gridCol w:w="109"/>
        <w:gridCol w:w="109"/>
        <w:gridCol w:w="109"/>
        <w:gridCol w:w="109"/>
        <w:gridCol w:w="109"/>
        <w:gridCol w:w="462"/>
        <w:gridCol w:w="1975"/>
        <w:gridCol w:w="337"/>
      </w:tblGrid>
      <w:tr>
        <w:trPr/>
        <w:tc>
          <w:tcPr>
            <w:tcW w:w="2032"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Direct Contracting performance year receivable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(664,224)</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Direct Contracting performance year obligation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664,224 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23. Operating Segments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manages operations based on two reportable segments: Medicare Advantage and Direct Contracting. The reportable segments are distinguished based on the healthcare delivery business model. Its Medicare Advantage segment is an insurance business model that focuses on leveraging the Clover Assistant at the point of care. Its Direct Contracting segment is similar to a cost management and care coordination model accounted for as a performance guarantee, where Clover is responsible for coordinating care, managing costs, and providing support to providers and their DCE Beneficiaries through the use of Clover Assistant. These segment groupings are consistent with information used by the Chief Executive Officer, the Corporation’s chief operating decision maker, to assess performance and allocate resources. There are certain revenues and expenses that are attributable to clinical services and corporate overhead; these amounts are reported separately from reportable segments in the tables presenting segment results below.</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operations of the Corporation are organized into the following two segments: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Medicare Advantage Segment</w:t>
      </w:r>
      <w:r>
        <w:rPr>
          <w:color w:val="000000"/>
        </w:rPr>
        <w:t xml:space="preserve"> </w:t>
      </w:r>
      <w:r>
        <w:rPr>
          <w:rFonts w:ascii="Times New Roman;sans-serif" w:hAnsi="Times New Roman;sans-serif"/>
          <w:b w:val="false"/>
          <w:color w:val="000000"/>
          <w:sz w:val="20"/>
        </w:rPr>
        <w:t>includes operations related to the Corporation’s MA plans, which generally provide access to a wide network of primary care providers, specialists, and hospitals.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Direct Contracting Segment</w:t>
      </w:r>
      <w:r>
        <w:rPr>
          <w:color w:val="000000"/>
        </w:rPr>
        <w:t xml:space="preserve"> </w:t>
      </w:r>
      <w:r>
        <w:rPr>
          <w:rFonts w:ascii="Times New Roman;sans-serif" w:hAnsi="Times New Roman;sans-serif"/>
          <w:b w:val="false"/>
          <w:color w:val="000000"/>
          <w:sz w:val="20"/>
        </w:rPr>
        <w:t>includes the Corporation’s operations relating to CMS’ DC Model, which provides options aimed at reducing expenditures and preserving or enhancing quality of care for beneficiaries.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Corporate/Other (Non-Segment)</w:t>
      </w:r>
      <w:r>
        <w:rPr>
          <w:color w:val="000000"/>
        </w:rPr>
        <w:t xml:space="preserve"> </w:t>
      </w:r>
      <w:r>
        <w:rPr>
          <w:rFonts w:ascii="Times New Roman;sans-serif" w:hAnsi="Times New Roman;sans-serif"/>
          <w:b w:val="false"/>
          <w:color w:val="000000"/>
          <w:sz w:val="20"/>
        </w:rPr>
        <w:t>includes other clinical services not included in Medicare Advantage and Direct Contracting and all other corporate overhead. Clinical services is comprised of Clover Home Care and other clinical services that are offered to eligible beneficiaries.</w:t>
      </w:r>
    </w:p>
    <w:p>
      <w:pPr>
        <w:pStyle w:val="TextBody"/>
        <w:spacing w:lineRule="auto" w:line="288" w:before="30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Corporation’s results by operating segment:</w:t>
      </w:r>
    </w:p>
    <w:tbl>
      <w:tblPr>
        <w:tblW w:w="10205" w:type="dxa"/>
        <w:jc w:val="left"/>
        <w:tblInd w:w="0" w:type="dxa"/>
        <w:tblCellMar>
          <w:top w:w="28" w:type="dxa"/>
          <w:left w:w="28" w:type="dxa"/>
          <w:bottom w:w="28" w:type="dxa"/>
          <w:right w:w="28" w:type="dxa"/>
        </w:tblCellMar>
      </w:tblPr>
      <w:tblGrid>
        <w:gridCol w:w="865"/>
        <w:gridCol w:w="641"/>
        <w:gridCol w:w="642"/>
        <w:gridCol w:w="109"/>
        <w:gridCol w:w="109"/>
        <w:gridCol w:w="109"/>
        <w:gridCol w:w="211"/>
        <w:gridCol w:w="826"/>
        <w:gridCol w:w="109"/>
        <w:gridCol w:w="109"/>
        <w:gridCol w:w="109"/>
        <w:gridCol w:w="109"/>
        <w:gridCol w:w="255"/>
        <w:gridCol w:w="900"/>
        <w:gridCol w:w="134"/>
        <w:gridCol w:w="109"/>
        <w:gridCol w:w="109"/>
        <w:gridCol w:w="109"/>
        <w:gridCol w:w="222"/>
        <w:gridCol w:w="1030"/>
        <w:gridCol w:w="115"/>
        <w:gridCol w:w="109"/>
        <w:gridCol w:w="109"/>
        <w:gridCol w:w="109"/>
        <w:gridCol w:w="211"/>
        <w:gridCol w:w="886"/>
        <w:gridCol w:w="109"/>
        <w:gridCol w:w="109"/>
        <w:gridCol w:w="109"/>
        <w:gridCol w:w="109"/>
        <w:gridCol w:w="249"/>
        <w:gridCol w:w="976"/>
        <w:gridCol w:w="189"/>
      </w:tblGrid>
      <w:tr>
        <w:trPr/>
        <w:tc>
          <w:tcPr>
            <w:tcW w:w="86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6584" w:type="dxa"/>
            <w:gridSpan w:val="24"/>
            <w:tcBorders/>
            <w:shd w:fill="auto" w:val="clea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r>
      <w:tr>
        <w:trPr/>
        <w:tc>
          <w:tcPr>
            <w:tcW w:w="2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Medicare </w:t>
              <w:br/>
              <w:t>Advantage</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Direct Contracting</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21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$489)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799,414 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Contracting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667,639 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medical claims incurred and other medical costs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705,407 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1,551,178 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58,027 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1,116,331 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(640,501)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Net medical claims incurred reported for Medicare Advantage in this footnote differs from corresponding amount reported on the Consolidated Statements of Operations and Comprehensive Loss due to the impacts of eliminations.</w:t>
      </w:r>
    </w:p>
    <w:p>
      <w:pPr>
        <w:pStyle w:val="TextBody"/>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reportable segments’ gross loss to the net loss included in the Consolidated Statements of Operations and Comprehensive Loss is as follows:</w:t>
      </w:r>
    </w:p>
    <w:tbl>
      <w:tblPr>
        <w:tblW w:w="7669" w:type="dxa"/>
        <w:jc w:val="left"/>
        <w:tblInd w:w="0" w:type="dxa"/>
        <w:tblCellMar>
          <w:top w:w="28" w:type="dxa"/>
          <w:left w:w="28" w:type="dxa"/>
          <w:bottom w:w="28" w:type="dxa"/>
          <w:right w:w="28" w:type="dxa"/>
        </w:tblCellMar>
      </w:tblPr>
      <w:tblGrid>
        <w:gridCol w:w="1419"/>
        <w:gridCol w:w="1241"/>
        <w:gridCol w:w="1254"/>
        <w:gridCol w:w="109"/>
        <w:gridCol w:w="109"/>
        <w:gridCol w:w="109"/>
        <w:gridCol w:w="109"/>
        <w:gridCol w:w="109"/>
        <w:gridCol w:w="471"/>
        <w:gridCol w:w="2015"/>
        <w:gridCol w:w="243"/>
        <w:gridCol w:w="109"/>
        <w:gridCol w:w="109"/>
        <w:gridCol w:w="109"/>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481" w:type="dxa"/>
            <w:gridSpan w:val="4"/>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(79,182)</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benefits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260,458 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185,287 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warrants payable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(66,146)</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notes and securities discounts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2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(587,756)</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24. Dividend Restrictions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As of December 31, 2021 and 2020, neither of the regulated insurance subsidiaries had paid any dividends.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25. Statutory Equity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insurance department regulations require that the Corporation’s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 (b) certain statutory reserves are established by a direct charge to surplus, and (c) certain charges are reported as charges to capital and surplus, rather than as a component of net income.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 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2021 and 2020, the regulated insurance subsidiaries’ capital and surplus of $128.9 million and $79.4 million, respectively, exceeded the minimum RBC requirements of approximately $99.7 million and $75.8 million,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26. Regulatory Matters</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operates in a highly regulated environment. It is regulated by federal and state of New Jersey regulators. The Corporation’s regulated insurance subsidiaries must be licensed by and are subject to regulation by New Jersey Department of Banking and Insurance, which requires periodic financial reports and enforces minimum capital and/or reserve requirements.</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laws and regulations governing the Corporation’s business and interpretations of those laws and regulations are subject to frequent change. Legislative, administrative, and public policy changes to the Health Care Reform Law continue to be debated, and the Corporation cannot predict if the Health Care Reform Law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BALANCE SHEETS (PARENT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amounts)</w:t>
      </w:r>
    </w:p>
    <w:p>
      <w:pPr>
        <w:pStyle w:val="TextBody"/>
        <w:spacing w:before="0" w:after="180"/>
        <w:jc w:val="right"/>
        <w:rPr/>
      </w:pPr>
      <w:r>
        <w:rPr/>
      </w:r>
    </w:p>
    <w:p>
      <w:pPr>
        <w:pStyle w:val="TextBody"/>
        <w:spacing w:before="0" w:after="0"/>
        <w:jc w:val="right"/>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825"/>
        <w:gridCol w:w="2284"/>
        <w:gridCol w:w="2193"/>
        <w:gridCol w:w="232"/>
        <w:gridCol w:w="912"/>
        <w:gridCol w:w="120"/>
        <w:gridCol w:w="109"/>
        <w:gridCol w:w="109"/>
        <w:gridCol w:w="109"/>
        <w:gridCol w:w="231"/>
        <w:gridCol w:w="908"/>
        <w:gridCol w:w="173"/>
      </w:tblGrid>
      <w:tr>
        <w:trPr/>
        <w:tc>
          <w:tcPr>
            <w:tcW w:w="2825"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19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7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234,986 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 sale</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430,245 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interest receivable</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note receivable</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consolidated subsidiaries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Stockholders' Equity (Deficit)</w:t>
            </w:r>
          </w:p>
        </w:tc>
        <w:tc>
          <w:tcPr>
            <w:tcW w:w="12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payable</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 of discount and deferred issuance costs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payable</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290,886 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Convertible Preferred stock (Series Seed A, A-1, B, C, and D), $0.0001 par value; 0 and 155,387,025 shares authorized as of December 31, 2021, and 2020, respectively; 0 and 139,444,346 shares issued and outstanding as of December 31, 2021, and 2020, respectively; aggregate liquidation preference of $0 and $470,256 as of December 31, 2021, and 2020, respectively </w:t>
            </w:r>
            <w:r>
              <w:rPr>
                <w:rFonts w:ascii="Times New Roman;sans-serif" w:hAnsi="Times New Roman;sans-serif"/>
                <w:b w:val="false"/>
                <w:color w:val="000000"/>
                <w:sz w:val="13"/>
              </w:rPr>
              <w:t>(1)</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447,747 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2,500,000,000 and 0 shares authorized as of December 31, 2021, and 2020, respectively; 352,645,626 and 0 issued and outstanding as of December 31, 2021 and 2020, respectively</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Class B Common Stock, $0.0001 par value; 500,000,000 and 351,572,668 shares authorized; 118,206,768 and 89,206,266 issued and outstanding as of December 31, 2021, and 2020, respectively </w:t>
            </w:r>
            <w:r>
              <w:rPr>
                <w:rFonts w:ascii="Times New Roman;sans-serif" w:hAnsi="Times New Roman;sans-serif"/>
                <w:b w:val="false"/>
                <w:color w:val="000000"/>
                <w:sz w:val="13"/>
              </w:rPr>
              <w:t>(1)</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2,153,909 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411,843 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(1,022,781)</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14,730 and 0 shares held as of December 31, 2021, and 2020, respectively</w:t>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536,627 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(610,929)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stockholders’ equity (deficit)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Prior period results have been adjusted to reflect the exchange of Legacy Clover's common stock for Clover Class B Common Stock at an exchange ratio of approximately 2.0681 in January 2021 as a result of the Business Combination. See Note 3 (Business Combination)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OPERATIONS (PARENT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amounts)</w:t>
      </w:r>
    </w:p>
    <w:tbl>
      <w:tblPr>
        <w:tblW w:w="8381" w:type="dxa"/>
        <w:jc w:val="left"/>
        <w:tblInd w:w="0" w:type="dxa"/>
        <w:tblCellMar>
          <w:top w:w="28" w:type="dxa"/>
          <w:left w:w="28" w:type="dxa"/>
          <w:bottom w:w="28" w:type="dxa"/>
          <w:right w:w="28" w:type="dxa"/>
        </w:tblCellMar>
      </w:tblPr>
      <w:tblGrid>
        <w:gridCol w:w="1457"/>
        <w:gridCol w:w="1276"/>
        <w:gridCol w:w="1286"/>
        <w:gridCol w:w="211"/>
        <w:gridCol w:w="901"/>
        <w:gridCol w:w="109"/>
        <w:gridCol w:w="109"/>
        <w:gridCol w:w="109"/>
        <w:gridCol w:w="109"/>
        <w:gridCol w:w="211"/>
        <w:gridCol w:w="901"/>
        <w:gridCol w:w="109"/>
        <w:gridCol w:w="109"/>
        <w:gridCol w:w="109"/>
        <w:gridCol w:w="109"/>
        <w:gridCol w:w="211"/>
        <w:gridCol w:w="901"/>
        <w:gridCol w:w="154"/>
      </w:tblGrid>
      <w:tr>
        <w:trPr/>
        <w:tc>
          <w:tcPr>
            <w:tcW w:w="1457"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payable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notes and securities discount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losses of consolidated subsidiaries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CONDENSED STATEMENTS OF CASH FLOWS (PARENT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amounts)</w:t>
      </w:r>
    </w:p>
    <w:tbl>
      <w:tblPr>
        <w:tblW w:w="9717" w:type="dxa"/>
        <w:jc w:val="left"/>
        <w:tblInd w:w="0" w:type="dxa"/>
        <w:tblCellMar>
          <w:top w:w="28" w:type="dxa"/>
          <w:left w:w="28" w:type="dxa"/>
          <w:bottom w:w="28" w:type="dxa"/>
          <w:right w:w="28" w:type="dxa"/>
        </w:tblCellMar>
      </w:tblPr>
      <w:tblGrid>
        <w:gridCol w:w="2055"/>
        <w:gridCol w:w="1800"/>
        <w:gridCol w:w="1815"/>
        <w:gridCol w:w="196"/>
        <w:gridCol w:w="811"/>
        <w:gridCol w:w="109"/>
        <w:gridCol w:w="109"/>
        <w:gridCol w:w="109"/>
        <w:gridCol w:w="109"/>
        <w:gridCol w:w="196"/>
        <w:gridCol w:w="811"/>
        <w:gridCol w:w="109"/>
        <w:gridCol w:w="109"/>
        <w:gridCol w:w="109"/>
        <w:gridCol w:w="109"/>
        <w:gridCol w:w="196"/>
        <w:gridCol w:w="811"/>
        <w:gridCol w:w="154"/>
      </w:tblGrid>
      <w:tr>
        <w:trPr/>
        <w:tc>
          <w:tcPr>
            <w:tcW w:w="2055"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(363,737)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notes and securities discount and debt issuance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Intercompany 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 in kind interest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warrants and amortization of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derivative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net of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losses on investment securities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Intercompany accrued salaries and benefits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Intercompany interest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Intercompany payable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 and available-for-sale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(689,582)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short-term investments and available-for-sale securities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short-term investments available-for-sale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in consolidated subsidiaries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(used in)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notes payable principal</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early exercise liability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Buyback and subsequent cancellation of common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reverse recapitalization, net of transaction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received for the exercise of Public and Private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stock issuance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the redemptions of Public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333,978 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year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cash flow disclosures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 interest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year for health insurance industry fee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activities </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warrants issued in connection with notes payable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bridge loan in connection with convertible notes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preferred stock to common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convertible debt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contribution for extinguishment of debt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warrants exercised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public and private warrants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related to the exercise of Public and Private Warrants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Financial Statements (Parent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 (the “Corporation”) is a holding company incorporated on July 17, 2014, in the state of Delaware.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 the prior years’ Condensed Statements of Cash Flows have been reclassified to conform to the current year’s presentation, primarily related to the amortization of notes and securities discounts and debt issuance costs, change in fair value of warrants payable and amortization of warrants. These reclassifications had no effect on the previously reported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Insurance Subsidiaries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consolidated subsidiaries include regulated insurance subsidiaries and unregulated subsidiaries. The Corporation holds $485.9 million and $50.0 million of cash, cash equivalents, short-term investments and investment securities at the parent and unregulated subsidiaries as of December 31, 2021 and 2020, respectively. The Corporation holds $305.3 million and $101.1 million of cash, cash equivalents, short-term investments and investment securities in regulated insurance subsidiaries as of December 31, 2021 and 2020,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Surplus Note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December 22, 2016, the Corporation contributed $40.0 million to Clover Insurance Company, a wholly-owned subsidiary, in exchange for a surplus note. The outstanding balance, including accrued interest, was due and payable on December 31, 2020, but remains unpaid with the payment terms under review for extension until December 31, 2024, by the Commissioner of Banking and Insurance of the State of New Jersey. No payment of principal or interest on the surplus note shall be made without the prior written approval of the Commissioner of Banking and Insurance of the State of New Jersey.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Schedule II</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VALUATION AND QUALIFYING ACCOUNTS</w:t>
      </w:r>
    </w:p>
    <w:p>
      <w:pPr>
        <w:pStyle w:val="TextBody"/>
        <w:spacing w:before="0" w:after="0"/>
        <w:jc w:val="right"/>
        <w:rPr/>
      </w:pPr>
      <w:r>
        <w:rPr/>
      </w:r>
    </w:p>
    <w:tbl>
      <w:tblPr>
        <w:tblW w:w="10205" w:type="dxa"/>
        <w:jc w:val="right"/>
        <w:tblInd w:w="0" w:type="dxa"/>
        <w:tblCellMar>
          <w:top w:w="28" w:type="dxa"/>
          <w:left w:w="28" w:type="dxa"/>
          <w:bottom w:w="28" w:type="dxa"/>
          <w:right w:w="28" w:type="dxa"/>
        </w:tblCellMar>
      </w:tblPr>
      <w:tblGrid>
        <w:gridCol w:w="1015"/>
        <w:gridCol w:w="865"/>
        <w:gridCol w:w="870"/>
        <w:gridCol w:w="109"/>
        <w:gridCol w:w="109"/>
        <w:gridCol w:w="109"/>
        <w:gridCol w:w="211"/>
        <w:gridCol w:w="826"/>
        <w:gridCol w:w="109"/>
        <w:gridCol w:w="109"/>
        <w:gridCol w:w="109"/>
        <w:gridCol w:w="109"/>
        <w:gridCol w:w="212"/>
        <w:gridCol w:w="725"/>
        <w:gridCol w:w="109"/>
        <w:gridCol w:w="109"/>
        <w:gridCol w:w="109"/>
        <w:gridCol w:w="109"/>
        <w:gridCol w:w="363"/>
        <w:gridCol w:w="699"/>
        <w:gridCol w:w="188"/>
        <w:gridCol w:w="109"/>
        <w:gridCol w:w="109"/>
        <w:gridCol w:w="109"/>
        <w:gridCol w:w="329"/>
        <w:gridCol w:w="634"/>
        <w:gridCol w:w="172"/>
        <w:gridCol w:w="109"/>
        <w:gridCol w:w="109"/>
        <w:gridCol w:w="109"/>
        <w:gridCol w:w="219"/>
        <w:gridCol w:w="858"/>
        <w:gridCol w:w="166"/>
      </w:tblGrid>
      <w:tr>
        <w:trPr/>
        <w:tc>
          <w:tcPr>
            <w:tcW w:w="101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beginning</w:t>
              <w:br/>
              <w:t>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Charged to</w:t>
              <w:br/>
              <w:t>costs and</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Charge to other</w:t>
              <w:br/>
              <w:t xml:space="preserve">accounts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br/>
              <w:t>end of period</w:t>
            </w:r>
          </w:p>
        </w:tc>
      </w:tr>
      <w:tr>
        <w:trPr/>
        <w:tc>
          <w:tcPr>
            <w:tcW w:w="2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163,204 </w:t>
            </w:r>
          </w:p>
        </w:tc>
        <w:tc>
          <w:tcPr>
            <w:tcW w:w="16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2021, pursuant to Rule 13a-15(b) under the Securities Exchange Act of 1934, as amended (the "Exchange Act"). Based upon that evaluation, our Certifying Officers concluded that, as of December 31, 2021, our disclosure controls and procedures were not effective due to a material weakness in internal control over financial reporting, as described below.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is defined in Rule 13a-15(f) promulgated under the Securities Exchange Act of 1934 as a process designed by, or under the supervision of, the Corporation’s principal executive and principal financial officers and effected by the Corporation’s Board, management, and other personnel, to provide reasonable assurance regarding the reliability of financial reporting and the preparation of financial statements for external purposes in accordance with U.S. generally accepted accounting principles (GAAP) and includes those policies and procedures that: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pertain to the maintenance of records that in reasonable detail accurately and fairly reflect the transactions and dispositions of assets of the Corporation;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that transactions are recorded as necessary to permit preparation of financial statements in accordance with GAAP, and that receipts and expenditures of the Corporation are being made only in accordance with authorizations of management and directors of the Corporation;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reasonable assurance regarding prevention or timely detection of unauthorized acquisition, use or disposition of the Corporation’s assets that could have a material effect on the financial statements.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With the exception of the material weakness noted below, no change occurred during the fourth quarter of 2021 that has materially affected, or is reasonably likely to materially affect, the Corporation’s internal control over financial reporting. Management’s report on internal control over financial reporting is set forth below and should be read with these limitations in mind.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120" w:after="283"/>
        <w:jc w:val="both"/>
        <w:rPr/>
      </w:pPr>
      <w:r>
        <w:rPr>
          <w:rFonts w:ascii="Times New Roman;sans-serif" w:hAnsi="Times New Roman;sans-serif"/>
          <w:b w:val="false"/>
          <w:color w:val="000000"/>
          <w:sz w:val="20"/>
        </w:rPr>
        <w:t xml:space="preserve">The Corporation’s management is responsible for establishing and maintaining adequate internal control over financial reporting for the Corporation. Management assessed the effectiveness of the Corporation’s internal control over financial reporting as of December 31, 2021, using the criteria set forth by the Committee of Sponsoring Organizations of the Treadway Commission (COSO) in </w:t>
      </w:r>
      <w:r>
        <w:rPr>
          <w:rFonts w:ascii="Times New Roman;sans-serif" w:hAnsi="Times New Roman;sans-serif"/>
          <w:b w:val="false"/>
          <w:i/>
          <w:color w:val="000000"/>
          <w:sz w:val="20"/>
        </w:rPr>
        <w:t>Internal Control — Integrated Framework (2013)</w:t>
      </w:r>
      <w:r>
        <w:rPr>
          <w:rFonts w:ascii="Times New Roman;sans-serif" w:hAnsi="Times New Roman;sans-serif"/>
          <w:b w:val="false"/>
          <w:color w:val="000000"/>
          <w:sz w:val="20"/>
        </w:rPr>
        <w:t>. Based on this assessment, management identified a deficiency in internal control over financial reporting that resulted in a material weakness as discussed below. Notwithstanding the identified material weakness, management believes the consolidated financial statements included in this Annual Report on Form 10-K fairly represent in all material respects our financial condition, results of operations, and cash flows at and for the periods presented in accordance with GAAP.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2021, has been audited by Ernst &amp; Young LLP, an independent registered public accounting firm (PCAOB ID: 42), as stated in their report which appears below.</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Background and Remediation of Material Weakness - Technical Accounting Related to Stock-Based Compensation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controls over financial reporting, such that there is a reasonable possibility that a material misstatement of the Corporation’s annual or interim financial statements will not be prevented or detected on a timely basis. The Corporation’s management, with the oversight of the Audit Committee of our Board of Directors, concluded that the deficiency described below rises to the level of a material weakness, as it had the potential to allow for a material dollar amount of misstatement to our financial statements being made without being detected.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management’s review, in connection with the preparation of the Corporation’s audited financial statements for the year ended December 31, 2021, of certain performance restricted stock unit awards (PRSUs) issued by the Corporation in connection with its January 2021 business combination with Social Capital Hedosophia Holdings Corp. III, the expense associated with the PRSUs was determined to have been recognized over a shorter vesting period than required under Accounting Standards Codification 718, during the first three quarters of 2021. As a result, the Corporation overstated the stock-based compensation expense, total operating expenses, loss from operations, net loss, comprehensive loss, additional paid-in capital, and accumulated deficit by approximately $13.2 million in the aggregate for the quarters ended March 31, 2021, June 30, 2021, and September 30, 2021. Our controls, specifically the review of assumptions related to determining the expense associated with stock-based compensation awards, did not operate as designed, resulting in an adjustment in fourth quarter 2021 to decrease operating expenses within the consolidated statements of operations and additional paid-in capital within the Corporation’s consolidated balance sheet. Management has concluded that these adjustments were immaterial both individually and in the aggregate with respect to each interim period during the year ended December 31, 2021. As a result of this deficiency, management has concluded that we did not maintain effective internal control over financial reporting as of December 31, 2021, based on the COSO criteria described above.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material weakness, we intend to continue to take steps to remediate the material weakness through enhancements that include, but are not limited to, hiring additional resources and further enhancing our business processes and related internal controls. Additionally, the staff responsible for preparing and reviewing stock-based compensation expense will complete additional training in the accounting of these types of complex stock awards as prescribed by current accounting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maintaining a strong internal control environment. With the implementation and operating effectiveness of these corrective actions, we anticipate that the material weakness identified above could be deemed remediated as early as the quarter ending March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jc w:val="both"/>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333333"/>
          <w:sz w:val="18"/>
        </w:rPr>
      </w:pPr>
      <w:r>
        <w:rPr>
          <w:rFonts w:ascii="Times New Roman;sans-serif" w:hAnsi="Times New Roman;sans-serif"/>
          <w:b w:val="false"/>
          <w:color w:val="333333"/>
          <w:sz w:val="18"/>
        </w:rPr>
        <w:t>To the Shareholders and the Board of Directors of Clover Health Investments, Corp.</w:t>
      </w:r>
    </w:p>
    <w:p>
      <w:pPr>
        <w:pStyle w:val="TextBody"/>
        <w:spacing w:before="0" w:after="0"/>
        <w:rPr/>
      </w:pPr>
      <w:r>
        <w:rPr/>
      </w:r>
    </w:p>
    <w:p>
      <w:pPr>
        <w:pStyle w:val="TextBody"/>
        <w:spacing w:lineRule="auto" w:line="268" w:before="0" w:after="0"/>
        <w:jc w:val="both"/>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spacing w:lineRule="auto" w:line="288" w:before="0" w:after="0"/>
        <w:jc w:val="both"/>
        <w:rPr/>
      </w:pPr>
      <w:r>
        <w:rPr>
          <w:rFonts w:ascii="Times New Roman;sans-serif" w:hAnsi="Times New Roman;sans-serif"/>
          <w:b w:val="false"/>
          <w:color w:val="333333"/>
          <w:sz w:val="20"/>
        </w:rPr>
        <w:t xml:space="preserve">We have audited Clover Health Investments, Corp.’s internal control over financial reporting as of December 31, 2021, based on criteria established in Internal Control—Integrated Framework issued by the Committee of Sponsoring Organizations of the Treadway Commission (2013 framework) (the COSO criteria). In our opinion, </w:t>
      </w:r>
      <w:r>
        <w:rPr>
          <w:rFonts w:ascii="Times New Roman;sans-serif" w:hAnsi="Times New Roman;sans-serif"/>
          <w:b w:val="false"/>
          <w:color w:val="000000"/>
          <w:sz w:val="20"/>
          <w:highlight w:val="white"/>
        </w:rPr>
        <w:t xml:space="preserve">because of the effect of the material weakness described below on the achievement of the objectives of the control criteria, </w:t>
      </w:r>
      <w:r>
        <w:rPr>
          <w:rFonts w:ascii="Times New Roman;sans-serif" w:hAnsi="Times New Roman;sans-serif"/>
          <w:b w:val="false"/>
          <w:color w:val="333333"/>
          <w:sz w:val="20"/>
        </w:rPr>
        <w:t>Clover Health Investments, Corp. (the Company) has not maintained effective internal control over financial reporting as of December 31, 2021, based on the COSO criteria.</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specifically, the review of assumptions used in determining the expense associated with stock-based compensation awards did not operate as designed.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consolidated balance sheets of the Company as of December 31, 2021 and 2020, the related consolidated statements of operations and comprehensive loss, changes in stockholders’ deficit and cash flows for each of the three years in the period ended December 31, 2021, and the related notes and the financial statement schedules listed in the Index at Item 15(a). This material weakness was considered in determining the nature, timing and extent of audit tests applied in our audit of the 2021 consolidated financial statements, and this report does not affect our report dated February 28, 2022, which expressed an unqualified opinion thereon.</w:t>
      </w:r>
    </w:p>
    <w:p>
      <w:pPr>
        <w:pStyle w:val="TextBody"/>
        <w:spacing w:before="0" w:after="0"/>
        <w:rPr/>
      </w:pPr>
      <w:r>
        <w:rPr/>
      </w:r>
    </w:p>
    <w:p>
      <w:pPr>
        <w:pStyle w:val="TextBody"/>
        <w:spacing w:lineRule="auto" w:line="268" w:before="0" w:after="0"/>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rPr/>
      </w:pPr>
      <w:r>
        <w:rPr/>
      </w:r>
    </w:p>
    <w:p>
      <w:pPr>
        <w:pStyle w:val="TextBody"/>
        <w:spacing w:lineRule="auto" w:line="268" w:before="0" w:after="0"/>
        <w:jc w:val="both"/>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88" w:before="0" w:after="0"/>
        <w:jc w:val="both"/>
        <w:rPr>
          <w:rFonts w:ascii="Times New Roman;sans-serif" w:hAnsi="Times New Roman;sans-serif"/>
          <w:b w:val="false"/>
          <w:color w:val="333333"/>
          <w:sz w:val="18"/>
        </w:rPr>
      </w:pPr>
      <w:r>
        <w:rPr>
          <w:rFonts w:ascii="Times New Roman;sans-serif" w:hAnsi="Times New Roman;sans-serif"/>
          <w:b w:val="false"/>
          <w:color w:val="333333"/>
          <w:sz w:val="18"/>
        </w:rPr>
        <w:t xml:space="preserve">/s/ Ernst &amp; Young LLP </w:t>
      </w:r>
    </w:p>
    <w:p>
      <w:pPr>
        <w:pStyle w:val="TextBody"/>
        <w:spacing w:lineRule="auto" w:line="288" w:before="0" w:after="0"/>
        <w:jc w:val="both"/>
        <w:rPr>
          <w:rFonts w:ascii="Times New Roman;sans-serif" w:hAnsi="Times New Roman;sans-serif"/>
          <w:b w:val="false"/>
          <w:color w:val="333333"/>
          <w:sz w:val="18"/>
        </w:rPr>
      </w:pPr>
      <w:r>
        <w:rPr>
          <w:rFonts w:ascii="Times New Roman;sans-serif" w:hAnsi="Times New Roman;sans-serif"/>
          <w:b w:val="false"/>
          <w:color w:val="333333"/>
          <w:sz w:val="18"/>
        </w:rPr>
        <w:t>New York, New York</w:t>
      </w: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333333"/>
          <w:sz w:val="18"/>
        </w:rPr>
      </w:pPr>
      <w:r>
        <w:rPr>
          <w:rFonts w:ascii="Times New Roman;sans-serif" w:hAnsi="Times New Roman;sans-serif"/>
          <w:b w:val="false"/>
          <w:color w:val="333333"/>
          <w:sz w:val="18"/>
        </w:rPr>
        <w:t>February 28, 2022</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executive officers and directors as of February 22, 2022:</w:t>
      </w:r>
    </w:p>
    <w:tbl>
      <w:tblPr>
        <w:tblW w:w="7660" w:type="dxa"/>
        <w:jc w:val="left"/>
        <w:tblInd w:w="0" w:type="dxa"/>
        <w:tblCellMar>
          <w:top w:w="28" w:type="dxa"/>
          <w:left w:w="28" w:type="dxa"/>
          <w:bottom w:w="28" w:type="dxa"/>
          <w:right w:w="28" w:type="dxa"/>
        </w:tblCellMar>
      </w:tblPr>
      <w:tblGrid>
        <w:gridCol w:w="885"/>
        <w:gridCol w:w="776"/>
        <w:gridCol w:w="784"/>
        <w:gridCol w:w="109"/>
        <w:gridCol w:w="109"/>
        <w:gridCol w:w="109"/>
        <w:gridCol w:w="145"/>
        <w:gridCol w:w="145"/>
        <w:gridCol w:w="146"/>
        <w:gridCol w:w="109"/>
        <w:gridCol w:w="109"/>
        <w:gridCol w:w="109"/>
        <w:gridCol w:w="1209"/>
        <w:gridCol w:w="1209"/>
        <w:gridCol w:w="1707"/>
      </w:tblGrid>
      <w:tr>
        <w:trPr/>
        <w:tc>
          <w:tcPr>
            <w:tcW w:w="88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Position(s)</w:t>
            </w:r>
          </w:p>
        </w:tc>
      </w:tr>
      <w:tr>
        <w:trPr/>
        <w:tc>
          <w:tcPr>
            <w:tcW w:w="7660" w:type="dxa"/>
            <w:gridSpan w:val="15"/>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Garipalli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Toy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Technology Officer and Director</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Jamie L. Reynoso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Prabhdeep Singh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Growth Officer</w:t>
            </w:r>
          </w:p>
        </w:tc>
      </w:tr>
      <w:tr>
        <w:trPr/>
        <w:tc>
          <w:tcPr>
            <w:tcW w:w="7660"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Chelsea Clinton</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Demetrios L. Kouzoukas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William G. Robinson, Jr.</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Lee A. Shapiro</w:t>
            </w:r>
            <w:r>
              <w:rPr>
                <w:rFonts w:ascii="Times New Roman;sans-serif" w:hAnsi="Times New Roman;sans-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Nathaniel S. Turner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Member of the Talent and Compensation Committee.</w:t>
      </w:r>
    </w:p>
    <w:p>
      <w:pPr>
        <w:pStyle w:val="TextBody"/>
        <w:spacing w:lineRule="auto" w:line="288" w:before="60" w:after="283"/>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Member of the Nominating and Corporate Governance Committee.</w:t>
      </w:r>
    </w:p>
    <w:p>
      <w:pPr>
        <w:pStyle w:val="TextBody"/>
        <w:spacing w:lineRule="auto" w:line="288" w:before="60" w:after="283"/>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Member of the Audit Committee.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spacing w:lineRule="auto" w:line="288" w:before="240" w:after="283"/>
        <w:jc w:val="both"/>
        <w:rPr/>
      </w:pPr>
      <w:r>
        <w:rPr>
          <w:rFonts w:ascii="Times New Roman;sans-serif" w:hAnsi="Times New Roman;sans-serif"/>
          <w:b/>
          <w:i/>
          <w:color w:val="000000"/>
          <w:sz w:val="20"/>
        </w:rPr>
        <w:t>Vivek Garipalli</w:t>
      </w:r>
      <w:r>
        <w:rPr>
          <w:rFonts w:ascii="Times New Roman;sans-serif" w:hAnsi="Times New Roman;sans-serif"/>
          <w:b w:val="false"/>
          <w:color w:val="000000"/>
          <w:sz w:val="20"/>
        </w:rPr>
        <w:t>. Vivek Garipalli has served as our Chief Executive Officer and as a member of our Board of Directors since the Closing and previously held the same positions with Clover, which Mr. Garipalli co-founded, since July 2014. Previously, Mr. Garipalli also served as Clover’s President from July 2014 to March 2019. Mr. Garipalli holds a B.B.A. in entrepreneurship from Emory University.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Garipalli is qualified to serve as a member of our Board of Directors due to the perspective and experience he brings as Clover’s co-founder and Chief Executive Officer and due to his extensive experience managing healthcare companies.</w:t>
      </w:r>
    </w:p>
    <w:p>
      <w:pPr>
        <w:pStyle w:val="TextBody"/>
        <w:spacing w:lineRule="auto" w:line="288" w:before="240" w:after="283"/>
        <w:jc w:val="both"/>
        <w:rPr/>
      </w:pPr>
      <w:r>
        <w:rPr>
          <w:rFonts w:ascii="Times New Roman;sans-serif" w:hAnsi="Times New Roman;sans-serif"/>
          <w:b/>
          <w:i/>
          <w:color w:val="000000"/>
          <w:sz w:val="20"/>
        </w:rPr>
        <w:t>Andrew Toy</w:t>
      </w:r>
      <w:r>
        <w:rPr>
          <w:rFonts w:ascii="Times New Roman;sans-serif" w:hAnsi="Times New Roman;sans-serif"/>
          <w:b w:val="false"/>
          <w:color w:val="000000"/>
          <w:sz w:val="20"/>
        </w:rPr>
        <w:t>. Andrew Toy has served as our President, our Chief Technology Officer and as a member of our Board of Directors since the Closing and previously held the same positions with Clover since March 2019, February 2018 and November 2018, respectively. Prior to joining Clover, from May 2014 to February 2018, Mr. Toy served as a Product Director at Google LLC, a multinational technology company, where we coordinated enterprise activities for the Android team and ran Machine Learning, Enterprise Search, and analytics for the G-Suite team. Before that, he was the CEO and co-founder of Divide, a company focused on creating a split between work and personal data on mobile devices, which was acquired by Google in 2014. Mr. Toy holds a B.S. and an M.S. in computer science from Stanford University.</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We believe that Mr. Toy is qualified to serve as a member of our Board of Directors due to the perspective and experience he brings as Clover’s President and Chief Technology Officer and due to his extensive experience overseeing technology and analytics and serving in leadership positions at other companies.</w:t>
      </w:r>
    </w:p>
    <w:p>
      <w:pPr>
        <w:pStyle w:val="TextBody"/>
        <w:spacing w:lineRule="auto" w:line="288" w:before="240" w:after="283"/>
        <w:jc w:val="both"/>
        <w:rPr/>
      </w:pPr>
      <w:r>
        <w:rPr>
          <w:rFonts w:ascii="Times New Roman;sans-serif" w:hAnsi="Times New Roman;sans-serif"/>
          <w:b/>
          <w:i/>
          <w:color w:val="000000"/>
          <w:sz w:val="20"/>
        </w:rPr>
        <w:t>Mark C. Herbers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Mark C. Herbers has served as our Interim Chief Financial Officer since August 2021. Since 2014, Mr. Herbers has served as a Director of AlixPartners, LLP, a global consulting firm. He also served as Interim CFO of American Renal Associates, a provider of outpatient dialysis services, from 2019 to 2021, as CEO/CRO of El Paso Children’s Hospital, a hospital, from 2015 to 2016, as Chief Financial Officer of St. Clare’s Health System, a hospital system, from 2012 to 2014, and as Managing Director at FTI Consulting, a consulting firm, from 2005 to 2014. Mr. Herbers holds a B.S. from Georgetown University and an MBA from Washington University in St. Louis, and he is a certified public accountant.</w:t>
      </w:r>
    </w:p>
    <w:p>
      <w:pPr>
        <w:pStyle w:val="TextBody"/>
        <w:spacing w:lineRule="auto" w:line="288" w:before="240" w:after="283"/>
        <w:jc w:val="both"/>
        <w:rPr/>
      </w:pPr>
      <w:r>
        <w:rPr>
          <w:rFonts w:ascii="Times New Roman;sans-serif" w:hAnsi="Times New Roman;sans-serif"/>
          <w:b/>
          <w:i/>
          <w:color w:val="000000"/>
          <w:sz w:val="20"/>
        </w:rPr>
        <w:t>Jamie L. Reynoso</w:t>
      </w:r>
      <w:r>
        <w:rPr>
          <w:rFonts w:ascii="Times New Roman;sans-serif" w:hAnsi="Times New Roman;sans-serif"/>
          <w:b w:val="false"/>
          <w:color w:val="000000"/>
          <w:sz w:val="20"/>
        </w:rPr>
        <w:t>. Jamie L. Reynoso has served as our Chief Operating Officer since the Closing and previously held the same position with Clover since July 2020. 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w:t>
      </w:r>
    </w:p>
    <w:p>
      <w:pPr>
        <w:pStyle w:val="TextBody"/>
        <w:spacing w:lineRule="auto" w:line="288" w:before="240" w:after="283"/>
        <w:jc w:val="both"/>
        <w:rPr/>
      </w:pPr>
      <w:r>
        <w:rPr>
          <w:rFonts w:ascii="Times New Roman;sans-serif" w:hAnsi="Times New Roman;sans-serif"/>
          <w:b/>
          <w:i/>
          <w:color w:val="000000"/>
          <w:sz w:val="20"/>
        </w:rPr>
        <w:t>Prabhdeep Singh</w:t>
      </w:r>
      <w:r>
        <w:rPr>
          <w:rFonts w:ascii="Times New Roman;sans-serif" w:hAnsi="Times New Roman;sans-serif"/>
          <w:b w:val="false"/>
          <w:color w:val="000000"/>
          <w:sz w:val="20"/>
        </w:rPr>
        <w:t>. Prabhdeep Singh has served as our Chief Growth Officer since July 2021. Prior to joining Clover, Mr. Singh held the following positions at WeWork, a commercial real estate company: Global Head of Marketplace from February 2020 to July 2021, and Global Head of WeWork Labs from October 2018 to February 2020. Mr. Singh also held several positions at Uber Eats, an online food ordering and delivery company, including Head of Enterprise from January 2018 to October 2018 and as a General Manager from December 2016 to December 2017. From January 2013 to December 2016, Mr. Singh was a General Manager and Head of GLG Labs at the Gerson Lehrman Group, an international consulting firm. Mr. Singh holds a B.A. in Political Science and Philosophy from Boston College.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spacing w:lineRule="auto" w:line="288" w:before="240" w:after="283"/>
        <w:jc w:val="both"/>
        <w:rPr/>
      </w:pPr>
      <w:r>
        <w:rPr>
          <w:rFonts w:ascii="Times New Roman;sans-serif" w:hAnsi="Times New Roman;sans-serif"/>
          <w:b/>
          <w:i/>
          <w:color w:val="000000"/>
          <w:sz w:val="20"/>
        </w:rPr>
        <w:t>Chelsea Clinton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Chelsea Clinton has served as a member of our Board of Directors since the Closing and previously held the same position with Clover since 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 for-profit affiliations, Ms. Clinton currently serves on the boards of directors of The School of American Ballet, The Africa Center,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Ms. Clinton is qualified to serve as a member of our Board of Directors because of her extensive health background, her experience as a director of public companies and non-profit organizations and her knowledge of our industry.</w:t>
      </w:r>
    </w:p>
    <w:p>
      <w:pPr>
        <w:pStyle w:val="TextBody"/>
        <w:spacing w:lineRule="auto" w:line="288" w:before="240" w:after="283"/>
        <w:jc w:val="both"/>
        <w:rPr/>
      </w:pPr>
      <w:r>
        <w:rPr>
          <w:rFonts w:ascii="Times New Roman;sans-serif" w:hAnsi="Times New Roman;sans-serif"/>
          <w:b/>
          <w:i/>
          <w:color w:val="000000"/>
          <w:sz w:val="20"/>
        </w:rPr>
        <w:t>Demetrios L. Kouzoukas</w:t>
      </w:r>
      <w:r>
        <w:rPr>
          <w:rFonts w:ascii="Times New Roman;sans-serif" w:hAnsi="Times New Roman;sans-serif"/>
          <w:b w:val="false"/>
          <w:color w:val="000000"/>
          <w:sz w:val="20"/>
        </w:rPr>
        <w:t>. Demetrios L. Kouzoukas has served as a member of Clover’s Board of Directors since April 13, 2021. From February 2017 until January 2021, Mr. Kouzoukas served as the Director of the Center for Medicare and the Principal Deputy Administrator of the Centers for Medicare &amp; Medicaid Services (CMS). Prior to joining CMS, from 2012 to 2016, Mr. Kouzoukas served as General Counsel of the Medicare and Retirement Division of UnitedHealthcare, a health insurance company. Prior to UnitedHealthcare, from 2003 to 2009, Mr. Kouzoukas was Principal Associate Deputy Secretary of the U.S. Department of Health and Human Services (HHS), with responsibility for regulatory policy across HHS, and Deputy General Counsel. In 2014, Mr. Kouzoukas was appointed a Public Member of the Administrative Conference of the United States. Mr. Kouzoukas holds a B.A. in Political Science and Public Policy from The George Washington University and a J.D. from the University of Illinois College of Law.</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Kouzoukas is qualified to serve as a member of our Board of Directors because of his in depth regulatory healthcare background, his experience as general counsel of a division of a health insurance company and his knowledge of our industry.</w:t>
      </w:r>
    </w:p>
    <w:p>
      <w:pPr>
        <w:pStyle w:val="TextBody"/>
        <w:spacing w:lineRule="auto" w:line="288" w:before="240" w:after="283"/>
        <w:jc w:val="both"/>
        <w:rPr/>
      </w:pPr>
      <w:r>
        <w:rPr>
          <w:rFonts w:ascii="Times New Roman;sans-serif" w:hAnsi="Times New Roman;sans-serif"/>
          <w:b/>
          <w:i/>
          <w:color w:val="000000"/>
          <w:sz w:val="20"/>
        </w:rPr>
        <w:t xml:space="preserve">William G. Robinson, Jr. </w:t>
      </w:r>
      <w:r>
        <w:rPr>
          <w:rFonts w:ascii="Times New Roman;sans-serif" w:hAnsi="Times New Roman;sans-serif"/>
          <w:b w:val="false"/>
          <w:color w:val="000000"/>
          <w:sz w:val="20"/>
        </w:rPr>
        <w:t xml:space="preserve">William G. Robinson, Jr. has served as a member of our Board of Directors since March 25, 2021. Mr. Robinson has served as the President of Broadgate Human Capital, LLC, a management consulting firm, since October 2018. Prior to Broadgate, Mr. Robinson served as the Executive Vice President and Chief Human Resources Officer for Sabre Corporation, a travel </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company, from December 2013 to September 2017. Prior to Sabre, Mr. Robinson served as the Senior Vice President and Chief Human Resources Officer at Coventry Health Care, a diversified managed health care company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security and industrial. Mr. Robinson has served as a member of the board of directors of American Public Education, Inc. since June 2016 and Must Ministries since June 2019. He has also served as a member of the board of trustees for the American Public University System since May 2020. Mr. Robinson holds a B.A. in communications from Wake Forest University and an M.A. in human resources from Bowie State University.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Robinson is qualified to serve as a member of our Board of Directors because of his extensive experience as an executive officer in technology and healthcare companies, his experience as a director of a public company, and his knowledge of our industry.</w:t>
      </w:r>
    </w:p>
    <w:p>
      <w:pPr>
        <w:pStyle w:val="TextBody"/>
        <w:spacing w:lineRule="auto" w:line="288" w:before="240" w:after="283"/>
        <w:jc w:val="both"/>
        <w:rPr/>
      </w:pPr>
      <w:r>
        <w:rPr>
          <w:rFonts w:ascii="Times New Roman;sans-serif" w:hAnsi="Times New Roman;sans-serif"/>
          <w:b/>
          <w:i/>
          <w:color w:val="000000"/>
          <w:sz w:val="20"/>
        </w:rPr>
        <w:t>Lee A. Shapiro</w:t>
      </w:r>
      <w:r>
        <w:rPr>
          <w:rFonts w:ascii="Times New Roman;sans-serif" w:hAnsi="Times New Roman;sans-serif"/>
          <w:b w:val="false"/>
          <w:color w:val="000000"/>
          <w:sz w:val="20"/>
        </w:rPr>
        <w:t>. Lee A. Shapiro has served as a member of our Board of Directors since the Closing. Mr. Shapiro co-founded and has served as the Managing Partner at 7Wire Ventures, an early-stage healthcare venture fund, since June 2013. Mr. Shapiro previously served as Chief Financial Officer of Livongo Health, Inc., a mobile health monitoring technology company, from December 2018 to November 2020, and as a member of the board of directors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has served as a director of Click Therapeutics, Inc., a biotechnology company, since April 2021, and also serves as a director of some of the 7Wire Ventures portfolio companies. He serves on the National Board of the American Heart Association and the advisory board of the University of Chicago George Schulz Innovation Fund. Mr. Shapiro holds a B.S. in accountancy from the University of Illinois Urbana-Champaign and a J.D. from The University of Chicago Law School.</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w:t>
      </w:r>
    </w:p>
    <w:p>
      <w:pPr>
        <w:pStyle w:val="TextBody"/>
        <w:spacing w:lineRule="auto" w:line="288" w:before="240" w:after="283"/>
        <w:jc w:val="both"/>
        <w:rPr/>
      </w:pPr>
      <w:r>
        <w:rPr>
          <w:rFonts w:ascii="Times New Roman;sans-serif" w:hAnsi="Times New Roman;sans-serif"/>
          <w:b/>
          <w:i/>
          <w:color w:val="000000"/>
          <w:sz w:val="20"/>
        </w:rPr>
        <w:t>Nathaniel S. Turner</w:t>
      </w:r>
      <w:r>
        <w:rPr>
          <w:rFonts w:ascii="Times New Roman;sans-serif" w:hAnsi="Times New Roman;sans-serif"/>
          <w:b w:val="false"/>
          <w:color w:val="000000"/>
          <w:sz w:val="20"/>
        </w:rPr>
        <w:t>. Nathaniel S. Turner has served as a member of our Board of Directors since the Closing and previously held the same position with Clover since April 2015. Mr. Turner co-founded and served as the Chief Executive Officer of Flatiron Health, Inc., a cancer research and data collection software company, from June 2012 to April 2021 and since that time has served as Chairman of the Board of that entity. Since July 2021, Mr. Turner has served as a director of Sema4 Holdings Corp., a health intelligence company. From June 2010 to June 2012, Mr. Turner served as a Product Manager at Google Inc. Mr. Turner holds a B.S. in economics from the Wharton School of the University of Pennsylvania.</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Turner is qualified to serve as a member of our Board of Directors because of his extensive experience as an investor in many technology, high-growth, healthcare companies, his experience as an executive at a healthcare company, and his knowledge of our industry.</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our directors or executive officers.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Delinquent Section 16 Reports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directors, executive officers and any persons who own more than 10% of our common stock to file initial reports of ownership and reports of changes in ownership with the SEC. Based solely on our review of the copies of such forms filed with the SEC and written representations from the directors and executive officers, we believe that all Section 16(a) filing requirements were timely met in the year ended December 31, 2021, except for one Form 4 reporting a grant of restricted stock units to Lee A. Shapiro, which was filed one day late due to an administrative error.</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required disclosures regarding amendments to, or waivers of, provisions of our code of ethics on our website rather than by filing a Current Report on Form 8-K.</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Nominating and Corporate Governance Committee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identifying, evaluating and recommending nominees to our Board of Directors and its committees;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conducting searches for appropriate directors;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evaluating the performance of our Board of Directors and of individual directors;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considering and making recommendations to our Board of Directors regarding the composition of the board and its committees;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reviewing developments in our corporate governance practices;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evaluating the adequacy of our corporate governance practices and reporting;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making recommendations to our Board of Directors concerning corporate governance matters.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has a written charter approved by our Board of Directors. A copy of the charter is available on the Investor Relations section of our website, which is located at https://investors.cloverhealth.com, by clicking on “Governance Overview” in the “Governance” section of our website.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Nomination to the Board of Directors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Candidates for nomination to our Board of Directors are selected by our Board of Directors based on the recommendation of our Nominating and Corporate Governance Committee in accordance with its charter, our restated certificate of incorporation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 Among the criteria the Nominating and Corporate Governance Committee and the Board of Directors may consider are experience and diversity; and with respect to diversity, the Board may consider, among others, demographic factors, differences in professional background, experience at policy-making levels in business, finance, healthcare, law, technology, and other areas, education, skill, and other individual qualities and attributes. The Committee and the Board endorse the value of seeking qualified directors from backgrounds otherwise relevant to the Corporation’s mission, strategy and business operations and perceived needs of the Board at a given time.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restated bylaws provide that stockholders may present nominations to be considered at an annual meeting by providing timely notice to our Secretary at our principal executive office.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stockholder’s notice to the Secretary must set forth the information required by our restated bylaws. If a stockholder who has notified Clover Health of such stockholder’s intention to present a nomination for persons for election at an annual meeting does not appear to present such stockholder’s proposal at such meeting, Clover Health does not need to present the nomination of persons for election for vote at such meeting.</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Lee A. Shapiro, William G. Robinson, Jr., and Demetrios L. Kouzoukas, with Mr. Shapiro serving as the chair of the committee. The composition of our Audit Committee meets the requirements for independence under the current Nasdaq listing standards and SEC rules and regulations.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selecting a firm to serve as the independent registered public accounting firm to audit our financial statements;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helping to ensure the independence of the independent registered public accounting firm;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before="0" w:after="60"/>
        <w:ind w:left="0" w:right="0" w:hanging="180"/>
        <w:jc w:val="both"/>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procedures for employees to anonymously submit concerns about questionable accounting or audit matters;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considering the adequacy of our internal accounting controls and audit procedures.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 written charter approved by our Board of Directors. A copy of the charter is available on the Investor Relations section of our website, which is located at https://investors.cloverhealth.com, by clicking on “Governance Overview” in the “Governance” section of our website.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we had neither a formal compensation policy for our non-employee directors nor a formal policy of reimbursing expenses incurred by non-employee directors in connection with their board service. However, we reimbursed our non-employee directors for reasonable expenses incurred in connection with their attendance at Board of Directors or committee meetings and occasionally granted stock options.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Non-Employee Director Compensation Policy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adopted a new non-employee director compensation policy that became effective as of the Closing. Our non-employee director compensation policy is designed to align the interests of the non-employee directors with the interests of stockholders through equity awards and to attract and retain high quality non-employee directors by providing competitive compensation. Our policy is also designed to provide the appropriate amount of compensation based on the roles served, with additional cash retainers for service on committees and higher retainers for service as the lead independent director of our Board of Directors and as chairperson of our committees. Our policy also provides that we will reimburse our non-employee directors for reasonable expenses incurred in connection with their attendance at Board of Directors or committee meetings. During the year ended December 31, 2021, the non-employee directors eligible for compensation under the Non-Employee Director Compensation Policy were Chelsea Clinton, Demetrios L. Kouzoukas, William G. Robinson, Jr., Lee A. Shapiro, and Nathaniel S. Turner. Neither Mr. Garipalli nor Mr. Toy received any additional compensation for service as a director for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policy provides for the following annual cash retainers, which are payable quarterly in arrears and pro-rated for partial quarters of service:</w:t>
      </w:r>
    </w:p>
    <w:p>
      <w:pPr>
        <w:pStyle w:val="TextBody"/>
        <w:spacing w:lineRule="auto" w:line="288" w:before="24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Board Member Service Retainer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All Outside Directors: $50,000</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Outside Director serving as Chairperson: $50,000 (in addition to above)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Outside Director serving as Lead Independent Director: $30,000 (in addition to above)</w:t>
      </w:r>
    </w:p>
    <w:p>
      <w:pPr>
        <w:pStyle w:val="TextBody"/>
        <w:spacing w:lineRule="auto" w:line="288" w:before="24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Committee Member Service Retainer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Member of the Audit Committee: $10,000</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Member of the Talent and Compensation Committee: $7,500</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Member of the Nominating and Corporate Governance Committee: $5,000</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Committee Chair Service Retainer (in lieu of the Annual Committee Member Service Retainer)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Chairperson of the Audit Committee: $25,000</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Chairperson of the Talent and Compensation Committee: $20,000</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Chairperson of the Nominating and Corporate Governance Committee: $15,000</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policy also provides for equity awards of restricted stock units (RSUs) to be granted to the non-employee directors. Beginning with our 2022 annual meeting of stockholders (2022 Annual Meeting), these grants will be made to non-employee directors upon their initial election or appointment to our Board of Directors and annually during their continued service thereafter. During 2021 and until our 2022 Annual Meeting, transitional initial and annual RSU grants have been or will be made to our non-employee directors as follows:</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Grants Prior to 2022 Annual Meeting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2022 Annual Meeting, non-employee directors will receive transitional RSU grants upon the following terms, which will vest, subject to continuous service through the applicable vesting 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Non-employee directors who are initially elected or appointed on or after January 7, 2021, but before April 1, 2021, will be granted RSUs valued at $400,000, which will vest as to 50% of the RSUs on the first anniversary of the Closing and as to the remaining RSUs on the date of the 2022 Annual Meeting.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Non-employee directors who are initially elected or appointed on or after April 1, 2021, but before the 2022 Annual Meeting, will be granted RSUs valued at $200,000, which will vest in full on the date of the 2022 Annual Meeting.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Non-employee directors who served as members of the Board of Directors of Legacy Clover prior to the Business Combination and continue to serve as members of our Board of Directors after the Closing Date will be granted RSUs valued at $400,000 multiplied by the anticipated number of whole months from the Closing Date until the 2022 Annual Meeting divided by 24, which will vest in full on the date of the 2022 Annual Meeting.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granted 54,200 transitional RSUs to each of Mr. Robinson and Mr. Shapiro, effective April 1, 2021, 38,392 transitional RSUs to each of Mr. Turner and Ms. Clinton effective April 1, 2021, and 25,608 transitional RSUs to Mr. Kouzoukas effective April 13, 2021.</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Grants Beginning at 2022 Annual Meeting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at the 2022 Annual Meeting, non-employee directors will receive RSU grants upon the following terms, which will vest, subject to continuous service through the applicable vesting dates: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Non-employee directors who are initially elected or appointed on or after the 2022 Annual Meeting will be granted RSUs valued at $200,000, which will vest in full on the one-year anniversary of the director’s election or appointment.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 addition, at the close of business on each annual meeting of the shareholders beginning with the 2022 Annual Meeting, each non-employee director who has served at least three full months prior to such annual meeting will be granted RSUs valued at $200,000, which will vest in full on the earlier to occur of the next annual meeting of the shareholders or the one-year anniversary of the date of grant.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Equity Grant Terms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 non-employee director remains in service on our Board of Directors until immediately prior to the closing of a “change in control” (as defined in our 2020 Equity Incentive Plan), the unvested portion of any RSU award granted to such director under the policy will vest in full immediately prior to and contingent upon the consummation of such change in control. In addition, the number of RSUs granted based on the values specified in our policy is determined by dividing the specified value by the closing price of our Class A common stock on the date of grant (or on the closest prior trading date), rounded down to the nearest whole number.</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Compensation Table for Fiscal Year 2021</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concerning the compensation of our non-employee directors for the year ended December 31, 2021:</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66"/>
        <w:gridCol w:w="516"/>
        <w:gridCol w:w="508"/>
        <w:gridCol w:w="109"/>
        <w:gridCol w:w="109"/>
        <w:gridCol w:w="109"/>
        <w:gridCol w:w="748"/>
        <w:gridCol w:w="657"/>
        <w:gridCol w:w="660"/>
        <w:gridCol w:w="109"/>
        <w:gridCol w:w="109"/>
        <w:gridCol w:w="109"/>
        <w:gridCol w:w="602"/>
        <w:gridCol w:w="474"/>
        <w:gridCol w:w="475"/>
        <w:gridCol w:w="109"/>
        <w:gridCol w:w="109"/>
        <w:gridCol w:w="109"/>
        <w:gridCol w:w="109"/>
        <w:gridCol w:w="109"/>
        <w:gridCol w:w="109"/>
        <w:gridCol w:w="664"/>
        <w:gridCol w:w="664"/>
        <w:gridCol w:w="665"/>
        <w:gridCol w:w="109"/>
        <w:gridCol w:w="109"/>
        <w:gridCol w:w="109"/>
        <w:gridCol w:w="413"/>
        <w:gridCol w:w="413"/>
        <w:gridCol w:w="445"/>
      </w:tblGrid>
      <w:tr>
        <w:trPr/>
        <w:tc>
          <w:tcPr>
            <w:tcW w:w="66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169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Stock Awards ($)</w:t>
            </w:r>
            <w:r>
              <w:rPr>
                <w:rFonts w:ascii="Times New Roman;sans-serif" w:hAnsi="Times New Roman;sans-serif"/>
                <w:b/>
                <w:color w:val="000000"/>
                <w:sz w:val="13"/>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6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Clinton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65,625 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283,333 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Demetrios L. Kouzoukas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199,998 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258,248 </w:t>
            </w:r>
          </w:p>
        </w:tc>
        <w:tc>
          <w:tcPr>
            <w:tcW w:w="445"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G. Robinson,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60,999 </w:t>
            </w:r>
          </w:p>
        </w:tc>
        <w:tc>
          <w:tcPr>
            <w:tcW w:w="6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399,996 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460,995 </w:t>
            </w:r>
          </w:p>
        </w:tc>
        <w:tc>
          <w:tcPr>
            <w:tcW w:w="445"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A. Shapiro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399,996 </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489,996 </w:t>
            </w:r>
          </w:p>
        </w:tc>
        <w:tc>
          <w:tcPr>
            <w:tcW w:w="445"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Nathaniel S.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55,007 </w:t>
            </w:r>
          </w:p>
        </w:tc>
        <w:tc>
          <w:tcPr>
            <w:tcW w:w="6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283,333 </w:t>
            </w:r>
          </w:p>
        </w:tc>
        <w:tc>
          <w:tcPr>
            <w:tcW w:w="4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338,340 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Amounts shown in this column reflect the aggregate grant date fair value calculated in accordance with Financial Accounting Standards Board Accounting Standards Codification Topic 718 (FASB ASC Topic 718) for the transitional RSUs granted during 2021. These amounts reflect our accounting expense for these RSUs and do not represent the actual economic value that may be realized by the non-employee director. The grant date fair value of the RSUs is measured based on the closing price of our Class A common stock on the date of grant. See Note </w:t>
      </w:r>
      <w:r>
        <w:rPr>
          <w:rFonts w:ascii="Times New Roman;sans-serif" w:hAnsi="Times New Roman;sans-serif"/>
          <w:b w:val="false"/>
          <w:color w:val="000000"/>
          <w:sz w:val="16"/>
          <w:highlight w:val="white"/>
        </w:rPr>
        <w:t>18</w:t>
      </w:r>
      <w:r>
        <w:rPr>
          <w:color w:val="000000"/>
        </w:rPr>
        <w:t xml:space="preserve"> </w:t>
      </w:r>
      <w:r>
        <w:rPr>
          <w:rFonts w:ascii="Times New Roman;sans-serif" w:hAnsi="Times New Roman;sans-serif"/>
          <w:b w:val="false"/>
          <w:color w:val="000000"/>
          <w:sz w:val="16"/>
        </w:rPr>
        <w:t>(Employee Benefit Plans) to our audited financial statements in this report for further information about the assumptions underlying the calculations made with respect to RSU grants.</w:t>
      </w:r>
    </w:p>
    <w:p>
      <w:pPr>
        <w:pStyle w:val="TextBody"/>
        <w:spacing w:lineRule="auto" w:line="288" w:before="60" w:after="283"/>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Our non-employee directors who served in 2021 held the following number of unexercised stock options and unvested RSUs as of December 31, 2021:</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before="0" w:after="60"/>
        <w:ind w:left="0" w:right="0" w:hanging="180"/>
        <w:jc w:val="both"/>
        <w:rPr/>
      </w:pPr>
      <w:r>
        <w:rPr/>
      </w:r>
    </w:p>
    <w:tbl>
      <w:tblPr>
        <w:tblW w:w="8631" w:type="dxa"/>
        <w:jc w:val="left"/>
        <w:tblInd w:w="0" w:type="dxa"/>
        <w:tblCellMar>
          <w:top w:w="28" w:type="dxa"/>
          <w:left w:w="28" w:type="dxa"/>
          <w:bottom w:w="28" w:type="dxa"/>
          <w:right w:w="28" w:type="dxa"/>
        </w:tblCellMar>
      </w:tblPr>
      <w:tblGrid>
        <w:gridCol w:w="762"/>
        <w:gridCol w:w="674"/>
        <w:gridCol w:w="678"/>
        <w:gridCol w:w="109"/>
        <w:gridCol w:w="109"/>
        <w:gridCol w:w="109"/>
        <w:gridCol w:w="614"/>
        <w:gridCol w:w="614"/>
        <w:gridCol w:w="616"/>
        <w:gridCol w:w="109"/>
        <w:gridCol w:w="109"/>
        <w:gridCol w:w="109"/>
        <w:gridCol w:w="995"/>
        <w:gridCol w:w="995"/>
        <w:gridCol w:w="2029"/>
      </w:tblGrid>
      <w:tr>
        <w:trPr/>
        <w:tc>
          <w:tcPr>
            <w:tcW w:w="762"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90"/>
              <w:jc w:val="center"/>
              <w:rPr>
                <w:rFonts w:ascii="Times New Roman;sans-serif" w:hAnsi="Times New Roman;sans-serif"/>
                <w:b/>
                <w:color w:val="000000"/>
                <w:sz w:val="20"/>
              </w:rPr>
            </w:pPr>
            <w:r>
              <w:rPr>
                <w:rFonts w:ascii="Times New Roman;sans-serif" w:hAnsi="Times New Roman;sans-serif"/>
                <w:b/>
                <w:color w:val="000000"/>
                <w:sz w:val="20"/>
              </w:rPr>
              <w:t xml:space="preserve">Unvested Restricted Stock Units Outstanding </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Clinton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685,690 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38,392 </w:t>
            </w:r>
          </w:p>
        </w:tc>
        <w:tc>
          <w:tcPr>
            <w:tcW w:w="20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Demetrios L. Kouzoukas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25,608</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G. Robinson,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54,200</w:t>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A. Shapiro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54,200</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Nathaniel S.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38,392</w:t>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Represents the aggregate grant date fair value of 38,392 RSUs granted on April 1, 2021, which vest in full on the date of our 2022 annual meeting of our stockholders (2022 Annual Meeting).</w:t>
      </w:r>
    </w:p>
    <w:p>
      <w:pPr>
        <w:pStyle w:val="TextBody"/>
        <w:spacing w:lineRule="auto" w:line="288" w:before="60" w:after="283"/>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Represents the aggregate grant date fair value of 25,608 RSUs granted on April 13, 2021, which vest in full on the date of our 2022 Annual Meeting.</w:t>
      </w:r>
    </w:p>
    <w:p>
      <w:pPr>
        <w:pStyle w:val="TextBody"/>
        <w:spacing w:lineRule="auto" w:line="288" w:before="60" w:after="283"/>
        <w:ind w:left="0" w:right="0" w:hanging="18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Represents the aggregate grant date fair value of 54,200 RSUs granted on April 1, 2021, 50% of which vested on January 7, 2022, and 50% of which will vest on the date of our 2022 Annual Meeting.</w:t>
      </w:r>
    </w:p>
    <w:p>
      <w:pPr>
        <w:pStyle w:val="TextBody"/>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the Talent and Compensation Committee is not considered to be “soliciting material,” “filed,” or incorporated by reference in any past or future filing by the Corporation under the Securities Exchange Act of 1934 or the Securities Act of 1933 unless and only to the extent that the Corporation specifically incorporates it by reference.</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has reviewed and discussed the following Compensation Discussion and Analysis with management. Based upon this review and discussion, the Talent and Compensation Committee recommended to the Board of Directors that the Compensation Discussion and Analysis be included in this Annual Report on Form 10-K for the fiscal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Submitted by the Compensation Committee of the Board of Directors: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Chelsea Clinton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William G. Robinson, Jr.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Discussion and Analysis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or CD&amp;A, explains our executive compensation philosophy and objectives. It also describes our fiscal year 2021 executive compensation program and the compensation paid in 2021 to our our named executive officers (NEOs), who were: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Vivek Garipalli, our Chief Executive Officer (CEO)</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Mark C. Herbers, our Interim Chief Financial Officer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Andrew Toy, our President and Chief Technology Officer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Jamie L. Reynoso, our Chief Operating Officer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Prabhdeep Singh, our Chief Growth Officer</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Joseph Wagner, our former Chief Financial Officer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Prabhdeep Singh joined the company as our Chief Growth Officer. In August 2021, Joseph Wagner stepped down from his role as Chief Financial Officer of the Corporation, and Mark C. Herbers joined the Corporation as Interim Chief Financial Officer. Mr. Herbers provides services to us under an agreement with AP Services, LLC, an affiliate of Mr. Herbers’ employer, AlixPartners, LLP. Mr. Herbers is expected to serve in the role of Interim Chief Financial Officer while the Company conducts a search for a permanent Chief Financial Officer and until it appoints his replacement.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CD&amp;A provides an overview of our executive compensation philosophy, the overall objectives of our executive compensation program, how each element of our executive compensation program is designed to satisfy those objectives, the policies underlying our 2021 executive compensation program, and the compensation awarded to our named executive officers for 2021. The following discussion and analysis of compensation arrangements of our named executive officers should be read together with the compensation tables and related disclosures.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2021 Executive Compensation 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Philosophy and Objectives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cornerstone of our compensation philosophy is pay for performance. We tie a significant portion of our compensation for our named executive officers (NEOs) to the achievement of both near-term and long-term Corporation operating and financial goals. We consider all equity awards to be “at-risk” compensation because their value depends on Corporation performance. Under this rubric, </w:t>
      </w:r>
      <w:r>
        <w:rPr>
          <w:rFonts w:ascii="Times New Roman;sans-serif" w:hAnsi="Times New Roman;sans-serif"/>
          <w:b w:val="false"/>
          <w:color w:val="000000"/>
          <w:sz w:val="20"/>
          <w:highlight w:val="white"/>
        </w:rPr>
        <w:t xml:space="preserve">all of the compensation awarded in fiscal </w:t>
      </w:r>
      <w:r>
        <w:rPr>
          <w:rFonts w:ascii="Times New Roman;sans-serif" w:hAnsi="Times New Roman;sans-serif"/>
          <w:b w:val="false"/>
          <w:color w:val="000000"/>
          <w:sz w:val="20"/>
        </w:rPr>
        <w:t>2021</w:t>
      </w:r>
      <w:r>
        <w:rPr>
          <w:color w:val="000000"/>
          <w:highlight w:val="white"/>
        </w:rPr>
        <w:t xml:space="preserve"> </w:t>
      </w:r>
      <w:r>
        <w:rPr>
          <w:rFonts w:ascii="Times New Roman;sans-serif" w:hAnsi="Times New Roman;sans-serif"/>
          <w:b w:val="false"/>
          <w:color w:val="000000"/>
          <w:sz w:val="20"/>
          <w:highlight w:val="white"/>
        </w:rPr>
        <w:t>to Vivek Garipalli, our CEO, was performance-based or at risk, and a substantial majority of t</w:t>
      </w:r>
      <w:r>
        <w:rPr>
          <w:rFonts w:ascii="Times New Roman;sans-serif" w:hAnsi="Times New Roman;sans-serif"/>
          <w:b w:val="false"/>
          <w:color w:val="000000"/>
          <w:sz w:val="20"/>
        </w:rPr>
        <w:t>he target compensation awarded in fiscal 2021 to our other NEOs, as a group, was performance-based or at risk.</w:t>
      </w:r>
      <w:r>
        <w:rPr>
          <w:color w:val="000000"/>
        </w:rPr>
        <w:t xml:space="preserve"> </w:t>
      </w:r>
      <w:r>
        <w:rPr>
          <w:rFonts w:ascii="Times New Roman;sans-serif" w:hAnsi="Times New Roman;sans-serif"/>
          <w:b w:val="false"/>
          <w:color w:val="000000"/>
          <w:sz w:val="20"/>
        </w:rPr>
        <w:t>Pay-for-performance compensation motivates our NEOs to achieve our strategic plan targets.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linking compensation to the achievement of the Corporation’s performance goals and refraining from special benefits, “golden parachute” excise tax gross-ups, or accelerated equity vesting (except in limited circumstances), we create long-term stockholder value and aligns the interests of our NEOs with those of our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seek to attract, motivate, and retain highly-qualified, top-performing executives who are committed to the Corporation’s mission, performance, and culture, by paying them competitively compared to our peer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What We Do</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Reward performance that meets our predetermined goals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Base a significant portion of our CEO’s and NEOs’ compensation on performance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Align the interests of our NEOs with our stockholders by having a significant portion of compensation be equity awards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Cap payouts under our plans to discourage inappropriate risk taking by our NEOs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Have double-trigger change in control provisions for equity awards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Have only independent directors on our Talent and Compensation Committee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Talent and Compensation Committee retains an independent compensation consultant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What We Do Not Do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Permit short-sales, hedging or pledging of our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 into employment agreements that provide for fixed terms or automatic compensation increases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Pay excessive change in control benefits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 executives with golden parachute tax gross-ups or excessive perquisites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Permit repricing or cashing out underwater stock options without stockholder approval</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Maintain executive pension plans or retirement programs not generally available to all employees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Take excessive risks due to our compensation program’s annual risk assessment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Executive Compensation Decisions Related to Executive Team Changes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 with Prabhdeep Singh</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June 2021, we entered into an employment agreement with Mr. Singh, our Chief Growth Officer, under which Mr. Singh will receive an annual base salary of $400,000 and an initial target cash bonus opportunity of fifty percent (50%) of his base salary, which was prorated for his first year of employment. Pursuant to his employment agreement, we also granted Mr. Singh certain equity awards as described in “</w:t>
      </w:r>
      <w:r>
        <w:rPr>
          <w:color w:val="000000"/>
        </w:rPr>
        <w:t>—</w:t>
      </w:r>
      <w:r>
        <w:rPr>
          <w:rFonts w:ascii="Times New Roman;sans-serif" w:hAnsi="Times New Roman;sans-serif"/>
          <w:b w:val="false"/>
          <w:i/>
          <w:color w:val="000000"/>
          <w:sz w:val="20"/>
        </w:rPr>
        <w:t>Equity Awards for Other Executive Officers</w:t>
      </w:r>
      <w:r>
        <w:rPr>
          <w:color w:val="000000"/>
        </w:rPr>
        <w:t xml:space="preserve">” </w:t>
      </w:r>
      <w:r>
        <w:rPr>
          <w:rFonts w:ascii="Times New Roman;sans-serif" w:hAnsi="Times New Roman;sans-serif"/>
          <w:b w:val="false"/>
          <w:color w:val="000000"/>
          <w:sz w:val="20"/>
        </w:rPr>
        <w:t>below.</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Mr. Singh’s employment agreement also provides for certain severance benefits, which we discuss in “</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Joseph Wagner Separation Agreement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his departure from employment on August 13, 2021, the Corporation entered into a separation agreement with Mr. Wagner, pursuant to which in exchange for a general release of claims against the Corporation, Mr. Wagner (i) received one month of COBRA premiums, (ii) received an extension of the post-termination exercise period in which he can exercise his then-vested and unexercised non-qualified stock options until August 13, 2022, and (iii) retained his Corporation-issued laptop. Pursuant to the separation agreement, Mr. Wagner will also receive $10,000 per month for a period of up to one year in exchange for consulting services provided to the Corporation.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This agreement is discussed in more detail in “</w:t>
      </w:r>
      <w:r>
        <w:rPr>
          <w:rFonts w:ascii="Times New Roman;sans-serif" w:hAnsi="Times New Roman;sans-serif"/>
          <w:b w:val="false"/>
          <w:i/>
          <w:color w:val="000000"/>
          <w:sz w:val="20"/>
        </w:rPr>
        <w:t>Severance and Change in Control Benefits</w:t>
      </w:r>
      <w:r>
        <w:rPr>
          <w:color w:val="000000"/>
        </w:rPr>
        <w:t xml:space="preserve">” </w:t>
      </w:r>
      <w:r>
        <w:rPr>
          <w:rFonts w:ascii="Times New Roman;sans-serif" w:hAnsi="Times New Roman;sans-serif"/>
          <w:b w:val="false"/>
          <w:color w:val="000000"/>
          <w:sz w:val="20"/>
        </w:rPr>
        <w:t>below.</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Agreement with AP Services, LLC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departure of Mr. Wagner on August 13, 2021, Mr. Herbers was appointed to serve as our Interim Chief Financial Officer. Mr. Herbers is expected to serve in this role while we conducts our search for a permanent Chief Financial Officer and appoint his replacement. In connection with Mr. Herbers’ appointment, we entered into an Agreement for the Provision of Interim Management Services (Interim Service Agreement) with AP Services, LLC (APS), an affiliate of AlixPartners, LLP, where Mr. Herbers has been employed as a Director since 2014. Pursuant to the terms of the Interim Services Agreement, Mr. Herbers will continue to be employed by APS during the term of his service to us, and we will pay $175,000 per month in professional fees and $3,500 per month in administrative fees for his services as interim Chief Financial Officer. The Interim Services Agreement may be terminated by either party at any time by written notice to the other party, subject to the payment of fees and expenses incurred by APS through the date of the termination.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 with Jamie L. Reynoso</w:t>
      </w:r>
    </w:p>
    <w:p>
      <w:pPr>
        <w:pStyle w:val="TextBody"/>
        <w:spacing w:before="0" w:after="0"/>
        <w:ind w:left="0" w:right="0" w:firstLine="720"/>
        <w:jc w:val="both"/>
        <w:rPr/>
      </w:pPr>
      <w:r>
        <w:rPr/>
      </w:r>
    </w:p>
    <w:p>
      <w:pPr>
        <w:pStyle w:val="TextBody"/>
        <w:spacing w:lineRule="auto" w:line="288" w:before="0" w:after="0"/>
        <w:jc w:val="both"/>
        <w:rPr/>
      </w:pPr>
      <w:r>
        <w:rPr>
          <w:rFonts w:ascii="Times New Roman;sans-serif" w:hAnsi="Times New Roman;sans-serif"/>
          <w:b w:val="false"/>
          <w:color w:val="000000"/>
          <w:sz w:val="20"/>
        </w:rPr>
        <w:t>Effective as of December 31, 2021, we entered into an employment agreement with Ms. Reynoso, our Chief Operating Officer, which provides for an annual base salary of $425,000 and an initial target cash bonus opportunity of sixty (60%) of her base salary. Pursuant to her employment agreement, Ms. Reynoso is also entitled to receive certain equity awards as described in “</w:t>
      </w:r>
      <w:r>
        <w:rPr>
          <w:color w:val="000000"/>
        </w:rPr>
        <w:t>—</w:t>
      </w:r>
      <w:r>
        <w:rPr>
          <w:rFonts w:ascii="Times New Roman;sans-serif" w:hAnsi="Times New Roman;sans-serif"/>
          <w:b w:val="false"/>
          <w:i/>
          <w:color w:val="000000"/>
          <w:sz w:val="20"/>
        </w:rPr>
        <w:t>Equity Awards for Other Executive Officers</w:t>
      </w:r>
      <w:r>
        <w:rPr>
          <w:color w:val="000000"/>
        </w:rPr>
        <w:t xml:space="preserve">” </w:t>
      </w:r>
      <w:r>
        <w:rPr>
          <w:rFonts w:ascii="Times New Roman;sans-serif" w:hAnsi="Times New Roman;sans-serif"/>
          <w:b w:val="false"/>
          <w:color w:val="000000"/>
          <w:sz w:val="20"/>
        </w:rPr>
        <w:t>below. The December 31, 2021, employment agreement replaced an offer letter agreed to between Ms. Reynoso and the Corporation when Ms. Reynoso joined the Corporation as Chief Operating Officer in July 2020.</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Ms. Reynoso’s employment agreement also provides for certain severance benefits, which we discuss in “</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Elements of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three core components of our NEO direct compensation program are base salary, annual incentive bonuses, and equity awards. The Talent and Compensation Committee considers each compensation component individually and all components in the aggregate when making decisions regarding amounts awarded under each component. The Talent and Compensation Committee’s intent is generally to set each NEO’s base salary, target total cash compensation (base salary plus annual incentive bonuses at the target performance level), and total direct compensation (which also includes equity awards) to be competitive with the 50th to 75th percentile of the peer group survey data received from the Talent and Compensation Committee’s independent consultant, with appropriate adjustments to reflect the specific situation of each NEO, including how their roles may differ from those at other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 salary is viewed as a primary indicator of the market value needed to attract and retain executives with the skills and expertise to perform the duties and discharge the responsibilities of their positions. Annual incentive awards are a means of rewarding job performance against that year’s operating plan. Equity awards are generally utilized as a means of linking executives’ long-term compensation to the Corporation’s long-term performance and retaining talent.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compensation program rewards executive officers for progress against corporate operating goals and for their individual contributions.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43"/>
        <w:gridCol w:w="405"/>
        <w:gridCol w:w="406"/>
        <w:gridCol w:w="871"/>
        <w:gridCol w:w="871"/>
        <w:gridCol w:w="877"/>
        <w:gridCol w:w="1991"/>
        <w:gridCol w:w="1753"/>
        <w:gridCol w:w="2488"/>
      </w:tblGrid>
      <w:tr>
        <w:trPr/>
        <w:tc>
          <w:tcPr>
            <w:tcW w:w="54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991"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1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Element</w:t>
            </w:r>
          </w:p>
        </w:tc>
        <w:tc>
          <w:tcPr>
            <w:tcW w:w="2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6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Objectives and Basis</w:t>
            </w:r>
          </w:p>
        </w:tc>
      </w:tr>
      <w:tr>
        <w:trPr/>
        <w:tc>
          <w:tcPr>
            <w:tcW w:w="13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2619"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6232" w:type="dxa"/>
            <w:gridSpan w:val="3"/>
            <w:tcBorders>
              <w:top w:val="single" w:sz="8"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Attract and retain highly qualified executives to drive our success</w:t>
            </w:r>
          </w:p>
        </w:tc>
      </w:tr>
      <w:tr>
        <w:trPr/>
        <w:tc>
          <w:tcPr>
            <w:tcW w:w="13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Incentive Bonuses</w:t>
            </w:r>
          </w:p>
        </w:tc>
        <w:tc>
          <w:tcPr>
            <w:tcW w:w="261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6232"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 short-term Corporation performance</w:t>
            </w:r>
          </w:p>
        </w:tc>
      </w:tr>
      <w:tr>
        <w:trPr/>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232" w:type="dxa"/>
            <w:gridSpan w:val="3"/>
            <w:tcBorders>
              <w:left w:val="single" w:sz="4"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Target bonus amount set as a percentage of base salary</w:t>
            </w:r>
          </w:p>
        </w:tc>
      </w:tr>
      <w:tr>
        <w:trPr/>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232" w:type="dxa"/>
            <w:gridSpan w:val="3"/>
            <w:tcBorders>
              <w:left w:val="single" w:sz="4"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payout based 80% on achievement of specified Corporation operating goals and 20% on individual performance</w:t>
            </w:r>
          </w:p>
        </w:tc>
      </w:tr>
      <w:tr>
        <w:trPr/>
        <w:tc>
          <w:tcPr>
            <w:tcW w:w="13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Awards</w:t>
            </w:r>
          </w:p>
        </w:tc>
        <w:tc>
          <w:tcPr>
            <w:tcW w:w="261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RSUs (PRSUs) and Time-Based RSUs</w:t>
            </w:r>
          </w:p>
        </w:tc>
        <w:tc>
          <w:tcPr>
            <w:tcW w:w="6232"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Drive long-term Corporation performance, align interests of executives with those shareholders, retain executives through long-term vesting, and provide potential wealth accumulation</w:t>
            </w:r>
          </w:p>
        </w:tc>
      </w:tr>
      <w:tr>
        <w:trPr/>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232" w:type="dxa"/>
            <w:gridSpan w:val="3"/>
            <w:tcBorders>
              <w:left w:val="single" w:sz="4"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PRSUs for CEO and President are earned based on pre-established stock price milestones and continued service</w:t>
            </w:r>
          </w:p>
        </w:tc>
      </w:tr>
      <w:tr>
        <w:trPr/>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232" w:type="dxa"/>
            <w:gridSpan w:val="3"/>
            <w:tcBorders>
              <w:left w:val="single" w:sz="4"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PRSUs for Ms. Reynoso were earned based on achievement of pre-established Corporation performance operating goals and vest with continued service</w:t>
            </w:r>
          </w:p>
        </w:tc>
      </w:tr>
      <w:tr>
        <w:trPr/>
        <w:tc>
          <w:tcPr>
            <w:tcW w:w="1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3"/>
            <w:tcBorders>
              <w:left w:val="single" w:sz="4"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232" w:type="dxa"/>
            <w:gridSpan w:val="3"/>
            <w:tcBorders>
              <w:left w:val="single" w:sz="4" w:space="0" w:color="000000"/>
            </w:tcBorders>
            <w:shd w:fill="auto" w:val="clear"/>
            <w:tcMar>
              <w:top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RSUs typically vest annually over four-year periods, subject to continued service with us, and become more valuable as our stock price increases, which aligns our NEOs’ interests with those of all stockholders</w:t>
            </w:r>
          </w:p>
        </w:tc>
      </w:tr>
      <w:tr>
        <w:trPr/>
        <w:tc>
          <w:tcPr>
            <w:tcW w:w="1354"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Executive Benefits</w:t>
            </w:r>
          </w:p>
        </w:tc>
        <w:tc>
          <w:tcPr>
            <w:tcW w:w="2619"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Limited (See “</w:t>
            </w:r>
            <w:r>
              <w:rPr>
                <w:rFonts w:ascii="Times New Roman;sans-serif" w:hAnsi="Times New Roman;sans-serif"/>
                <w:b w:val="false"/>
                <w:i/>
                <w:color w:val="000000"/>
                <w:sz w:val="20"/>
              </w:rPr>
              <w:t>Other Executive Benefits</w:t>
            </w:r>
            <w:r>
              <w:rPr>
                <w:color w:val="000000"/>
              </w:rPr>
              <w:t xml:space="preserve">” </w:t>
            </w:r>
            <w:r>
              <w:rPr>
                <w:rFonts w:ascii="Times New Roman;sans-serif" w:hAnsi="Times New Roman;sans-serif"/>
                <w:b w:val="false"/>
                <w:color w:val="000000"/>
                <w:sz w:val="20"/>
              </w:rPr>
              <w:t>below)</w:t>
            </w:r>
          </w:p>
        </w:tc>
        <w:tc>
          <w:tcPr>
            <w:tcW w:w="6232" w:type="dxa"/>
            <w:gridSpan w:val="3"/>
            <w:tcBorders>
              <w:top w:val="single" w:sz="2"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Provide for the safety and wellness of our executives</w:t>
            </w:r>
          </w:p>
        </w:tc>
      </w:tr>
      <w:tr>
        <w:trPr/>
        <w:tc>
          <w:tcPr>
            <w:tcW w:w="1354"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619" w:type="dxa"/>
            <w:gridSpan w:val="3"/>
            <w:tcBorders>
              <w:top w:val="single" w:sz="2" w:space="0" w:color="000000"/>
              <w:left w:val="single" w:sz="4" w:space="0" w:color="000000"/>
              <w:bottom w:val="single" w:sz="2" w:space="0" w:color="000000"/>
            </w:tcBorders>
            <w:shd w:fill="auto" w:val="clear"/>
            <w:tcMar>
              <w:right w:w="0" w:type="dxa"/>
            </w:tcMar>
            <w:vAlign w:val="center"/>
          </w:tcPr>
          <w:p>
            <w:pPr>
              <w:pStyle w:val="TableContents"/>
              <w:spacing w:before="0" w:after="283"/>
              <w:rPr>
                <w:sz w:val="4"/>
                <w:szCs w:val="4"/>
              </w:rPr>
            </w:pPr>
            <w:r>
              <w:rPr>
                <w:sz w:val="4"/>
                <w:szCs w:val="4"/>
              </w:rPr>
            </w:r>
          </w:p>
        </w:tc>
        <w:tc>
          <w:tcPr>
            <w:tcW w:w="6232" w:type="dxa"/>
            <w:gridSpan w:val="3"/>
            <w:tcBorders>
              <w:top w:val="single" w:sz="2" w:space="0" w:color="000000"/>
              <w:left w:val="single" w:sz="4" w:space="0" w:color="000000"/>
              <w:bottom w:val="single" w:sz="2"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 competitive benefits generally available to all employees</w:t>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There are two notable exceptions to our overall 2021 compensation program.</w:t>
      </w:r>
      <w:r>
        <w:rPr>
          <w:color w:val="000000"/>
        </w:rPr>
        <w:t xml:space="preserve"> </w:t>
      </w:r>
      <w:r>
        <w:rPr>
          <w:rFonts w:ascii="Times New Roman;sans-serif" w:hAnsi="Times New Roman;sans-serif"/>
          <w:b w:val="false"/>
          <w:color w:val="000000"/>
          <w:sz w:val="20"/>
        </w:rPr>
        <w:t>Mr. Garipalli, our CEO, pursuant to his employment agreement with us, agreed to forgo any base salary and annual incentive compensation. In addition, Mr. Herbers, our Interim Chief Financial Officer, is compensated through our agreement with AP Services, LLC, an affiliate of Mr. Herbers’ employer, AlixPartners, LLP, under which the Corporation pays $175,000 per month in professional fees and a monthly administrative fee of $3,50</w:t>
      </w:r>
      <w:r>
        <w:rPr>
          <w:rFonts w:ascii="Times New Roman;sans-serif" w:hAnsi="Times New Roman;sans-serif"/>
          <w:b w:val="false"/>
          <w:color w:val="000000"/>
          <w:sz w:val="20"/>
          <w:highlight w:val="white"/>
        </w:rPr>
        <w:t>0 for Mr. Herbers’ services.</w:t>
      </w:r>
      <w:r>
        <w:rPr>
          <w:color w:val="000000"/>
          <w:highlight w:val="white"/>
        </w:rPr>
        <w:t xml:space="preserve"> </w:t>
      </w:r>
      <w:r>
        <w:rPr>
          <w:rFonts w:ascii="Times New Roman;sans-serif" w:hAnsi="Times New Roman;sans-serif"/>
          <w:b w:val="false"/>
          <w:color w:val="000000"/>
          <w:sz w:val="20"/>
          <w:highlight w:val="white"/>
        </w:rPr>
        <w:t>Mr. H</w:t>
      </w:r>
      <w:r>
        <w:rPr>
          <w:rFonts w:ascii="Times New Roman;sans-serif" w:hAnsi="Times New Roman;sans-serif"/>
          <w:b w:val="false"/>
          <w:color w:val="000000"/>
          <w:sz w:val="20"/>
        </w:rPr>
        <w:t>erbers and AP Services, LLC are entitled to no other compensation from us in connection with Mr. Herbers’ service to the Corporation.</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 salary is a fixed component of our NEOs’ compensation and does not vary with Corporation performance. Base salaries are generally set at levels intended to be competitive and commensurate with each executive officer’s position, performance, skills and experience to attract and retain the best talent. The Talent and Compensation Committee reviews base salaries for our executive officers annually and adjusts them, if needed, to reflect changes in market conditions or other factors, including changed responsibilities as our executive officers’ positions evolve.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Two of our NEOs’ base salaries increased in fiscal 2021. Pursuant to his employment agreement, effective as of the closing of the Business Combination, Mr. Toy’s annual base salary increased from $400,000 to $450,000. In addition, in July 2021, our Talent and Compensation Committee raised Ms. Reynoso’s base salary from $400,000 to $425,000. These base salary increases reflected market competitiveness and Mr. Toy’s and Ms. Reynoso’s increased duties.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Annual Incentive Bonuses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Corporation implemented an annual cash bonus program in 2021. We use annual cash bonuses to align NEO performance with our near-term financial and operating objectives. Cash bonus target amounts are set as a percentage of base salary, and our Talent and Compensation Committee establishes Corporation performance goals, which are described in more detail below.</w:t>
      </w:r>
      <w:r>
        <w:rPr>
          <w:color w:val="000000"/>
        </w:rPr>
        <w:t xml:space="preserve"> </w:t>
      </w:r>
      <w:r>
        <w:rPr>
          <w:rFonts w:ascii="Times New Roman;sans-serif" w:hAnsi="Times New Roman;sans-serif"/>
          <w:b w:val="false"/>
          <w:color w:val="000000"/>
          <w:sz w:val="20"/>
        </w:rPr>
        <w:t xml:space="preserve">For each executive officer eligible for an annual cash bonus for fiscal year 2021, 80% of the target bonus payout was based on Corporation performance against the pre-determined performance goals, and 20% was based on individual performance. In January 2022, the Talent and </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certified the bonus payouts based on achievement against the pre-determined performance goals and its assessment of individual NEO performance.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Mr. Garipalli and Mr. Herbers were not eligible for annual cash bonuses and did not receive bonus payments for 2021, and Mr. Wagner forfeited eligibility for a cash bonus when he departed employment in August 2021. Mr. Toy, Ms. Reynoso, and Mr. Singh, pursuant to their employment agreements with us, were eligible for annual cash bonuses of up to 100%, 60%, and 50% of their annual base salaries, respectively.</w:t>
      </w:r>
    </w:p>
    <w:p>
      <w:pPr>
        <w:pStyle w:val="TextBody"/>
        <w:spacing w:before="0" w:after="0"/>
        <w:jc w:val="both"/>
        <w:rPr/>
      </w:pPr>
      <w:r>
        <w:rPr/>
      </w:r>
    </w:p>
    <w:p>
      <w:pPr>
        <w:pStyle w:val="TextBody"/>
        <w:spacing w:before="0" w:after="0"/>
        <w:rPr/>
      </w:pPr>
      <w:r>
        <w:rPr/>
      </w:r>
    </w:p>
    <w:tbl>
      <w:tblPr>
        <w:tblW w:w="5755" w:type="dxa"/>
        <w:jc w:val="center"/>
        <w:tblInd w:w="0" w:type="dxa"/>
        <w:tblCellMar>
          <w:top w:w="28" w:type="dxa"/>
          <w:left w:w="28" w:type="dxa"/>
          <w:bottom w:w="28" w:type="dxa"/>
          <w:right w:w="28" w:type="dxa"/>
        </w:tblCellMar>
      </w:tblPr>
      <w:tblGrid>
        <w:gridCol w:w="564"/>
        <w:gridCol w:w="495"/>
        <w:gridCol w:w="500"/>
        <w:gridCol w:w="109"/>
        <w:gridCol w:w="109"/>
        <w:gridCol w:w="109"/>
        <w:gridCol w:w="1130"/>
        <w:gridCol w:w="1130"/>
        <w:gridCol w:w="1609"/>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2021 Target Cash Bonus (% of Base Salary)</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Vivek Garipalli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Toy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Jamie L. Reynoso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Prabhdeep Singh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Joseph Wagner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2021, the Talent and Compensation Committee established three equally-weighted Corporation performance metrics for annual incentive bonuses for the Corporation’s executive officers: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Growth in the number of our Medicare Advantage members on January 1, 2022, versus January 1, 2021 (MA Growth);</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Growth in the number of our Direct Contracting beneficiaries on January 1, 2022, versus the launch of the program in April 2021 (DC Growth);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normalized medical care ratio for our Medicare Advantage plans, which is a measure that excludes the impacts of the COVID-19 pandemic from the calculation of our Medicare Advantage medical care ratio, which is defined as total net medical claims incurred divided by premiums earned, net (MCR).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also established threshold and target performance levels and maximum payout amounts for annual bonuses for each metric, with the achievement percentage to be interpolated between these levels linearly. In January 2022, the Talent and Compensation Committee reviewed Corporation performance against these performance levels and determined that the MA Growth performance metric was achieved at 66%, based on Corporation performance against the MA Growth performance levels, which were as follows:</w:t>
      </w:r>
    </w:p>
    <w:p>
      <w:pPr>
        <w:pStyle w:val="TextBody"/>
        <w:spacing w:before="0" w:after="0"/>
        <w:jc w:val="both"/>
        <w:rPr/>
      </w:pPr>
      <w:r>
        <w:rPr/>
      </w:r>
    </w:p>
    <w:tbl>
      <w:tblPr>
        <w:tblW w:w="7514" w:type="dxa"/>
        <w:jc w:val="left"/>
        <w:tblInd w:w="0" w:type="dxa"/>
        <w:tblCellMar>
          <w:top w:w="28" w:type="dxa"/>
          <w:left w:w="28" w:type="dxa"/>
          <w:bottom w:w="28" w:type="dxa"/>
          <w:right w:w="28" w:type="dxa"/>
        </w:tblCellMar>
      </w:tblPr>
      <w:tblGrid>
        <w:gridCol w:w="563"/>
        <w:gridCol w:w="495"/>
        <w:gridCol w:w="501"/>
        <w:gridCol w:w="225"/>
        <w:gridCol w:w="225"/>
        <w:gridCol w:w="226"/>
        <w:gridCol w:w="454"/>
        <w:gridCol w:w="454"/>
        <w:gridCol w:w="456"/>
        <w:gridCol w:w="554"/>
        <w:gridCol w:w="554"/>
        <w:gridCol w:w="557"/>
        <w:gridCol w:w="659"/>
        <w:gridCol w:w="659"/>
        <w:gridCol w:w="932"/>
      </w:tblGrid>
      <w:tr>
        <w:trPr/>
        <w:tc>
          <w:tcPr>
            <w:tcW w:w="56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r>
      <w:tr>
        <w:trPr/>
        <w:tc>
          <w:tcPr>
            <w:tcW w:w="7514" w:type="dxa"/>
            <w:gridSpan w:val="15"/>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 Growth</w:t>
            </w:r>
          </w:p>
        </w:tc>
      </w:tr>
      <w:tr>
        <w:trPr/>
        <w:tc>
          <w:tcPr>
            <w:tcW w:w="155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 (Threshold)</w:t>
            </w:r>
          </w:p>
        </w:tc>
        <w:tc>
          <w:tcPr>
            <w:tcW w:w="67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w:t>
            </w:r>
          </w:p>
        </w:tc>
        <w:tc>
          <w:tcPr>
            <w:tcW w:w="13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 (Target)</w:t>
            </w:r>
          </w:p>
        </w:tc>
        <w:tc>
          <w:tcPr>
            <w:tcW w:w="16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150% (Maximum)</w:t>
            </w:r>
          </w:p>
        </w:tc>
        <w:tc>
          <w:tcPr>
            <w:tcW w:w="225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2021 Achievement %</w:t>
            </w:r>
          </w:p>
        </w:tc>
      </w:tr>
      <w:tr>
        <w:trPr/>
        <w:tc>
          <w:tcPr>
            <w:tcW w:w="155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82,303</w:t>
            </w:r>
          </w:p>
        </w:tc>
        <w:tc>
          <w:tcPr>
            <w:tcW w:w="67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85,595</w:t>
            </w:r>
          </w:p>
        </w:tc>
        <w:tc>
          <w:tcPr>
            <w:tcW w:w="13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88,888</w:t>
            </w:r>
          </w:p>
        </w:tc>
        <w:tc>
          <w:tcPr>
            <w:tcW w:w="166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93,826</w:t>
            </w:r>
          </w:p>
        </w:tc>
        <w:tc>
          <w:tcPr>
            <w:tcW w:w="225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also determined that the threshold performance level of 200,000 Direct Contract beneficiaries for the DC Growth performance metric and the threshold performance level of 94% for the normalized MCR performance metric were not satisfied and that these performance metrics would therefore be assigned an achievement percentage of 0%. Accordingly, the Talent and Compensation Committee determined that overall performance against the Corporation performance metrics was achieved at 22% for the Corporation’s executive officers.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In January 2022, our Talent and Compensation Committee also assigned each executive officer eligible to receive an annual bonus an individual performance at 0% of target for fiscal year 2021 based on factors which included the Corporation’s overall performance achievement level. Based on these performance determinations, i.e., 22% company performance weighted at 80% and 0% individual performance weighted at 20%, Mr. Toy, Ms. Reynoso, and Mr. Singh were paid cash incentive bonuses for fiscal year 2021 of </w:t>
      </w:r>
      <w:r>
        <w:rPr>
          <w:rFonts w:ascii="Times New Roman;sans-serif" w:hAnsi="Times New Roman;sans-serif"/>
          <w:b w:val="false"/>
          <w:color w:val="000000"/>
          <w:sz w:val="20"/>
          <w:highlight w:val="white"/>
        </w:rPr>
        <w:t>$79,200, $</w:t>
      </w:r>
      <w:r>
        <w:rPr>
          <w:rFonts w:ascii="Times New Roman;sans-serif" w:hAnsi="Times New Roman;sans-serif"/>
          <w:b w:val="false"/>
          <w:color w:val="000000"/>
          <w:sz w:val="20"/>
        </w:rPr>
        <w:t>43,459, and $17,600, respectively. Ms. Reynoso’s incentive bonus payment reflects the fact that her base salary was increased part-way through the year, and Mr. Singh’s incentive bonus payment was pro-rated to reflect the fact that he joined us halfway through the fiscal year.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target total direct compensation of our NEOs is provided through equity awards of restricted stock units (RSUs) and performance-based vesting RSUs (PRSUs). For example, for fiscal year 2021, 100% of Mr. Garipalli’s compensation was in the form of RSU and PRSU grants. By having a significant percentage of target total direct compensation payable in the form of equity </w:t>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pPr>
      <w:r>
        <w:rPr>
          <w:rFonts w:ascii="Times New Roman;sans-serif" w:hAnsi="Times New Roman;sans-serif"/>
          <w:b w:val="false"/>
          <w:color w:val="000000"/>
          <w:sz w:val="20"/>
        </w:rPr>
        <w:t>awards that vest over a number of years and, for PRSUs, upon the achievement of Corporation goals and, thus, subject to higher risk than cash compensation, our executive officers are motivated to remain employed and to take actions that will benefit us and our stockholders over the long term. We structure our equity awards to maximize retention in consideration of the executive officer’s total compensation package.</w:t>
      </w:r>
      <w:r>
        <w:rPr>
          <w:color w:val="000000"/>
        </w:rPr>
        <w:t xml:space="preserve"> </w:t>
      </w:r>
      <w:r>
        <w:rPr>
          <w:rFonts w:ascii="Times New Roman;sans-serif" w:hAnsi="Times New Roman;sans-serif"/>
          <w:b w:val="false"/>
          <w:color w:val="000000"/>
          <w:sz w:val="20"/>
        </w:rPr>
        <w:t>Pursuant to this end, we have made equity grants in connection with the Business Combination, the hiring of an executive officer, and the annual review of compensation packages by our Talent and Compensation Committee.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considers each NEO’s role, responsibilities, past performance, future potential, current level of ownership, and amount of unvested equity holdings in determining whether and the amount of equity to grant to each NEO. We grant service-based vesting RSUs that generally vest annually over a four-year period, PRSUs, and hybrid PRSUs that have both service and performance-based vesting requirements. Our PRSUs require achievement of a threshold level of performance to vest in the minimum number of PRSUs. If the performance level is satisfied, generally one third of the PRSUs for which the requisite performance level has been satisfied vest on the date on which the Talent and Compensation Committee certifies the performance results, and the remaining portion of the PRSUs vest in two equal installments on the first day of the two fiscal years following the certification date, subject to the applicable executive officer’s continued service through each vesting 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 for Vivek Garipalli and Andrew Toy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our Board of Directors granted the following special long-term equity awards to Mr. Garipalli and Mr. Toy in connection with the Business Combination and pursuant to their employment agreements with us.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Vivek Garipalli</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Garipalli was granted a hybrid PRSU award covering 7,164,581 shares of Class B common stock, which vests if both of the following two conditions are satisfied:</w:t>
      </w:r>
    </w:p>
    <w:p>
      <w:pPr>
        <w:pStyle w:val="TextBody"/>
        <w:spacing w:before="0" w:after="0"/>
        <w:jc w:val="both"/>
        <w:rPr/>
      </w:pPr>
      <w:r>
        <w:rPr/>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Service - 20% will be satisfied on each anniversary of January 7, 2021, subject to Mr. Garipalli’s continued service to us as our CEO, Co-CEO or Executive Chairman through each date; and</w:t>
      </w:r>
    </w:p>
    <w:p>
      <w:pPr>
        <w:pStyle w:val="TextBody"/>
        <w:spacing w:lineRule="auto" w:line="276" w:before="120" w:after="283"/>
        <w:ind w:left="0" w:right="0" w:hanging="540"/>
        <w:jc w:val="both"/>
        <w:rPr/>
      </w:pPr>
      <w:r>
        <w:rPr>
          <w:color w:val="000000"/>
        </w:rPr>
        <w:t>•</w:t>
      </w:r>
      <w:r>
        <w:rPr>
          <w:rFonts w:ascii="Times New Roman;sans-serif" w:hAnsi="Times New Roman;sans-serif"/>
          <w:b w:val="false"/>
          <w:color w:val="000000"/>
          <w:sz w:val="20"/>
        </w:rPr>
        <w:t>Performance - Measured beginning after January 7, 2022, 50% will be satisfied upon our volume-weighted average stock closing price reaching $20 for 90 consecutive calendar days, and the remaining 50% will be satisfied upon our volume-weighted average stock closing price reaching $25 for 90 consecutive calendar days; provided such events occur within five years of January 7,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Mr. Garipalli received a hybrid PRSU award covering 5,571,164 shares of Class B common stock, which vest if each of the following two conditions are satisfied: </w:t>
      </w:r>
    </w:p>
    <w:p>
      <w:pPr>
        <w:pStyle w:val="TextBody"/>
        <w:spacing w:before="0" w:after="0"/>
        <w:jc w:val="both"/>
        <w:rPr/>
      </w:pPr>
      <w:r>
        <w:rPr/>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Service - 20% will be satisfied on each anniversary of January 7, 2021, subject to Mr. Garipalli’s continued service to us as our CEO, Co-CEO or Executive Chairman through each date; and</w:t>
      </w:r>
    </w:p>
    <w:p>
      <w:pPr>
        <w:pStyle w:val="TextBody"/>
        <w:spacing w:lineRule="auto" w:line="276" w:before="120" w:after="283"/>
        <w:ind w:left="0" w:right="0" w:hanging="540"/>
        <w:jc w:val="both"/>
        <w:rPr/>
      </w:pPr>
      <w:r>
        <w:rPr>
          <w:color w:val="000000"/>
        </w:rPr>
        <w:t>•</w:t>
      </w:r>
      <w:r>
        <w:rPr>
          <w:rFonts w:ascii="Times New Roman;sans-serif" w:hAnsi="Times New Roman;sans-serif"/>
          <w:b w:val="false"/>
          <w:color w:val="000000"/>
          <w:sz w:val="20"/>
        </w:rPr>
        <w:t>Performance - Measured beginning after January 7, 2022, the performance condition will be satisfied if our volume-weighted average stock closing price reaches $30 for 90 consecutive calendar days, provided such events occur within five years of January 7,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Garipalli was also granted an RSU award covering 16,713,491 shares of Class B common stock that vests as to 20% of the RSUs on each of the first five anniversaries of January 7, 2021, subject to Mr. Garipalli’s continuous service as our CEO, Co-CEO or Executive Chairman through each vesting date.</w:t>
      </w:r>
    </w:p>
    <w:p>
      <w:pPr>
        <w:pStyle w:val="TextBody"/>
        <w:spacing w:before="0" w:after="0"/>
        <w:rPr/>
      </w:pPr>
      <w:r>
        <w:rPr/>
      </w:r>
    </w:p>
    <w:p>
      <w:pPr>
        <w:pStyle w:val="TextBody"/>
        <w:spacing w:lineRule="auto" w:line="276" w:before="0" w:after="0"/>
        <w:ind w:left="0" w:right="0" w:firstLine="720"/>
        <w:jc w:val="both"/>
        <w:rPr/>
      </w:pPr>
      <w:r>
        <w:rPr>
          <w:rFonts w:ascii="Times New Roman;sans-serif" w:hAnsi="Times New Roman;sans-serif"/>
          <w:b w:val="false"/>
          <w:i/>
          <w:color w:val="000000"/>
          <w:sz w:val="20"/>
        </w:rPr>
        <w:t>Andrew Toy</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Toy was granted a hybrid PRSU award covering 3,582,291 shares of Class B common stock, which vests if both of the following two conditions are satisfied:</w:t>
      </w:r>
    </w:p>
    <w:p>
      <w:pPr>
        <w:pStyle w:val="TextBody"/>
        <w:spacing w:before="0" w:after="0"/>
        <w:jc w:val="both"/>
        <w:rPr/>
      </w:pPr>
      <w:r>
        <w:rPr/>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Service - 20% will be satisfied on each anniversary of January 7, 2021, subject to Mr. Toy’s continued service to us through each date; and</w:t>
      </w:r>
    </w:p>
    <w:p>
      <w:pPr>
        <w:pStyle w:val="TextBody"/>
        <w:spacing w:lineRule="auto" w:line="276" w:before="120" w:after="283"/>
        <w:ind w:left="0" w:right="0" w:hanging="540"/>
        <w:jc w:val="both"/>
        <w:rPr/>
      </w:pPr>
      <w:r>
        <w:rPr>
          <w:color w:val="000000"/>
        </w:rPr>
        <w:t>•</w:t>
      </w:r>
      <w:r>
        <w:rPr>
          <w:rFonts w:ascii="Times New Roman;sans-serif" w:hAnsi="Times New Roman;sans-serif"/>
          <w:b w:val="false"/>
          <w:color w:val="000000"/>
          <w:sz w:val="20"/>
        </w:rPr>
        <w:t>Performance - Measured beginning after January 7, 2022, the performance condition will be satisfied upon our volume-weighted average stock closing price reaching $20 for 90 consecutive calendar days; provided it occurs within five years of January 7, 2021.</w:t>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before="0" w:after="60"/>
        <w:ind w:left="0" w:right="0" w:hanging="180"/>
        <w:jc w:val="both"/>
        <w:rPr/>
      </w:pPr>
      <w:r>
        <w:rPr/>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Mr. Toy received a hybrid PRSU award covering 11,142,328 shares of Class B common stock, which vest if each of the following two conditions are satisfied:</w:t>
      </w:r>
    </w:p>
    <w:p>
      <w:pPr>
        <w:pStyle w:val="TextBody"/>
        <w:spacing w:lineRule="auto" w:line="288" w:before="0" w:after="0"/>
        <w:ind w:left="0" w:right="0" w:hanging="540"/>
        <w:jc w:val="both"/>
        <w:rPr/>
      </w:pPr>
      <w:r>
        <w:rPr>
          <w:color w:val="000000"/>
        </w:rPr>
        <w:t>•</w:t>
      </w:r>
      <w:r>
        <w:rPr>
          <w:rFonts w:ascii="Times New Roman;sans-serif" w:hAnsi="Times New Roman;sans-serif"/>
          <w:b w:val="false"/>
          <w:color w:val="000000"/>
          <w:sz w:val="20"/>
        </w:rPr>
        <w:t>Service - 20% will be satisfied on each anniversary of January 7, 2021, subject to Mr. Toy’s continued service to us through each date; and</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Performance - Measured beginning after January 7, 2022, 50% will be satisfied upon our volume-weighted average stock closing price reaching $25 for 90 consecutive calendar days, and the remaining 50% will be satisfied upon our volume-weighted average stock closing price reaching $30 for 90 consecutive calendar days; provided it occurs within five years of January 7,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Also in connection with the Business Combination and pursuant to his employment agreement, the Board of Directors accelerated in full the vesting of Mr. Toy’s stock option granted on February 4, 2020, to purchase 3,669,607 shares of our Class A common stock.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For a description of the change in control and severance provisions related to Mr. Garipalli’s and Mr. Toy’s PRSU and RSU grants in 2021, please see “</w:t>
      </w:r>
      <w:r>
        <w:rPr>
          <w:color w:val="000000"/>
        </w:rPr>
        <w:t>—</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date, none of the performance conditions for Mr. Garipalli’s and Mr. Toy’s hybrid PRSU awards has been satisfied.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 for Other Executive Officers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Jamie L. Reynoso</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For fiscal year 2021, Ms. Reynoso received an equity award, 70% of which was in the form of service-based RSUs covering 220,820 shares of Class A common stock, and 30% of which was in the form of performance-earned PRSUs covering 94,637 shares of Class A common stock, representing the number of PRSUs that would be earned if the target level of performance was achieved. The specific number of PRSUs earned was determined based on the Corporation’s achievement against MA Growth and DC Growth goals as of January 1, 2022, and an MCR goal for fiscal year 2021.</w:t>
      </w:r>
      <w:r>
        <w:rPr>
          <w:color w:val="000000"/>
        </w:rPr>
        <w:t xml:space="preserve"> </w:t>
      </w:r>
      <w:r>
        <w:rPr>
          <w:rFonts w:ascii="Times New Roman;sans-serif" w:hAnsi="Times New Roman;sans-serif"/>
          <w:b w:val="false"/>
          <w:color w:val="000000"/>
          <w:sz w:val="20"/>
        </w:rPr>
        <w:t>Please see the discussion under</w:t>
      </w:r>
      <w:r>
        <w:rPr>
          <w:color w:val="000000"/>
        </w:rPr>
        <w:t xml:space="preserve"> “</w:t>
      </w:r>
      <w:r>
        <w:rPr>
          <w:rFonts w:ascii="Times New Roman;sans-serif" w:hAnsi="Times New Roman;sans-serif"/>
          <w:b w:val="false"/>
          <w:i/>
          <w:color w:val="000000"/>
          <w:sz w:val="20"/>
        </w:rPr>
        <w:t>Annual Incentive Bonuses</w:t>
      </w:r>
      <w:r>
        <w:rPr>
          <w:rFonts w:ascii="Times New Roman;sans-serif" w:hAnsi="Times New Roman;sans-serif"/>
          <w:b w:val="false"/>
          <w:color w:val="000000"/>
          <w:sz w:val="20"/>
        </w:rPr>
        <w:t>,” above, for more information about these Corporation operating metrics. The three metrics were weighted equally, and the Talent and Compensation Committee assigned threshold (50%), target (100%) and maximum (150%) performance levels and the number of units earned at each level for each metric. The maximum number of PRSUs that could have been earned if maximum performance was achieved under each metric was 141,955. The Talent and Compensation Committee reviewed Corporation performance against the performance goals for 2021 and determined that performance was achieved at 17% of target. Accordingly, effective January 31, 2022, Ms. Reynoso earned 15,771 PRSUs, which will vest in three equal installments on January 31, 2022, January 1, 2023, and January 1, 2024, subject to her continued service to the Corporation through each vesting date. The 220,820 RSUs vest in four equal installments on the first four anniversaries of January 7, 2021, subject to Ms. Reynoso continuing to provide services to the Corporation through each vesting date. Under her employment agreement with the Corporation, Ms. Reynoso is also eligible for future annual RSU or PRSU awards.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For a description of the change in control and severance provisions related to Ms. Reynoso’s equity grants, please see “</w:t>
      </w:r>
      <w:r>
        <w:rPr>
          <w:color w:val="000000"/>
        </w:rPr>
        <w:t>—</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ind w:left="0" w:right="0" w:firstLine="720"/>
        <w:rPr/>
      </w:pPr>
      <w:r>
        <w:rPr/>
      </w:r>
    </w:p>
    <w:p>
      <w:pPr>
        <w:pStyle w:val="TextBody"/>
        <w:spacing w:lineRule="auto" w:line="276"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Prabhdeep Singh</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Mr. Singh received a grant of 52,798 RSUs, which will vest in full on July 6, 2022, and a grant of 211,193 RSUs, which will vest as to 25% of the RSUs on each of the first four anniversaries of July 6, 2021, in each case subject to his continued service to us through such vesting dates.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his employment agreement, Mr. Singh was also eligible for additional RSU grants if the number of members enrolled in one of the Corporation’s Medicare Advantage plans met or exceeded certain thresholds established by the Talent and Compensation Committee. After the end of the fiscal year, the Talent and Compensation Committee reviewed Corporation performance against these performance goals and determined that the thresholds were not met and that these grants would not be made to Mr. Singh.</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For a description of the change in control and severance provisions related to Mr. Singh’s equity grants, please see “</w:t>
      </w:r>
      <w:r>
        <w:rPr>
          <w:color w:val="000000"/>
        </w:rPr>
        <w:t>—</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Joseph Wagner and Mark C. Herbers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Mr. Wagner did not receive any equity awards during fiscal year 2021. Please see the discussion below under “</w:t>
      </w:r>
      <w:r>
        <w:rPr>
          <w:rFonts w:ascii="Times New Roman;sans-serif" w:hAnsi="Times New Roman;sans-serif"/>
          <w:b w:val="false"/>
          <w:i/>
          <w:color w:val="000000"/>
          <w:sz w:val="20"/>
        </w:rPr>
        <w:t>Separation Agreement – Joseph Wagner</w:t>
      </w:r>
      <w:r>
        <w:rPr>
          <w:color w:val="000000"/>
        </w:rPr>
        <w:t xml:space="preserve">” </w:t>
      </w:r>
      <w:r>
        <w:rPr>
          <w:rFonts w:ascii="Times New Roman;sans-serif" w:hAnsi="Times New Roman;sans-serif"/>
          <w:b w:val="false"/>
          <w:color w:val="000000"/>
          <w:sz w:val="20"/>
        </w:rPr>
        <w:t xml:space="preserve">for information about the treatment of his equity awards in connection with his separation from the Corporation in </w:t>
      </w:r>
    </w:p>
    <w:p>
      <w:pPr>
        <w:pStyle w:val="HorizontalLine"/>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August 2021. Pursuant to the agreement between AP Services, LLC, an affiliate of AlixPartners, LLP, Mr. Herbers’ employer, and the Corporation, Mr. Herbers was not eligible for and did not receive any equity awards during 2021.</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Severance and Change in Control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severance benefits in the employment agreements we have with our NEOs.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59"/>
        <w:gridCol w:w="666"/>
        <w:gridCol w:w="670"/>
        <w:gridCol w:w="127"/>
        <w:gridCol w:w="127"/>
        <w:gridCol w:w="127"/>
        <w:gridCol w:w="1426"/>
        <w:gridCol w:w="1426"/>
        <w:gridCol w:w="1429"/>
        <w:gridCol w:w="127"/>
        <w:gridCol w:w="127"/>
        <w:gridCol w:w="127"/>
        <w:gridCol w:w="1103"/>
        <w:gridCol w:w="1103"/>
        <w:gridCol w:w="861"/>
      </w:tblGrid>
      <w:tr>
        <w:trPr/>
        <w:tc>
          <w:tcPr>
            <w:tcW w:w="75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Termination and Change in Control Protections</w:t>
            </w:r>
          </w:p>
        </w:tc>
      </w:tr>
      <w:tr>
        <w:trPr/>
        <w:tc>
          <w:tcPr>
            <w:tcW w:w="2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Philosophy</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Considerations</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Terms</w:t>
            </w:r>
          </w:p>
        </w:tc>
      </w:tr>
      <w:tr>
        <w:trPr/>
        <w:tc>
          <w:tcPr>
            <w:tcW w:w="2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rFonts w:ascii="Times New Roman;sans-serif" w:hAnsi="Times New Roman;sans-serif"/>
                <w:b/>
                <w:i/>
                <w:color w:val="000000"/>
                <w:sz w:val="17"/>
              </w:rPr>
            </w:pPr>
            <w:r>
              <w:rPr>
                <w:rFonts w:ascii="Times New Roman;sans-serif" w:hAnsi="Times New Roman;sans-serif"/>
                <w:b/>
                <w:i/>
                <w:color w:val="000000"/>
                <w:sz w:val="17"/>
              </w:rPr>
              <w:t>Attract and Retain Executives:</w:t>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Intended to ease an NEO’s transition due to an unexpected employment termination or retirement.</w:t>
            </w:r>
          </w:p>
          <w:p>
            <w:pPr>
              <w:pStyle w:val="TableContents"/>
              <w:spacing w:before="0" w:after="0"/>
              <w:jc w:val="left"/>
              <w:rPr/>
            </w:pPr>
            <w:r>
              <w:rPr/>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Retain and encourage our NEOs to remain focused on our business and the interests of our stockholders when considering strategic alternatives.</w:t>
            </w:r>
          </w:p>
          <w:p>
            <w:pPr>
              <w:pStyle w:val="TableContents"/>
              <w:spacing w:before="0" w:after="0"/>
              <w:rPr/>
            </w:pPr>
            <w:r>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The employment of our NEOs is “at will,” meaning we can terminate them at any time and they can terminate their employment with us at any time.</w:t>
            </w:r>
          </w:p>
          <w:p>
            <w:pPr>
              <w:pStyle w:val="TableContents"/>
              <w:spacing w:before="0" w:after="0"/>
              <w:jc w:val="left"/>
              <w:rPr/>
            </w:pPr>
            <w:r>
              <w:rPr/>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Arrangements should be designed to: (i) provide reasonable compensation to executive officers who leave the Corporation under certain circumstances to facilitate their transition to new employment and (ii) require a departing executive officer to sign a separation and release agreement acceptable to us as a condition to receiving post-employment compensation payments or benefits.</w:t>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i/>
                <w:color w:val="000000"/>
                <w:sz w:val="17"/>
              </w:rPr>
            </w:pPr>
            <w:r>
              <w:rPr>
                <w:rFonts w:ascii="Times New Roman;sans-serif" w:hAnsi="Times New Roman;sans-serif"/>
                <w:b/>
                <w:i/>
                <w:color w:val="000000"/>
                <w:sz w:val="17"/>
              </w:rPr>
              <w:t>Agreements with Certain NEOs:</w:t>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Provide for certain cash payments, and/or the vesting of certain equity awards and COBRA benefits, in the event there is a separation of employment under various circumstances, subject to the execution of a release of claims.</w:t>
            </w:r>
          </w:p>
          <w:p>
            <w:pPr>
              <w:pStyle w:val="TableContents"/>
              <w:spacing w:before="0" w:after="0"/>
              <w:jc w:val="left"/>
              <w:rPr/>
            </w:pPr>
            <w:r>
              <w:rPr/>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Generally provide for accelerated vesting of equity awards upon a change in control if the recipient is terminated by the acquiring entity in connection with the change in control under specified circumstances, subject to the execution of a release of claims.</w:t>
            </w:r>
          </w:p>
        </w:tc>
      </w:tr>
      <w:tr>
        <w:trPr/>
        <w:tc>
          <w:tcPr>
            <w:tcW w:w="2095"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76" w:before="0" w:after="0"/>
              <w:jc w:val="left"/>
              <w:rPr>
                <w:rFonts w:ascii="Times New Roman;sans-serif" w:hAnsi="Times New Roman;sans-serif"/>
                <w:b/>
                <w:i/>
                <w:color w:val="000000"/>
                <w:sz w:val="17"/>
              </w:rPr>
            </w:pPr>
            <w:r>
              <w:rPr>
                <w:rFonts w:ascii="Times New Roman;sans-serif" w:hAnsi="Times New Roman;sans-serif"/>
                <w:b/>
                <w:i/>
                <w:color w:val="000000"/>
                <w:sz w:val="17"/>
              </w:rPr>
              <w:t>Align Interests with Stockholders:</w:t>
            </w:r>
          </w:p>
          <w:p>
            <w:pPr>
              <w:pStyle w:val="TableContents"/>
              <w:spacing w:lineRule="auto" w:line="26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Mitigate any potential employer liability and avoid future disputes or litigation</w:t>
            </w:r>
          </w:p>
          <w:p>
            <w:pPr>
              <w:pStyle w:val="TableContents"/>
              <w:spacing w:before="0" w:after="0"/>
              <w:rPr/>
            </w:pPr>
            <w:r>
              <w:rPr/>
            </w:r>
          </w:p>
        </w:tc>
        <w:tc>
          <w:tcPr>
            <w:tcW w:w="381"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281" w:type="dxa"/>
            <w:gridSpan w:val="3"/>
            <w:tcBorders>
              <w:top w:val="single" w:sz="2" w:space="0" w:color="000000"/>
              <w:bottom w:val="single" w:sz="2" w:space="0" w:color="000000"/>
            </w:tcBorders>
            <w:shd w:fill="auto" w:val="clear"/>
            <w:tcMar>
              <w:top w:w="30" w:type="dxa"/>
              <w:left w:w="0" w:type="dxa"/>
              <w:bottom w:w="30" w:type="dxa"/>
              <w:right w:w="0" w:type="dxa"/>
            </w:tcMar>
            <w:vAlign w:val="center"/>
          </w:tcPr>
          <w:p>
            <w:pPr>
              <w:pStyle w:val="TableContents"/>
              <w:spacing w:lineRule="auto" w:line="240" w:before="0" w:after="0"/>
              <w:jc w:val="left"/>
              <w:rPr>
                <w:color w:val="000000"/>
              </w:rPr>
            </w:pPr>
            <w:r>
              <w:rPr>
                <w:color w:val="000000"/>
              </w:rPr>
              <w:t>“</w:t>
            </w:r>
            <w:r>
              <w:rPr>
                <w:rFonts w:ascii="Times New Roman;sans-serif" w:hAnsi="Times New Roman;sans-serif"/>
                <w:b w:val="false"/>
                <w:color w:val="000000"/>
                <w:sz w:val="17"/>
              </w:rPr>
              <w:t>Double-trigger” provisions preserve morale and productivity, and encourage executive retention in the event of a change in control.</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These provisions are considered typical components of compensation programs for executive officers among our fiscal year 2021 peer group.</w:t>
            </w:r>
          </w:p>
        </w:tc>
        <w:tc>
          <w:tcPr>
            <w:tcW w:w="381"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067"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Separation Agreement with Joseph Wagner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 separation agreement with our former Chief Financial Officer, Mr. Wagner, pursuant to which in exchange for a general release of claims against the Corporation, Mr. Wagner (i) received reimbursement of one month of COBRA premiums, (ii) received an extension of the post-termination exercise period in which he can exercise his then-vested and unexercised non-qualified stock options until August 12, 2022, and (iii) retained his Corporation-issued laptop. Pursuant to the separation agreement, Mr. Wagner also entered into a consulting relationship with the Corporation for a period of up to one year for which he will be compensated $10,000 per month of service. If during Mr. Wagner’s one year consulting period we hire and onboard a new Chief Financial Officer, Mr. Wagner’s services to us will terminate 60 days after the Chief Financial Officer begins employment, and Mr. Wagner will become entitled to the consulting fees that he would have received if he had continued providing services to us for the full one-year consulting period.</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For additional information, please see “</w:t>
      </w:r>
      <w:r>
        <w:rPr>
          <w:color w:val="000000"/>
        </w:rPr>
        <w:t>—</w:t>
      </w:r>
      <w:r>
        <w:rPr>
          <w:rFonts w:ascii="Times New Roman;sans-serif" w:hAnsi="Times New Roman;sans-serif"/>
          <w:b w:val="false"/>
          <w:i/>
          <w:color w:val="000000"/>
          <w:sz w:val="20"/>
        </w:rPr>
        <w:t>Potential Payments Upon Termination or Change in Control</w:t>
      </w:r>
      <w:r>
        <w:rPr>
          <w:color w:val="000000"/>
        </w:rPr>
        <w:t xml:space="preserve">” </w:t>
      </w:r>
      <w:r>
        <w:rPr>
          <w:rFonts w:ascii="Times New Roman;sans-serif" w:hAnsi="Times New Roman;sans-serif"/>
          <w:b w:val="false"/>
          <w:color w:val="000000"/>
          <w:sz w:val="20"/>
        </w:rPr>
        <w:t>below.</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Executive Benefits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2021, subject to minor exceptions, we did not provide perquisites to our NEOs that were not generally available to other employees. Our executive officers are eligible to participate in our employee benefit plans, including our medical, dental, vision, group life, disability and accidental death and dismemberment insurance plans, in each case, on the same basis as all other employees.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401(k) plan that provides eligible employees, including our executive officers, with an opportunity to save for retirement on a tax advantaged basis. Eligible employees are able to defer eligible compensation subject to applicable annual Code limits. Employees are immediately and fully vested in their contributions. The 401(k) plan permits us to make matching contributions and profit-sharing contributions to eligible participants.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benefits are generally consistent with those offered by other companies and specifically with those companies with which we compete for employees.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Compensation Policies and Practices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Hedging, Pledging and Insider Trading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Insider Trading Policy applies to all of our directors, officers, employees and certain designated contractors and vendors and expressly bars ownership of financial instruments or participation in investment strategies that hedge the economic risk of owning our equity securities, such as prepaid variable forward contracts, equity swaps, collars, and exchange funds. Directors, officers, and other employees are prohibited from holding the Corporation’s securities in a margin account or otherwise pledging the Corporation’s securities as collateral for a loan unless approved by the Corporation’s Corporate Compliance Officer. In addition, we prohibit our executive officers, directors and employees from purchasing or selling our securities while in possession of material, non-public information, or otherwise using such information for their personal benefit, and we maintain quarterly black-out windows during which applicable individuals may not trade.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and members of our Board of Directors are permitted to enter into trading plans that are intended to comply with the requirements of Exchange Act Rule 10b5-1 so they may make predetermined trades of our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Equity Grant Practices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awards for our executive officers are typically granted pursuant to a formula based on a specified dollar amount, with the number of RSUs for each RSU and PRSU grant determined by dividing the dollar amount by the closing market price of our stock for a specified period through the grant date. In addition, the Talent and Compensation Committee has delegated authority to our CEO and President to make new hire and promotion grants, within certain parameters, to employees at the vice president level and below. All other equity grants must be approved by the Talent and Compensation Committee.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Compensation-Setting Process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Talent and Compensation Committee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works closely with its independent consultant and meets regularly, including in executive sessions without members of management present, to make decisions about the compensation of our CEO and other executive officers. The committee reviews a variety of market data and information, including Corporation, peer company and industry compensation information, and considers the recommendations of its independent consultant when making compensation decisions. The committee chairperson reports the actions of the committee to our Board of Directors. The responsibilities of the Talent and Compensation Committee include, among other things, reviewing and approving (or making recommendations to the Board of Directors, as applicable, regarding):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overall compensation strategy;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amounts and forms of executive compensation, including base salary, incentive compensation and equity-based compensation;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goals and objectives to be considered in determining the compensation of the CEO and other executive officers;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annual and long-term incentive plans and benefit plans;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Board of Director compensation;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annual proxy disclosure/CD&amp;A disclosure;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compensation peer group.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Independent Compensation Consultant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generally retains an independent compensation consultant to help understand competitive compensation levels and incentive designs. The independent compensation consultant is solely hired by, and reports directly to, the Talent and Compensation Committee. The committee has sole authority to retain and terminate the independent compensation consultant. At the Talent and Compensation Committee’s discretion, the independent compensation consultant: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provides independent advice to the committee on current trends and best practices in compensation design;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advises on plans or practices that may improve the effectiveness of our compensation program;</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attends committee meetings;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assists the committee in determining peer companies and evaluation compensation proposals; and</w:t>
      </w:r>
    </w:p>
    <w:p>
      <w:pPr>
        <w:pStyle w:val="HorizontalLine"/>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before="0" w:after="60"/>
        <w:ind w:left="0" w:right="0" w:hanging="180"/>
        <w:jc w:val="both"/>
        <w:rPr/>
      </w:pPr>
      <w:r>
        <w:rPr/>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conducts compensation-related research.</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making fiscal year 2021 compensation decisions, the Talent and Compensation Committee retained Radford Data &amp; Analytics of Aon (Radford) to assist with selecting an appropriate peer group for executive compensation benchmarking purposes, designing and reviewing our executive compensation programs and understanding executive compensation trends and best practices in compensation design.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has analyzed and determined that the work of Radford, as a compensation consultant, has not created any conflict of interest and is independent under the applicable listing rules.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CEO and our other executive officers do not set their own compensation nor are they present when the Talent and Compensation Committee establishes their specific individual compensation. Our CEO will provide an evaluation of each other NEO’s performance to the Talent and Compensation Committee and will make recommendations regarding the base salary, target annual incentive bonuses and equity awards for other executive officers than himself. The CEO’s recommendations are considered by the Talent and Compensation Committee, which makes its own ultimate determinations as to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human resources department provides additional analysis and guidance as requested by the Talent and Compensation Committee related to NEO compensation, including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developing, summarizing, and presenting information and analyses to enable the committee to execute its responsibilities, as well as addressing specific requests for information from the committee;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attending committee meetings, as requested, to provide information, respond to questions, and otherwise assist the committee;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assisting the CEO in making preliminary recommendations of base salary structure and cash and equity incentive awards.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Peer Group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fiscal 2021, the primary peer group used to inform our Talent and Compensation Committee of pay decisions and practices included:</w:t>
      </w:r>
    </w:p>
    <w:p>
      <w:pPr>
        <w:pStyle w:val="TextBody"/>
        <w:spacing w:before="0" w:after="0"/>
        <w:jc w:val="both"/>
        <w:rPr/>
      </w:pPr>
      <w:r>
        <w:rPr/>
      </w:r>
    </w:p>
    <w:tbl>
      <w:tblPr>
        <w:tblW w:w="4798" w:type="dxa"/>
        <w:jc w:val="left"/>
        <w:tblInd w:w="0" w:type="dxa"/>
        <w:tblCellMar>
          <w:top w:w="28" w:type="dxa"/>
          <w:left w:w="28" w:type="dxa"/>
          <w:bottom w:w="28" w:type="dxa"/>
          <w:right w:w="28" w:type="dxa"/>
        </w:tblCellMar>
      </w:tblPr>
      <w:tblGrid>
        <w:gridCol w:w="955"/>
        <w:gridCol w:w="842"/>
        <w:gridCol w:w="842"/>
        <w:gridCol w:w="628"/>
        <w:gridCol w:w="628"/>
        <w:gridCol w:w="903"/>
      </w:tblGrid>
      <w:tr>
        <w:trPr/>
        <w:tc>
          <w:tcPr>
            <w:tcW w:w="95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479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Primary Peer Group Companies</w:t>
            </w:r>
          </w:p>
        </w:tc>
      </w:tr>
      <w:tr>
        <w:trPr/>
        <w:tc>
          <w:tcPr>
            <w:tcW w:w="26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1Life Healthcare</w:t>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Lemonade Inc. </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Alarm.com </w:t>
            </w:r>
          </w:p>
        </w:tc>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Livongo Health</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Allscripts Healthcare Solutions</w:t>
            </w:r>
          </w:p>
        </w:tc>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Medallia</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Healthcare</w:t>
            </w:r>
          </w:p>
        </w:tc>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Oak Street Health</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w:t>
            </w:r>
          </w:p>
        </w:tc>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Omnicell </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eHealth</w:t>
            </w:r>
          </w:p>
        </w:tc>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Progyny </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Evolent Health</w:t>
            </w:r>
          </w:p>
        </w:tc>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SelectQuote, Inc</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GoHealth, Inc. </w:t>
            </w:r>
          </w:p>
        </w:tc>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Stitch Fix</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Guidewire Software </w:t>
            </w:r>
          </w:p>
        </w:tc>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Tabula Rasa HealthCare </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HealthEquity</w:t>
            </w:r>
          </w:p>
        </w:tc>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Teladoc Health</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Inovalon </w:t>
            </w:r>
          </w:p>
        </w:tc>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peer group companies were chosen based on, among other things, (i) industry, including healthcare and technology companies, (ii) revenue, (iii) revenue growth, (iv) market cap and (v) market cap as a multiple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Tax Considerations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162(m) of the Internal Revenue Code of 1986, as amended, places a limit of $1 million on the amount of compensation that we may deduct as a business expense in any year with respect to certain of our most highly paid executive officers. While the Talent and Compensation Committee considers the deductibility of compensation as one factor in determining executive compensation, the Talent and Compensation Committee retains the discretion to award compensation that is not deductible as it believes that it is in the </w:t>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best interests of our stockholders to maintain flexibility in our approach to executive compensation in order to structure a program that we consider to be the most effective in attracting, motivating and retaining key executives.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Risk Assessment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has assessed our compensation philosophy and objectives, and the forms of compensation and benefits for all employees, including executives, and has concluded that our compensation policies and practices do not create risks that are reasonably likely to have a material adverse effect on the Corporation.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Talent and Compensation Committee believes that the design and objectives of our executive compensation program provide an appropriate balance of incentives for our NEOs, thereby discouraging them from taking inappropriate risks. Among other things, our executive compensation program includes the following design features: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balanced mix of cash and equity; as well as appropriately balanced fixed (base salary) and variable compensation (cash incentives and equity-based awards);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mix of short-term and long-term incentives, with short-term incentives currently representing a lower proportion of the total mix;</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cash and equity incentives solely based on achieving company performance objectives;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caps on annual cash incentive payouts;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alignment with prevalent low-risk pay practices;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policies prohibiting hedging and pledging by our employees, officers or directors.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of the named executive officers for each of the last three or fewer fiscal years during which such individuals were determined to be NEOs:</w:t>
      </w:r>
    </w:p>
    <w:p>
      <w:pPr>
        <w:pStyle w:val="TextBody"/>
        <w:spacing w:before="0" w:after="0"/>
        <w:rPr/>
      </w:pPr>
      <w:r>
        <w:rPr/>
      </w:r>
    </w:p>
    <w:tbl>
      <w:tblPr>
        <w:tblW w:w="11640" w:type="dxa"/>
        <w:jc w:val="left"/>
        <w:tblInd w:w="0" w:type="dxa"/>
        <w:tblCellMar>
          <w:top w:w="28" w:type="dxa"/>
          <w:left w:w="28" w:type="dxa"/>
          <w:bottom w:w="28" w:type="dxa"/>
          <w:right w:w="28" w:type="dxa"/>
        </w:tblCellMar>
      </w:tblPr>
      <w:tblGrid>
        <w:gridCol w:w="433"/>
        <w:gridCol w:w="248"/>
        <w:gridCol w:w="250"/>
        <w:gridCol w:w="109"/>
        <w:gridCol w:w="109"/>
        <w:gridCol w:w="109"/>
        <w:gridCol w:w="175"/>
        <w:gridCol w:w="175"/>
        <w:gridCol w:w="176"/>
        <w:gridCol w:w="109"/>
        <w:gridCol w:w="109"/>
        <w:gridCol w:w="109"/>
        <w:gridCol w:w="382"/>
        <w:gridCol w:w="354"/>
        <w:gridCol w:w="196"/>
        <w:gridCol w:w="109"/>
        <w:gridCol w:w="109"/>
        <w:gridCol w:w="109"/>
        <w:gridCol w:w="241"/>
        <w:gridCol w:w="180"/>
        <w:gridCol w:w="181"/>
        <w:gridCol w:w="109"/>
        <w:gridCol w:w="109"/>
        <w:gridCol w:w="109"/>
        <w:gridCol w:w="525"/>
        <w:gridCol w:w="526"/>
        <w:gridCol w:w="221"/>
        <w:gridCol w:w="109"/>
        <w:gridCol w:w="109"/>
        <w:gridCol w:w="109"/>
        <w:gridCol w:w="489"/>
        <w:gridCol w:w="382"/>
        <w:gridCol w:w="221"/>
        <w:gridCol w:w="109"/>
        <w:gridCol w:w="109"/>
        <w:gridCol w:w="109"/>
        <w:gridCol w:w="380"/>
        <w:gridCol w:w="380"/>
        <w:gridCol w:w="381"/>
        <w:gridCol w:w="109"/>
        <w:gridCol w:w="109"/>
        <w:gridCol w:w="109"/>
        <w:gridCol w:w="491"/>
        <w:gridCol w:w="380"/>
        <w:gridCol w:w="381"/>
        <w:gridCol w:w="109"/>
        <w:gridCol w:w="109"/>
        <w:gridCol w:w="109"/>
        <w:gridCol w:w="525"/>
        <w:gridCol w:w="526"/>
        <w:gridCol w:w="225"/>
      </w:tblGrid>
      <w:tr>
        <w:trPr/>
        <w:tc>
          <w:tcPr>
            <w:tcW w:w="43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Salary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Bonus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Stock Awards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 Awards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Non-Equity Incentive Plan Compensation ($)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Garipalli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389,569,439 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389,569,439 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1,034,886 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1,034,886 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Interim Chief Financial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Andrew Toy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141,449,617 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79,200 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8,490 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141,987,507 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and Chief Technology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415,385 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8,190,695 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8,617,885 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23,593 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423,593 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Jamie L. Reynoso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411,539 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2,586,747 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43,459 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6,539 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3,048,484 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Prabhdeep Singh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190,769 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2,470,956 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17,600 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2,679,325 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Growth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Joseph Wagner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291,958 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(10)</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55,184 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407,342 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Former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8"/>
        </w:rPr>
        <w:t>(1)    </w:t>
      </w:r>
      <w:r>
        <w:rPr>
          <w:rFonts w:ascii="Times New Roman;sans-serif" w:hAnsi="Times New Roman;sans-serif"/>
          <w:b w:val="false"/>
          <w:color w:val="000000"/>
          <w:sz w:val="12"/>
          <w:highlight w:val="white"/>
        </w:rPr>
        <w:t>For 2019 and 2020, this column represents base salary earned. For 2021, this column represents base salary or base compensation earned, and the figure reported for Mr. Wagner for 2021 includes (i) base salary of $253,846 and (ii) accrued and unused vacation of $38,112 paid to Mr. Wagner in connection with his termination of employment.</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(2)    </w:t>
      </w:r>
      <w:r>
        <w:rPr>
          <w:rFonts w:ascii="Times New Roman;sans-serif" w:hAnsi="Times New Roman;sans-serif"/>
          <w:b w:val="false"/>
          <w:color w:val="000000"/>
          <w:sz w:val="12"/>
          <w:highlight w:val="white"/>
        </w:rPr>
        <w:t>Amounts in this column reflect employee appreciation bonuses.</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(3)    </w:t>
      </w:r>
      <w:r>
        <w:rPr>
          <w:rFonts w:ascii="Times New Roman;sans-serif" w:hAnsi="Times New Roman;sans-serif"/>
          <w:b w:val="false"/>
          <w:color w:val="000000"/>
          <w:sz w:val="12"/>
          <w:highlight w:val="white"/>
        </w:rPr>
        <w:t>See the “Grants of Plan-Based Awards for the Year Ended December 31, 2021” table below for information on awards reported in these columns.</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(4)    </w:t>
      </w:r>
      <w:r>
        <w:rPr>
          <w:rFonts w:ascii="Times New Roman;sans-serif" w:hAnsi="Times New Roman;sans-serif"/>
          <w:b w:val="false"/>
          <w:color w:val="000000"/>
          <w:sz w:val="12"/>
          <w:highlight w:val="white"/>
        </w:rPr>
        <w:t>The amounts reported consist of (i) car services and related transportation costs for Mr. Toy, (ii) matching 401(k) contributions by the Corporation, (iii) consulting fees for Mr. Wagner earned in the period after his August 13, 2021 termination of employment, (iv) one month of COBRA premiums paid for Mr. Wagner, (v) the value of Mr. Wagner’s Corporation-issued laptop ((iv) and (v), as further described in “--Separation Agreement with Joseph Wagner”) and (vi) the value of a gift card awarded to Mr. Toy, in the following amounts:</w:t>
      </w:r>
    </w:p>
    <w:p>
      <w:pPr>
        <w:pStyle w:val="TextBody"/>
        <w:spacing w:before="0" w:after="0"/>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before="0" w:after="60"/>
        <w:ind w:left="0" w:right="0" w:hanging="180"/>
        <w:jc w:val="both"/>
        <w:rPr/>
      </w:pPr>
      <w:r>
        <w:rPr/>
      </w:r>
    </w:p>
    <w:tbl>
      <w:tblPr>
        <w:tblW w:w="9497" w:type="dxa"/>
        <w:jc w:val="left"/>
        <w:tblInd w:w="0" w:type="dxa"/>
        <w:tblCellMar>
          <w:top w:w="28" w:type="dxa"/>
          <w:left w:w="28" w:type="dxa"/>
          <w:bottom w:w="28" w:type="dxa"/>
          <w:right w:w="28" w:type="dxa"/>
        </w:tblCellMar>
      </w:tblPr>
      <w:tblGrid>
        <w:gridCol w:w="487"/>
        <w:gridCol w:w="427"/>
        <w:gridCol w:w="435"/>
        <w:gridCol w:w="309"/>
        <w:gridCol w:w="309"/>
        <w:gridCol w:w="311"/>
        <w:gridCol w:w="328"/>
        <w:gridCol w:w="705"/>
        <w:gridCol w:w="183"/>
        <w:gridCol w:w="372"/>
        <w:gridCol w:w="1056"/>
        <w:gridCol w:w="207"/>
        <w:gridCol w:w="256"/>
        <w:gridCol w:w="846"/>
        <w:gridCol w:w="142"/>
        <w:gridCol w:w="317"/>
        <w:gridCol w:w="901"/>
        <w:gridCol w:w="176"/>
        <w:gridCol w:w="196"/>
        <w:gridCol w:w="556"/>
        <w:gridCol w:w="109"/>
        <w:gridCol w:w="250"/>
        <w:gridCol w:w="423"/>
        <w:gridCol w:w="196"/>
      </w:tblGrid>
      <w:tr>
        <w:trPr/>
        <w:tc>
          <w:tcPr>
            <w:tcW w:w="48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349"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92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21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Transportation</w:t>
            </w:r>
          </w:p>
        </w:tc>
        <w:tc>
          <w:tcPr>
            <w:tcW w:w="163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401(k) Contributions</w:t>
            </w:r>
          </w:p>
        </w:tc>
        <w:tc>
          <w:tcPr>
            <w:tcW w:w="124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Consulting Fees</w:t>
            </w:r>
          </w:p>
        </w:tc>
        <w:tc>
          <w:tcPr>
            <w:tcW w:w="139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COBRA premium</w:t>
            </w:r>
          </w:p>
        </w:tc>
        <w:tc>
          <w:tcPr>
            <w:tcW w:w="86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Laptop</w:t>
            </w:r>
          </w:p>
        </w:tc>
        <w:tc>
          <w:tcPr>
            <w:tcW w:w="86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Gift Card</w:t>
            </w:r>
          </w:p>
        </w:tc>
      </w:tr>
      <w:tr>
        <w:trPr/>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Andrew Toy</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Prabhdeep Singh</w:t>
            </w:r>
          </w:p>
        </w:tc>
        <w:tc>
          <w:tcPr>
            <w:tcW w:w="92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Jamie L. Reynoso</w:t>
            </w:r>
          </w:p>
        </w:tc>
        <w:tc>
          <w:tcPr>
            <w:tcW w:w="929"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6,539 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Joseph Wagner</w:t>
            </w:r>
          </w:p>
        </w:tc>
        <w:tc>
          <w:tcPr>
            <w:tcW w:w="929"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11,577 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8"/>
        </w:rPr>
        <w:t>(5)    </w:t>
      </w:r>
      <w:r>
        <w:rPr>
          <w:rFonts w:ascii="Times New Roman;sans-serif" w:hAnsi="Times New Roman;sans-serif"/>
          <w:b w:val="false"/>
          <w:color w:val="000000"/>
          <w:sz w:val="12"/>
          <w:highlight w:val="white"/>
        </w:rPr>
        <w:t>At his own recommendation to our Board of Directors and in accordance with his employment agreement, Mr. Garipalli elected to forgo any compensation other than equity awards for 2021, 2020, and 2019.</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(6)    </w:t>
      </w:r>
      <w:r>
        <w:rPr>
          <w:rFonts w:ascii="Times New Roman;sans-serif" w:hAnsi="Times New Roman;sans-serif"/>
          <w:b w:val="false"/>
          <w:color w:val="000000"/>
          <w:sz w:val="12"/>
          <w:highlight w:val="white"/>
        </w:rPr>
        <w:t>Represents the aggregate grant date fair value of RSU and hybrid PRSU awards granted computed in accordance with FASB ASC Topic 718, as discussed in Note 18 to our Consolidated Financial Statements included elsewhere in this report. Note that the amounts reported in this column reflect the accounting value for the RSU and hybrid PRSU awards and may not correspond to the actual economic value that may be received by the named executive officer from the award. The grant date fair value of the RSU awards to Mr. Garipalli and Mr. Toy were measured based on the closing price of our Class A common stock on the date of grant. The stock price milestone conditions of the PRSUs awarded during 2021 to Mr. Garipalli and Mr. Toy constitute a “market condition” under FASB ASC Topic 718. The full grant date fair value of the hybrid PRSUs was determined using a Monte Carlo simulation pricing model (Monte Carlo model) on the date the hybrid PRSUs were awarded. The table below sets forth the significant inputs and assumptions used in the Monte Carlo model for the hybrid PRSUs:</w:t>
      </w:r>
    </w:p>
    <w:tbl>
      <w:tblPr>
        <w:tblW w:w="10205" w:type="dxa"/>
        <w:jc w:val="left"/>
        <w:tblInd w:w="0" w:type="dxa"/>
        <w:tblCellMar>
          <w:top w:w="28" w:type="dxa"/>
          <w:left w:w="28" w:type="dxa"/>
          <w:bottom w:w="28" w:type="dxa"/>
          <w:right w:w="28" w:type="dxa"/>
        </w:tblCellMar>
      </w:tblPr>
      <w:tblGrid>
        <w:gridCol w:w="316"/>
        <w:gridCol w:w="277"/>
        <w:gridCol w:w="279"/>
        <w:gridCol w:w="219"/>
        <w:gridCol w:w="219"/>
        <w:gridCol w:w="220"/>
        <w:gridCol w:w="227"/>
        <w:gridCol w:w="227"/>
        <w:gridCol w:w="228"/>
        <w:gridCol w:w="479"/>
        <w:gridCol w:w="482"/>
        <w:gridCol w:w="161"/>
        <w:gridCol w:w="812"/>
        <w:gridCol w:w="731"/>
        <w:gridCol w:w="733"/>
        <w:gridCol w:w="395"/>
        <w:gridCol w:w="377"/>
        <w:gridCol w:w="379"/>
        <w:gridCol w:w="753"/>
        <w:gridCol w:w="753"/>
        <w:gridCol w:w="755"/>
        <w:gridCol w:w="343"/>
        <w:gridCol w:w="343"/>
        <w:gridCol w:w="497"/>
      </w:tblGrid>
      <w:tr>
        <w:trPr/>
        <w:tc>
          <w:tcPr>
            <w:tcW w:w="31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Name</w:t>
            </w:r>
          </w:p>
        </w:tc>
        <w:tc>
          <w:tcPr>
            <w:tcW w:w="6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6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2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Market-Related Component Grant Date Fair Value ($)</w:t>
            </w:r>
          </w:p>
        </w:tc>
        <w:tc>
          <w:tcPr>
            <w:tcW w:w="11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Volatility (%)</w:t>
            </w:r>
          </w:p>
        </w:tc>
        <w:tc>
          <w:tcPr>
            <w:tcW w:w="2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Risk-Free Interest Rate for Remaining Performance Period (%)</w:t>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Dividend Yield</w:t>
            </w:r>
          </w:p>
        </w:tc>
      </w:tr>
      <w:tr>
        <w:trPr/>
        <w:tc>
          <w:tcPr>
            <w:tcW w:w="8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Garipalli</w:t>
            </w:r>
          </w:p>
        </w:tc>
        <w:tc>
          <w:tcPr>
            <w:tcW w:w="6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01/07/2021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7,164,581 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76,804,308 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6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01/07/2021</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5,571,164 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45,015,005 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Andrew Toy</w:t>
            </w:r>
          </w:p>
        </w:tc>
        <w:tc>
          <w:tcPr>
            <w:tcW w:w="6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6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01/07/2021</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3,582,281 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41,948,628 </w:t>
            </w:r>
          </w:p>
        </w:tc>
        <w:tc>
          <w:tcPr>
            <w:tcW w:w="7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6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01/07/2021</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11,142,328 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99,500,989 </w:t>
            </w:r>
          </w:p>
        </w:tc>
        <w:tc>
          <w:tcPr>
            <w:tcW w:w="7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40.70 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pStyle w:val="TextBody"/>
        <w:spacing w:lineRule="auto" w:line="288" w:before="0" w:after="60"/>
        <w:ind w:left="0" w:right="0" w:hanging="180"/>
        <w:jc w:val="both"/>
        <w:rPr/>
      </w:pPr>
      <w:r>
        <w:rPr>
          <w:rFonts w:ascii="Times New Roman;sans-serif" w:hAnsi="Times New Roman;sans-serif"/>
          <w:b w:val="false"/>
          <w:color w:val="000000"/>
          <w:sz w:val="8"/>
        </w:rPr>
        <w:t>(7)    </w:t>
      </w:r>
      <w:r>
        <w:rPr>
          <w:rFonts w:ascii="Times New Roman;sans-serif" w:hAnsi="Times New Roman;sans-serif"/>
          <w:b w:val="false"/>
          <w:color w:val="000000"/>
          <w:sz w:val="12"/>
          <w:highlight w:val="white"/>
        </w:rPr>
        <w:t>Effective August 13, 2021, Mr. Wagner departed as our Chief Financial Officer, and Mr. Herbers began providing professional services as our Interim Chief Financial Officer. Compensation for Mr. Herbers’ services to the Corporation is made directly to AP Services, LLC, an affiliate of Mr. Herbers’ employer, AlixPartners LLP, pursuant to the Agreement for the Provision of Interim Management Services between the Corporation and AP Services, LLC. For Mr. Herbers’ services, the Corporation pays AP Services, LLC, $175,000 per month in professional fees and a monthly administrative fee of $3,500.</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(8)</w:t>
      </w:r>
      <w:r>
        <w:rPr>
          <w:color w:val="000000"/>
          <w:highlight w:val="white"/>
        </w:rPr>
        <w:t>    </w:t>
      </w:r>
      <w:r>
        <w:rPr>
          <w:rFonts w:ascii="Times New Roman;sans-serif" w:hAnsi="Times New Roman;sans-serif"/>
          <w:b w:val="false"/>
          <w:color w:val="000000"/>
          <w:sz w:val="12"/>
          <w:highlight w:val="white"/>
        </w:rPr>
        <w:t>Represents t</w:t>
      </w:r>
      <w:r>
        <w:rPr>
          <w:rFonts w:ascii="Times New Roman;sans-serif" w:hAnsi="Times New Roman;sans-serif"/>
          <w:b w:val="false"/>
          <w:color w:val="000000"/>
          <w:sz w:val="12"/>
        </w:rPr>
        <w:t>he aggregate grant date fair value of stock options granted in the applicable year computed in accordance with FASB ASC Topic 718. The assumptions used in calculating the dollar amount recognized for financial statement reporting purposes of the stock option awards are set forth in Note 18 to our Consolidated Financial Statements included elsewhere in this report. Note that the amounts reported reflect the accounting value for the stock optio</w:t>
      </w:r>
      <w:r>
        <w:rPr>
          <w:rFonts w:ascii="Times New Roman;sans-serif" w:hAnsi="Times New Roman;sans-serif"/>
          <w:b w:val="false"/>
          <w:color w:val="000000"/>
          <w:sz w:val="12"/>
          <w:highlight w:val="white"/>
        </w:rPr>
        <w:t xml:space="preserve">n awards and may not correspond to the actual economic value that may be received by the named executive officer from the awards. The grant date fair value of the stock options was determined using the Black-Scholes option pricing model based on the fair market value on the date of grant without regard to the service-based vesting conditions. </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(9)    </w:t>
      </w:r>
      <w:r>
        <w:rPr>
          <w:rFonts w:ascii="Times New Roman;sans-serif" w:hAnsi="Times New Roman;sans-serif"/>
          <w:b w:val="false"/>
          <w:color w:val="000000"/>
          <w:sz w:val="12"/>
          <w:highlight w:val="white"/>
        </w:rPr>
        <w:t>The amounts reported represent the aggregate grant date fair value of RSU awards and, for Ms. Reynoso, PRSU awards, granted in the applicable year computed in accordance with FASB ASC Topic 718. The assumptions used in calculating the dollar amounts recognized for financial statement reporting purposes of the RSUs and PRSUs are set forth in Note 18 to our Consolidated Financial Statements included elsewhere in this report. Note that the amounts reported reflect the accounting value for the RSU and PRSU awards and may not correspond to the actual economic value that may be received by the named executive officers from the awards. The grant date fair value of the RSUs is measured based on the closing price of our Class A common stock on the date of grant, and the grant date fair value of the PRSUs is measured using the same fair value as service based RSUs and recognized in compensation expense in accordance with ASC 718. Ms. Reynoso’s RSU and PRSU grants for fiscal year 2021 are further described in the following table:</w:t>
      </w:r>
    </w:p>
    <w:tbl>
      <w:tblPr>
        <w:tblW w:w="10205" w:type="dxa"/>
        <w:jc w:val="left"/>
        <w:tblInd w:w="0" w:type="dxa"/>
        <w:tblCellMar>
          <w:top w:w="28" w:type="dxa"/>
          <w:left w:w="28" w:type="dxa"/>
          <w:bottom w:w="28" w:type="dxa"/>
          <w:right w:w="28" w:type="dxa"/>
        </w:tblCellMar>
      </w:tblPr>
      <w:tblGrid>
        <w:gridCol w:w="331"/>
        <w:gridCol w:w="291"/>
        <w:gridCol w:w="295"/>
        <w:gridCol w:w="212"/>
        <w:gridCol w:w="212"/>
        <w:gridCol w:w="214"/>
        <w:gridCol w:w="282"/>
        <w:gridCol w:w="282"/>
        <w:gridCol w:w="284"/>
        <w:gridCol w:w="165"/>
        <w:gridCol w:w="165"/>
        <w:gridCol w:w="166"/>
        <w:gridCol w:w="539"/>
        <w:gridCol w:w="390"/>
        <w:gridCol w:w="381"/>
        <w:gridCol w:w="986"/>
        <w:gridCol w:w="967"/>
        <w:gridCol w:w="970"/>
        <w:gridCol w:w="955"/>
        <w:gridCol w:w="874"/>
        <w:gridCol w:w="1244"/>
      </w:tblGrid>
      <w:tr>
        <w:trPr/>
        <w:tc>
          <w:tcPr>
            <w:tcW w:w="3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r>
      <w:tr>
        <w:trPr/>
        <w:tc>
          <w:tcPr>
            <w:tcW w:w="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6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Grant Date</w:t>
            </w:r>
          </w:p>
        </w:tc>
        <w:tc>
          <w:tcPr>
            <w:tcW w:w="8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Approval Date</w:t>
            </w:r>
          </w:p>
        </w:tc>
        <w:tc>
          <w:tcPr>
            <w:tcW w:w="4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Award</w:t>
            </w:r>
          </w:p>
        </w:tc>
        <w:tc>
          <w:tcPr>
            <w:tcW w:w="1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Grant Date Fair Value ($)</w:t>
            </w:r>
          </w:p>
        </w:tc>
        <w:tc>
          <w:tcPr>
            <w:tcW w:w="29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Probable Outcome of Performance Conditions Grant Date Fair Value ($)</w:t>
            </w:r>
          </w:p>
        </w:tc>
        <w:tc>
          <w:tcPr>
            <w:tcW w:w="307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Maximum Outcome of Performance Conditions Grant Date Fair Value ($)</w:t>
            </w:r>
          </w:p>
        </w:tc>
      </w:tr>
      <w:tr>
        <w:trPr/>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Jamie L. Reynoso</w:t>
            </w:r>
          </w:p>
        </w:tc>
        <w:tc>
          <w:tcPr>
            <w:tcW w:w="6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7/16/2021</w:t>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7/16/2021</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RSUs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1,810,724 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0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N/A</w:t>
            </w:r>
          </w:p>
        </w:tc>
      </w:tr>
      <w:tr>
        <w:trPr/>
        <w:tc>
          <w:tcPr>
            <w:tcW w:w="9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Jamie L. Reynoso</w:t>
            </w:r>
          </w:p>
        </w:tc>
        <w:tc>
          <w:tcPr>
            <w:tcW w:w="6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7/16/2021</w:t>
            </w:r>
          </w:p>
        </w:tc>
        <w:tc>
          <w:tcPr>
            <w:tcW w:w="8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1/31/2022</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PRSUs</w:t>
            </w:r>
          </w:p>
        </w:tc>
        <w:tc>
          <w:tcPr>
            <w:tcW w:w="9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776,023 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776,023 </w:t>
            </w:r>
          </w:p>
        </w:tc>
        <w:tc>
          <w:tcPr>
            <w:tcW w:w="9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1,164,031 </w:t>
            </w:r>
          </w:p>
        </w:tc>
        <w:tc>
          <w:tcPr>
            <w:tcW w:w="1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8"/>
        </w:rPr>
        <w:t>(10)    </w:t>
      </w:r>
      <w:r>
        <w:rPr>
          <w:rFonts w:ascii="Times New Roman;sans-serif" w:hAnsi="Times New Roman;sans-serif"/>
          <w:b w:val="false"/>
          <w:color w:val="000000"/>
          <w:sz w:val="12"/>
          <w:highlight w:val="white"/>
        </w:rPr>
        <w:t>The amount reported represents the incremental fair value of the amendment to Mr. Wagner’s non-statutory stock options effective August 13, 2021 to extend the post-termination exercise period applicable to his vested and unexercised shares until August 13, 2022.</w:t>
      </w:r>
    </w:p>
    <w:p>
      <w:pPr>
        <w:pStyle w:val="HorizontalLine"/>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Grants of Plan-Based Awards for the Year Ended December 31, 2021 </w:t>
      </w:r>
    </w:p>
    <w:p>
      <w:pPr>
        <w:pStyle w:val="TextBody"/>
        <w:spacing w:before="0" w:after="0"/>
        <w:rPr/>
      </w:pPr>
      <w:r>
        <w:rPr/>
      </w:r>
    </w:p>
    <w:tbl>
      <w:tblPr>
        <w:tblW w:w="12381" w:type="dxa"/>
        <w:jc w:val="left"/>
        <w:tblInd w:w="0" w:type="dxa"/>
        <w:tblCellMar>
          <w:top w:w="28" w:type="dxa"/>
          <w:left w:w="28" w:type="dxa"/>
          <w:bottom w:w="28" w:type="dxa"/>
          <w:right w:w="28" w:type="dxa"/>
        </w:tblCellMar>
      </w:tblPr>
      <w:tblGrid>
        <w:gridCol w:w="396"/>
        <w:gridCol w:w="229"/>
        <w:gridCol w:w="231"/>
        <w:gridCol w:w="109"/>
        <w:gridCol w:w="109"/>
        <w:gridCol w:w="109"/>
        <w:gridCol w:w="185"/>
        <w:gridCol w:w="185"/>
        <w:gridCol w:w="186"/>
        <w:gridCol w:w="109"/>
        <w:gridCol w:w="109"/>
        <w:gridCol w:w="109"/>
        <w:gridCol w:w="265"/>
        <w:gridCol w:w="265"/>
        <w:gridCol w:w="266"/>
        <w:gridCol w:w="473"/>
        <w:gridCol w:w="109"/>
        <w:gridCol w:w="109"/>
        <w:gridCol w:w="611"/>
        <w:gridCol w:w="125"/>
        <w:gridCol w:w="109"/>
        <w:gridCol w:w="611"/>
        <w:gridCol w:w="125"/>
        <w:gridCol w:w="109"/>
        <w:gridCol w:w="109"/>
        <w:gridCol w:w="109"/>
        <w:gridCol w:w="109"/>
        <w:gridCol w:w="550"/>
        <w:gridCol w:w="167"/>
        <w:gridCol w:w="109"/>
        <w:gridCol w:w="550"/>
        <w:gridCol w:w="257"/>
        <w:gridCol w:w="109"/>
        <w:gridCol w:w="550"/>
        <w:gridCol w:w="186"/>
        <w:gridCol w:w="109"/>
        <w:gridCol w:w="109"/>
        <w:gridCol w:w="109"/>
        <w:gridCol w:w="109"/>
        <w:gridCol w:w="731"/>
        <w:gridCol w:w="230"/>
        <w:gridCol w:w="231"/>
        <w:gridCol w:w="109"/>
        <w:gridCol w:w="109"/>
        <w:gridCol w:w="109"/>
        <w:gridCol w:w="235"/>
        <w:gridCol w:w="235"/>
        <w:gridCol w:w="236"/>
        <w:gridCol w:w="109"/>
        <w:gridCol w:w="109"/>
        <w:gridCol w:w="109"/>
        <w:gridCol w:w="845"/>
        <w:gridCol w:w="206"/>
        <w:gridCol w:w="294"/>
      </w:tblGrid>
      <w:tr>
        <w:trPr/>
        <w:tc>
          <w:tcPr>
            <w:tcW w:w="39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238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Estimated Possible Payouts Under Non-Equity Incentive Plan Awards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Future Payouts Under Equity Incentive Plan Awards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 Other Stock Awards Number of Shares or Units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or Base Price of Option Awards ($)/Sh)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Stock and Option Awards ($)</w:t>
            </w:r>
          </w:p>
        </w:tc>
      </w:tr>
      <w:tr>
        <w:trPr/>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Threshold ($)</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Target ($)</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Maximum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Threshold (#)</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Target (#)</w:t>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Maximum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Vivek Garipalli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16,713,491 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267,750,126 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3,582,290</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7,164,581</w:t>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76,804,308 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5,571,164</w:t>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45,015,005 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Mark C. Herbers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Andrew Toy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3,582,291</w:t>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41,948,628 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5,571,164</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11,142,328</w:t>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99,500,989 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Jamie L. Reynoso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1/31/2022</w:t>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776,023 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1,810,724 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Prabhdeep Singh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1,976,767</w:t>
            </w:r>
          </w:p>
        </w:tc>
      </w:tr>
      <w:tr>
        <w:trPr/>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(8)</w:t>
            </w:r>
          </w:p>
        </w:tc>
        <w:tc>
          <w:tcPr>
            <w:tcW w:w="7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494,189</w:t>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Joseph Wagner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0"/>
              </w:rPr>
            </w:pPr>
            <w:r>
              <w:rPr>
                <w:rFonts w:ascii="Times New Roman;sans-serif" w:hAnsi="Times New Roman;sans-serif"/>
                <w:b w:val="false"/>
                <w:color w:val="000000"/>
                <w:sz w:val="10"/>
              </w:rPr>
              <w:t>(9)</w:t>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r>
    </w:tbl>
    <w:p>
      <w:pPr>
        <w:pStyle w:val="TextBody"/>
        <w:spacing w:lineRule="auto" w:line="288" w:before="0" w:after="60"/>
        <w:ind w:left="0" w:right="0" w:hanging="180"/>
        <w:jc w:val="both"/>
        <w:rPr/>
      </w:pPr>
      <w:r>
        <w:rPr>
          <w:rFonts w:ascii="Times New Roman;sans-serif" w:hAnsi="Times New Roman;sans-serif"/>
          <w:b w:val="false"/>
          <w:color w:val="000000"/>
          <w:sz w:val="8"/>
        </w:rPr>
        <w:t>(1)    </w:t>
      </w:r>
      <w:r>
        <w:rPr>
          <w:rFonts w:ascii="Times New Roman;sans-serif" w:hAnsi="Times New Roman;sans-serif"/>
          <w:b w:val="false"/>
          <w:color w:val="000000"/>
          <w:sz w:val="12"/>
        </w:rPr>
        <w:t>Represents possible cash incentive awards to be earned under our 2020 Executive Incentive Bonus Plan (Bonus Plan) based 80% upon the achievement of certain performance levels with respect to Corporation operating metrics of MA Growth, DC Growth and normalized MCR, with each metric weighed equally, and 20% based on individual NEO performance. Th</w:t>
      </w:r>
      <w:r>
        <w:rPr>
          <w:rFonts w:ascii="Times New Roman;sans-serif" w:hAnsi="Times New Roman;sans-serif"/>
          <w:b w:val="false"/>
          <w:color w:val="000000"/>
          <w:sz w:val="12"/>
          <w:highlight w:val="white"/>
        </w:rPr>
        <w:t>e actual total incentive award could range from 0% of the NEO’s target incentive amounts to 150% of the NEO’s target incentive amounts if the goals were all achieved at the maximum level and individual performance was determined to be exceptional</w:t>
      </w:r>
      <w:r>
        <w:rPr>
          <w:rFonts w:ascii="Times New Roman;sans-serif" w:hAnsi="Times New Roman;sans-serif"/>
          <w:b w:val="false"/>
          <w:color w:val="000000"/>
          <w:sz w:val="12"/>
        </w:rPr>
        <w:t xml:space="preserve">. </w:t>
      </w:r>
      <w:r>
        <w:rPr>
          <w:rFonts w:ascii="Times New Roman;sans-serif" w:hAnsi="Times New Roman;sans-serif"/>
          <w:b w:val="false"/>
          <w:color w:val="000000"/>
          <w:sz w:val="12"/>
          <w:highlight w:val="white"/>
        </w:rPr>
        <w:t>Cash incentives earned for 2021 performance are reported in the Non-Equity Incentive Plan Compensation column of the Summary Compensation Table above. See “--Annual Incentive Bonuses” above for more information about these awards. Mr. Wagner forfeited any right to a cash incentive award upon his termination of employment.</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(2)    </w:t>
      </w:r>
      <w:r>
        <w:rPr>
          <w:rFonts w:ascii="Times New Roman;sans-serif" w:hAnsi="Times New Roman;sans-serif"/>
          <w:b w:val="false"/>
          <w:color w:val="000000"/>
          <w:sz w:val="12"/>
          <w:highlight w:val="white"/>
        </w:rPr>
        <w:t>Represents an RSU award covering shares of Class B common stock which vest in five equal annual installments on the anniversaries of the grant date. For additional detail on the grant date fair value, see footnote (6)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(3)    </w:t>
      </w:r>
      <w:r>
        <w:rPr>
          <w:rFonts w:ascii="Times New Roman;sans-serif" w:hAnsi="Times New Roman;sans-serif"/>
          <w:b w:val="false"/>
          <w:color w:val="000000"/>
          <w:sz w:val="12"/>
          <w:highlight w:val="white"/>
        </w:rPr>
        <w:t xml:space="preserve">Represents a hybrid PRSU award covering shares of Class B common stock which will vest if both the service and performance requirements are met. The service requirement will be satisfied in five equal annual installments on the anniversaries of the grant date. The performance requirement will be satisfied at 50% and 100% upon the Corporation’s reaching certain stock price milestones on or before January 7, 2026. For additional detail regarding the vesting terms of the award, see </w:t>
      </w:r>
      <w:r>
        <w:rPr>
          <w:color w:val="000000"/>
          <w:highlight w:val="white"/>
        </w:rPr>
        <w:t>“</w:t>
      </w:r>
      <w:r>
        <w:rPr>
          <w:rFonts w:ascii="Times New Roman;sans-serif" w:hAnsi="Times New Roman;sans-serif"/>
          <w:b w:val="false"/>
          <w:i/>
          <w:color w:val="000000"/>
          <w:sz w:val="12"/>
          <w:highlight w:val="white"/>
        </w:rPr>
        <w:t>--Equity Awards of Vivek Garipalli and Andrew Toy”</w:t>
      </w:r>
      <w:r>
        <w:rPr>
          <w:color w:val="000000"/>
          <w:highlight w:val="white"/>
        </w:rPr>
        <w:t xml:space="preserve"> </w:t>
      </w:r>
      <w:r>
        <w:rPr>
          <w:rFonts w:ascii="Times New Roman;sans-serif" w:hAnsi="Times New Roman;sans-serif"/>
          <w:b w:val="false"/>
          <w:color w:val="000000"/>
          <w:sz w:val="12"/>
          <w:highlight w:val="white"/>
        </w:rPr>
        <w:t>above. For additional detail on the grant date fair value, see footnote (6)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(4)    </w:t>
      </w:r>
      <w:r>
        <w:rPr>
          <w:rFonts w:ascii="Times New Roman;sans-serif" w:hAnsi="Times New Roman;sans-serif"/>
          <w:b w:val="false"/>
          <w:color w:val="000000"/>
          <w:sz w:val="12"/>
          <w:highlight w:val="white"/>
        </w:rPr>
        <w:t>Represents a hybrid PSRU award covering shares of Class B common stock which will vest if both the service and performance requirements are met. The service requirement will be satisfied in five equal annual installments on the anniversaries of the grant date. The performance requirement will be fully satisfied upon the Corporation’s reaching a stock price milestone on or before January 7, 2026. For additional detail regarding the vesting terms of this award, see “--Equity Awards of Vivek Garipalli and Andrew Toy” above. For additional detail on the grant date fair value, see footnote (6)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(5)    </w:t>
      </w:r>
      <w:r>
        <w:rPr>
          <w:rFonts w:ascii="Times New Roman;sans-serif" w:hAnsi="Times New Roman;sans-serif"/>
          <w:b w:val="false"/>
          <w:color w:val="000000"/>
          <w:sz w:val="12"/>
          <w:highlight w:val="white"/>
        </w:rPr>
        <w:t xml:space="preserve">Represents a PRSU award covering shares of Class A common stock for which units were earned based on the achievement of certain performance levels with respect to Corporation operating metrics of MA Growth, DC Growth, and normalized MCR, with each metric weighed equally. The PRSUs earned could range from 0 to </w:t>
      </w:r>
      <w:r>
        <w:rPr>
          <w:rFonts w:ascii="Times New Roman;sans-serif" w:hAnsi="Times New Roman;sans-serif"/>
          <w:b w:val="false"/>
          <w:color w:val="000000"/>
          <w:sz w:val="12"/>
        </w:rPr>
        <w:t>141,955</w:t>
      </w:r>
      <w:r>
        <w:rPr>
          <w:color w:val="000000"/>
          <w:highlight w:val="white"/>
        </w:rPr>
        <w:t xml:space="preserve"> </w:t>
      </w:r>
      <w:r>
        <w:rPr>
          <w:rFonts w:ascii="Times New Roman;sans-serif" w:hAnsi="Times New Roman;sans-serif"/>
          <w:b w:val="false"/>
          <w:color w:val="000000"/>
          <w:sz w:val="12"/>
          <w:highlight w:val="white"/>
        </w:rPr>
        <w:t>if the goals were all achieved at the highest level. The Talent and Compensation Committee certified achieved performance on January 31, 2022 at 17%. The earned PRSUs vest as to 1/3rd of the PRSUs on each of January 31, 2022, January 1, 2023 and January 1, 2024. See “Equity Awards for Other Executive Officers” above for more information about this award. For additional detail on the grant date fair value, see footnote (9)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(6)    </w:t>
      </w:r>
      <w:r>
        <w:rPr>
          <w:rFonts w:ascii="Times New Roman;sans-serif" w:hAnsi="Times New Roman;sans-serif"/>
          <w:b w:val="false"/>
          <w:color w:val="000000"/>
          <w:sz w:val="12"/>
          <w:highlight w:val="white"/>
        </w:rPr>
        <w:t>Represents an RSU award covering shares of Class A common stock which vests in four equal annual installments on the anniversaries of January 7, 2021. For additional detail on grant date fair value, see footnote (9)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(7)    </w:t>
      </w:r>
      <w:r>
        <w:rPr>
          <w:rFonts w:ascii="Times New Roman;sans-serif" w:hAnsi="Times New Roman;sans-serif"/>
          <w:b w:val="false"/>
          <w:color w:val="000000"/>
          <w:sz w:val="12"/>
          <w:highlight w:val="white"/>
        </w:rPr>
        <w:t>Represents an RSU award covering shares of Class A common stock which vests in four equal installments on the anniversaries of July 6, 2021. For additional detail on grant date fair value, see footnote (10) to the Summary Compensation Table.</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(8)    </w:t>
      </w:r>
      <w:r>
        <w:rPr>
          <w:rFonts w:ascii="Times New Roman;sans-serif" w:hAnsi="Times New Roman;sans-serif"/>
          <w:b w:val="false"/>
          <w:color w:val="000000"/>
          <w:sz w:val="12"/>
          <w:highlight w:val="white"/>
        </w:rPr>
        <w:t>Represents an RSU award covering shares of Class A common stock which vests in full on July 6, 2022. For additional detail on grant date fair value, see footnote (10) to the Summary Compensation Table.</w:t>
      </w:r>
    </w:p>
    <w:p>
      <w:pPr>
        <w:pStyle w:val="TextBody"/>
        <w:spacing w:lineRule="auto" w:line="288" w:before="0" w:after="0"/>
        <w:ind w:left="0" w:right="0" w:hanging="180"/>
        <w:jc w:val="both"/>
        <w:rPr/>
      </w:pPr>
      <w:r>
        <w:rPr>
          <w:rFonts w:ascii="Times New Roman;sans-serif" w:hAnsi="Times New Roman;sans-serif"/>
          <w:b w:val="false"/>
          <w:color w:val="000000"/>
          <w:sz w:val="8"/>
          <w:highlight w:val="white"/>
        </w:rPr>
        <w:t>(9)    </w:t>
      </w:r>
      <w:r>
        <w:rPr>
          <w:rFonts w:ascii="Times New Roman;sans-serif" w:hAnsi="Times New Roman;sans-serif"/>
          <w:b w:val="false"/>
          <w:color w:val="000000"/>
          <w:sz w:val="12"/>
          <w:highlight w:val="white"/>
        </w:rPr>
        <w:t>Mr. Wagner did not receive any new equity awards in fiscal year 2021, and he forfeited eligibility for a cash incentive bonus for fiscal year 2021 when he departed employment in August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Outstanding Equity Awards at December 31, 2021</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shares of common stock underlying outstanding equity incentive plan awards for each named executive officer as of December 31, 2021.</w:t>
      </w:r>
    </w:p>
    <w:p>
      <w:pPr>
        <w:pStyle w:val="TextBody"/>
        <w:spacing w:before="0" w:after="0"/>
        <w:rPr/>
      </w:pPr>
      <w:r>
        <w:rPr/>
      </w:r>
    </w:p>
    <w:tbl>
      <w:tblPr>
        <w:tblW w:w="11793" w:type="dxa"/>
        <w:jc w:val="left"/>
        <w:tblInd w:w="0" w:type="dxa"/>
        <w:tblCellMar>
          <w:top w:w="28" w:type="dxa"/>
          <w:left w:w="28" w:type="dxa"/>
          <w:bottom w:w="28" w:type="dxa"/>
          <w:right w:w="28" w:type="dxa"/>
        </w:tblCellMar>
      </w:tblPr>
      <w:tblGrid>
        <w:gridCol w:w="319"/>
        <w:gridCol w:w="214"/>
        <w:gridCol w:w="218"/>
        <w:gridCol w:w="109"/>
        <w:gridCol w:w="109"/>
        <w:gridCol w:w="109"/>
        <w:gridCol w:w="135"/>
        <w:gridCol w:w="135"/>
        <w:gridCol w:w="136"/>
        <w:gridCol w:w="109"/>
        <w:gridCol w:w="109"/>
        <w:gridCol w:w="109"/>
        <w:gridCol w:w="225"/>
        <w:gridCol w:w="225"/>
        <w:gridCol w:w="226"/>
        <w:gridCol w:w="376"/>
        <w:gridCol w:w="345"/>
        <w:gridCol w:w="346"/>
        <w:gridCol w:w="109"/>
        <w:gridCol w:w="109"/>
        <w:gridCol w:w="109"/>
        <w:gridCol w:w="380"/>
        <w:gridCol w:w="380"/>
        <w:gridCol w:w="381"/>
        <w:gridCol w:w="109"/>
        <w:gridCol w:w="109"/>
        <w:gridCol w:w="109"/>
        <w:gridCol w:w="205"/>
        <w:gridCol w:w="205"/>
        <w:gridCol w:w="206"/>
        <w:gridCol w:w="109"/>
        <w:gridCol w:w="109"/>
        <w:gridCol w:w="109"/>
        <w:gridCol w:w="255"/>
        <w:gridCol w:w="255"/>
        <w:gridCol w:w="256"/>
        <w:gridCol w:w="109"/>
        <w:gridCol w:w="109"/>
        <w:gridCol w:w="109"/>
        <w:gridCol w:w="606"/>
        <w:gridCol w:w="190"/>
        <w:gridCol w:w="191"/>
        <w:gridCol w:w="109"/>
        <w:gridCol w:w="109"/>
        <w:gridCol w:w="109"/>
        <w:gridCol w:w="616"/>
        <w:gridCol w:w="180"/>
        <w:gridCol w:w="181"/>
        <w:gridCol w:w="571"/>
        <w:gridCol w:w="225"/>
        <w:gridCol w:w="226"/>
        <w:gridCol w:w="585"/>
        <w:gridCol w:w="211"/>
        <w:gridCol w:w="299"/>
      </w:tblGrid>
      <w:tr>
        <w:trPr/>
        <w:tc>
          <w:tcPr>
            <w:tcW w:w="31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Stock Awards</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6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Approval Date</w:t>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Number of Securities Underlying Unexercised Options (#) Exercisable</w:t>
            </w:r>
            <w:r>
              <w:rPr>
                <w:rFonts w:ascii="Times New Roman;sans-serif" w:hAnsi="Times New Roman;sans-serif"/>
                <w:b/>
                <w:color w:val="000000"/>
                <w:sz w:val="9"/>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 (#) Unexercisable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Option Exercise Price ($)</w:t>
            </w:r>
            <w:r>
              <w:rPr>
                <w:rFonts w:ascii="Times New Roman;sans-serif" w:hAnsi="Times New Roman;sans-serif"/>
                <w:b/>
                <w:color w:val="000000"/>
                <w:sz w:val="9"/>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 xml:space="preserve">Market Value of Shares or Units of Stock That Have Not Vested ($) </w:t>
            </w:r>
            <w:r>
              <w:rPr>
                <w:rFonts w:ascii="Times New Roman;sans-serif" w:hAnsi="Times New Roman;sans-serif"/>
                <w:b/>
                <w:color w:val="000000"/>
                <w:sz w:val="9"/>
              </w:rPr>
              <w:t>(3)</w:t>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 Incentive Plan Awards: Number of Unearned Shares, Units or Other Rights That have Not Vested (#)</w:t>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Equity Incentive Plan Awards: Market or Payout Value of Unearned Shares, Units or Other Rights That Have Not Vested ($)</w:t>
            </w:r>
            <w:r>
              <w:rPr>
                <w:rFonts w:ascii="Times New Roman;sans-serif" w:hAnsi="Times New Roman;sans-serif"/>
                <w:b/>
                <w:color w:val="000000"/>
                <w:sz w:val="9"/>
              </w:rPr>
              <w:t>(3)</w:t>
            </w:r>
          </w:p>
        </w:tc>
      </w:tr>
      <w:tr>
        <w:trPr/>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Vivek Garipalli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1/7/2021</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(4)</w:t>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16,713,491 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62,174,187 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(5)</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7,164,581 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13,326,119 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(6)</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5,571,164 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20,724,730 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N/A</w:t>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Andrew Toy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7/22/2018</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(7)</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631,033 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7/22/2018</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(8)</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3,155,168 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736,207 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2,738,690 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2/4/2020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(9)</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5,344,515 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2,667,258 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9,922,200 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(10)</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3,669,607 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(11)</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3,582,291 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13,326,123 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(12)</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11,142,328 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20,724,730 </w:t>
            </w:r>
          </w:p>
        </w:tc>
        <w:tc>
          <w:tcPr>
            <w:tcW w:w="2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Jamie L. Reynoso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6/29/2020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(13)</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51,701 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36,190 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134,627 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(14)</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465,316 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7/26/2030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333,476 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1,240,531 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(15)</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220,820 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821,450 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7/16/2021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(16)</w:t>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1/31/2022</w:t>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15,771 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58,668 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Prabhdeep Singh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7/8/2021</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(17)</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211,193 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785,638 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7/8/2021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(18)</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52,798 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196,409 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Joseph Wagner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8/22/2020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(19)</w:t>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39,741 </w:t>
            </w:r>
          </w:p>
        </w:tc>
        <w:tc>
          <w:tcPr>
            <w:tcW w:w="3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2/4/2020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9"/>
              </w:rPr>
            </w:pPr>
            <w:r>
              <w:rPr>
                <w:rFonts w:ascii="Times New Roman;sans-serif" w:hAnsi="Times New Roman;sans-serif"/>
                <w:b w:val="false"/>
                <w:color w:val="000000"/>
                <w:sz w:val="9"/>
              </w:rPr>
              <w:t>(19)</w:t>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118,864 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w:t>
      </w:r>
      <w:r>
        <w:rPr>
          <w:color w:val="000000"/>
          <w:highlight w:val="white"/>
        </w:rPr>
        <w:t>    </w:t>
      </w:r>
      <w:r>
        <w:rPr>
          <w:rFonts w:ascii="Times New Roman;sans-serif" w:hAnsi="Times New Roman;sans-serif"/>
          <w:b w:val="false"/>
          <w:color w:val="000000"/>
          <w:sz w:val="12"/>
          <w:highlight w:val="white"/>
        </w:rPr>
        <w:t>All of the outstanding options granted under our 2014 Equity Incentive Plan (2014 Plan) are options to purchase shares of our Class A common stock and are immediately exercisable. The below chart summarizes the vested and unvested shares subject to the options as of December 31, 2021. There have been no early exercises of any unvested options by the named executive officers.</w:t>
      </w:r>
    </w:p>
    <w:tbl>
      <w:tblPr>
        <w:tblW w:w="7075" w:type="dxa"/>
        <w:jc w:val="left"/>
        <w:tblInd w:w="0" w:type="dxa"/>
        <w:tblCellMar>
          <w:top w:w="28" w:type="dxa"/>
          <w:left w:w="28" w:type="dxa"/>
          <w:bottom w:w="28" w:type="dxa"/>
          <w:right w:w="28" w:type="dxa"/>
        </w:tblCellMar>
      </w:tblPr>
      <w:tblGrid>
        <w:gridCol w:w="394"/>
        <w:gridCol w:w="346"/>
        <w:gridCol w:w="354"/>
        <w:gridCol w:w="109"/>
        <w:gridCol w:w="109"/>
        <w:gridCol w:w="109"/>
        <w:gridCol w:w="254"/>
        <w:gridCol w:w="254"/>
        <w:gridCol w:w="256"/>
        <w:gridCol w:w="109"/>
        <w:gridCol w:w="109"/>
        <w:gridCol w:w="109"/>
        <w:gridCol w:w="529"/>
        <w:gridCol w:w="529"/>
        <w:gridCol w:w="532"/>
        <w:gridCol w:w="109"/>
        <w:gridCol w:w="109"/>
        <w:gridCol w:w="109"/>
        <w:gridCol w:w="390"/>
        <w:gridCol w:w="334"/>
        <w:gridCol w:w="336"/>
        <w:gridCol w:w="109"/>
        <w:gridCol w:w="109"/>
        <w:gridCol w:w="109"/>
        <w:gridCol w:w="410"/>
        <w:gridCol w:w="351"/>
        <w:gridCol w:w="498"/>
      </w:tblGrid>
      <w:tr>
        <w:trPr/>
        <w:tc>
          <w:tcPr>
            <w:tcW w:w="3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Vested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Unvested Options</w:t>
            </w:r>
          </w:p>
        </w:tc>
      </w:tr>
      <w:tr>
        <w:trPr/>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Andrew Toy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631,033 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631,033 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3,155,168 </w:t>
            </w:r>
          </w:p>
        </w:tc>
        <w:tc>
          <w:tcPr>
            <w:tcW w:w="5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2,418,961 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736,207 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5,344,515 </w:t>
            </w:r>
          </w:p>
        </w:tc>
        <w:tc>
          <w:tcPr>
            <w:tcW w:w="5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2,677,257 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2,667,258 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3,669,607 </w:t>
            </w:r>
          </w:p>
        </w:tc>
        <w:tc>
          <w:tcPr>
            <w:tcW w:w="5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3,669,607 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Jamie L. Reynoso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6/29/2020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51,701 </w:t>
            </w:r>
          </w:p>
        </w:tc>
        <w:tc>
          <w:tcPr>
            <w:tcW w:w="5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15,511 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36,190 </w:t>
            </w:r>
          </w:p>
        </w:tc>
        <w:tc>
          <w:tcPr>
            <w:tcW w:w="4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7/27/2020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465,316 </w:t>
            </w:r>
          </w:p>
        </w:tc>
        <w:tc>
          <w:tcPr>
            <w:tcW w:w="5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131,840 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333,476 </w:t>
            </w:r>
          </w:p>
        </w:tc>
        <w:tc>
          <w:tcPr>
            <w:tcW w:w="4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(2)    </w:t>
      </w:r>
      <w:r>
        <w:rPr>
          <w:rFonts w:ascii="Times New Roman;sans-serif" w:hAnsi="Times New Roman;sans-serif"/>
          <w:b w:val="false"/>
          <w:color w:val="000000"/>
          <w:sz w:val="12"/>
          <w:highlight w:val="white"/>
        </w:rPr>
        <w:t>Represents the fair market value of a share of our Class A common stock on the date of grant for all stock options except for the stock option granted on February 4, 2020 to Mr. Toy for 3,669,607 shares, which represents two times the fair market value on the date of grant, each as determined by our Board of Directors.</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(3)    </w:t>
      </w:r>
      <w:r>
        <w:rPr>
          <w:rFonts w:ascii="Times New Roman;sans-serif" w:hAnsi="Times New Roman;sans-serif"/>
          <w:b w:val="false"/>
          <w:color w:val="000000"/>
          <w:sz w:val="12"/>
          <w:highlight w:val="white"/>
        </w:rPr>
        <w:t>RSUs and PRSUs represent the right to receive a share of the applicable class of our common stock upon vesting. Market and payout values were determined by multiplying the number of shares or units by the closing price per share of our Class A common stock of $3.72 on December 31, 2021.</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(4)    </w:t>
      </w:r>
      <w:r>
        <w:rPr>
          <w:rFonts w:ascii="Times New Roman;sans-serif" w:hAnsi="Times New Roman;sans-serif"/>
          <w:b w:val="false"/>
          <w:color w:val="000000"/>
          <w:sz w:val="12"/>
          <w:highlight w:val="white"/>
        </w:rPr>
        <w:t>Represents an RSU award under the 2020 Management Incentive Plan (Management Plan) denominated in shares of Class B common stock that vests in five equal installments on each anniversary of January 7, 2021.</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(5)    </w:t>
      </w:r>
      <w:r>
        <w:rPr>
          <w:rFonts w:ascii="Times New Roman;sans-serif" w:hAnsi="Times New Roman;sans-serif"/>
          <w:b w:val="false"/>
          <w:color w:val="000000"/>
          <w:sz w:val="12"/>
          <w:highlight w:val="white"/>
        </w:rPr>
        <w:t>The number of underlying unvested units listed reflects the maximum outcome of the performance conditions for the hybrid PRSU award granted under our 2014 Plan denominated in shares of our Class B common stock. The hybrid PRSU award vests if both the service and performance requirements are met. The service requirement will be satisfied in five equal annual installments on the anniversaries of the grant date. The performance requirement will be satisfied 50% and 100% upon the Corporation’s reaching certain stock price milestones or before January 7, 2026. The payout value assumes performance was achieved at the threshold level.</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(6)    </w:t>
      </w:r>
      <w:r>
        <w:rPr>
          <w:rFonts w:ascii="Times New Roman;sans-serif" w:hAnsi="Times New Roman;sans-serif"/>
          <w:b w:val="false"/>
          <w:color w:val="000000"/>
          <w:sz w:val="12"/>
          <w:highlight w:val="white"/>
        </w:rPr>
        <w:t xml:space="preserve">The number of underlying unvested units listed reflect the maximum outcome of the performance conditions for the hybrid PRSU award granted under our Management Plan denominated in shares of our Class B common stock. The hybrid PRSU award vests if both the service and performance requirements are met. The service requirement will be satisfied in five equal annual installments on the anniversaries of the grant date. The performance requirement will be satisfied upon the Corporation’s reaching a stock price milestone or before January 7, 2026. </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(7)</w:t>
      </w:r>
      <w:r>
        <w:rPr>
          <w:color w:val="000000"/>
          <w:highlight w:val="white"/>
        </w:rPr>
        <w:t>    </w:t>
      </w:r>
      <w:r>
        <w:rPr>
          <w:rFonts w:ascii="Times New Roman;sans-serif" w:hAnsi="Times New Roman;sans-serif"/>
          <w:b w:val="false"/>
          <w:color w:val="000000"/>
          <w:sz w:val="12"/>
          <w:highlight w:val="white"/>
        </w:rPr>
        <w:t>Represents a fully vested and exercisable stock option. The grant vested in full on February 5, 2019.</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(8)</w:t>
      </w:r>
      <w:r>
        <w:rPr>
          <w:color w:val="000000"/>
          <w:highlight w:val="white"/>
        </w:rPr>
        <w:t>    </w:t>
      </w:r>
      <w:r>
        <w:rPr>
          <w:rFonts w:ascii="Times New Roman;sans-serif" w:hAnsi="Times New Roman;sans-serif"/>
          <w:b w:val="false"/>
          <w:color w:val="000000"/>
          <w:sz w:val="12"/>
          <w:highlight w:val="white"/>
        </w:rPr>
        <w:t>Represents a fully exercisable stock option received in connection with the Business Combination in exchange for an option to acquire 1,525,655 shares of common stock of Legacy Clover for $3.45 per share. 1/5th of the shares subject to the option vested on February 5, 2019, and an additional 1/48th of the remaining shares vest monthly thereafter.</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(9)</w:t>
      </w:r>
      <w:r>
        <w:rPr>
          <w:color w:val="000000"/>
          <w:highlight w:val="white"/>
        </w:rPr>
        <w:t>    </w:t>
      </w:r>
      <w:r>
        <w:rPr>
          <w:rFonts w:ascii="Times New Roman;sans-serif" w:hAnsi="Times New Roman;sans-serif"/>
          <w:b w:val="false"/>
          <w:color w:val="000000"/>
          <w:sz w:val="12"/>
          <w:highlight w:val="white"/>
        </w:rPr>
        <w:t>Represents a fully exercisable stock option received in connection with the Business Combination in exchange for an option to acquire 2,579,460 shares of common stock of Legacy Clover for $4.61 per share. 1/60th of the shares subject to the option vested on July 1, 2019 and an additional 1/60th of the remaining shares vest monthly thereafter.</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(10)    </w:t>
      </w:r>
      <w:r>
        <w:rPr>
          <w:rFonts w:ascii="Times New Roman;sans-serif" w:hAnsi="Times New Roman;sans-serif"/>
          <w:b w:val="false"/>
          <w:color w:val="000000"/>
          <w:sz w:val="12"/>
          <w:highlight w:val="white"/>
        </w:rPr>
        <w:t>Represents fully vested and exercisable stock options received in connection with the Business Combination in exchange for options to acquire 1,774,408 shares of common stock of Legacy Clover for $11.27 per share. The vesting of the shares subject to this option was fully accelerated in connection with the Business Combination as of January 7, 2021.</w:t>
      </w:r>
    </w:p>
    <w:p>
      <w:pPr>
        <w:pStyle w:val="HorizontalLine"/>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(11)    </w:t>
      </w:r>
      <w:r>
        <w:rPr>
          <w:rFonts w:ascii="Times New Roman;sans-serif" w:hAnsi="Times New Roman;sans-serif"/>
          <w:b w:val="false"/>
          <w:color w:val="000000"/>
          <w:sz w:val="12"/>
          <w:highlight w:val="white"/>
        </w:rPr>
        <w:t xml:space="preserve">The number of underlying unvested units listed reflects the maximum outcome of the performance conditions for the hybrid PRSU award granted under our 2014 Plan denominated in shares of our Class B common stock. The hybrid PRSU award vests if both the service and performance requirements are met. The service requirement will be satisfied in five equal annual installments on the anniversaries of the grant date. The performance requirement will be satisfied upon the Corporation’s reaching a stock price milestones or before January 7, 2026. </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(12)</w:t>
      </w:r>
      <w:r>
        <w:rPr>
          <w:color w:val="000000"/>
          <w:highlight w:val="white"/>
        </w:rPr>
        <w:t>    </w:t>
      </w:r>
      <w:r>
        <w:rPr>
          <w:rFonts w:ascii="Times New Roman;sans-serif" w:hAnsi="Times New Roman;sans-serif"/>
          <w:b w:val="false"/>
          <w:color w:val="000000"/>
          <w:sz w:val="12"/>
          <w:highlight w:val="white"/>
        </w:rPr>
        <w:t>The number of underlying unvested units listed reflect the maximum outcome of the performance conditions for the hybrid PRSU award granted under our Management Plan denominated in shares of our Class B common stock. The hybrid PRSU award vests if both the service and performance requirements are met. The service requirement will be satisfied in five equal annual installments on the anniversaries of the grant date. The performance requirement will be satisfied 50% and 100% upon the Corporation’s reaching certain stock price milestones or before January 7, 2026. The payout value assumes performance was achieved at the threshold level.</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(13)    </w:t>
      </w:r>
      <w:r>
        <w:rPr>
          <w:rFonts w:ascii="Times New Roman;sans-serif" w:hAnsi="Times New Roman;sans-serif"/>
          <w:b w:val="false"/>
          <w:color w:val="000000"/>
          <w:sz w:val="12"/>
          <w:highlight w:val="white"/>
        </w:rPr>
        <w:t>Represents a fully exercisable stock option of which 1/5th of the shares subject to the option vested on June 8, 2021, and an additional 1/48th of the remaining shares vest monthly thereafter.</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(14)    </w:t>
      </w:r>
      <w:r>
        <w:rPr>
          <w:rFonts w:ascii="Times New Roman;sans-serif" w:hAnsi="Times New Roman;sans-serif"/>
          <w:b w:val="false"/>
          <w:color w:val="000000"/>
          <w:sz w:val="12"/>
          <w:highlight w:val="white"/>
        </w:rPr>
        <w:t>Represents a fully exercisable stock option of which 1/5th of the shares subject to the option vested on July 27, 2021, and an additional 1/48th of the remaining shares vest monthly thereafter.</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(15)    </w:t>
      </w:r>
      <w:r>
        <w:rPr>
          <w:rFonts w:ascii="Times New Roman;sans-serif" w:hAnsi="Times New Roman;sans-serif"/>
          <w:b w:val="false"/>
          <w:color w:val="000000"/>
          <w:sz w:val="12"/>
          <w:highlight w:val="white"/>
        </w:rPr>
        <w:t>Represents an RSU award granted under the 2020 Equity Incentive Plan (2020 Plan) denominated in shares of our Class A common stock that vests in four equal installments on each anniversary of January 7, 2021.</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(16)    </w:t>
      </w:r>
      <w:r>
        <w:rPr>
          <w:rFonts w:ascii="Times New Roman;sans-serif" w:hAnsi="Times New Roman;sans-serif"/>
          <w:b w:val="false"/>
          <w:color w:val="000000"/>
          <w:sz w:val="12"/>
          <w:highlight w:val="white"/>
        </w:rPr>
        <w:t>Represents a PRSU award granted under the 2020 Plan denominated in shares of our Class A common stock that was earned based on our performance during fiscal 2021, and which vests as to one third of the units on each of January 31, 2022, January 1, 2023, and January 1, 2024.</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(17)    </w:t>
      </w:r>
      <w:r>
        <w:rPr>
          <w:rFonts w:ascii="Times New Roman;sans-serif" w:hAnsi="Times New Roman;sans-serif"/>
          <w:b w:val="false"/>
          <w:color w:val="000000"/>
          <w:sz w:val="12"/>
          <w:highlight w:val="white"/>
        </w:rPr>
        <w:t>Represents an RSU award granted under the 2020 Plan denominated in shares of our Class A common stock that vests in four equal annual installments on the anniversaries of January 7, 2021.</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(18)    </w:t>
      </w:r>
      <w:r>
        <w:rPr>
          <w:rFonts w:ascii="Times New Roman;sans-serif" w:hAnsi="Times New Roman;sans-serif"/>
          <w:b w:val="false"/>
          <w:color w:val="000000"/>
          <w:sz w:val="12"/>
          <w:highlight w:val="white"/>
        </w:rPr>
        <w:t>Represents an RSU award granted under the 2020 Plan denominated in shares of our Class A common stock that fully vests on July 6, 2022.</w:t>
      </w:r>
    </w:p>
    <w:p>
      <w:pPr>
        <w:pStyle w:val="TextBody"/>
        <w:spacing w:lineRule="auto" w:line="288" w:before="0" w:after="60"/>
        <w:ind w:left="0" w:right="0" w:hanging="180"/>
        <w:jc w:val="both"/>
        <w:rPr/>
      </w:pPr>
      <w:r>
        <w:rPr>
          <w:rFonts w:ascii="Times New Roman;sans-serif" w:hAnsi="Times New Roman;sans-serif"/>
          <w:b w:val="false"/>
          <w:color w:val="000000"/>
          <w:sz w:val="8"/>
          <w:highlight w:val="white"/>
        </w:rPr>
        <w:t>(19)    </w:t>
      </w:r>
      <w:r>
        <w:rPr>
          <w:rFonts w:ascii="Times New Roman;sans-serif" w:hAnsi="Times New Roman;sans-serif"/>
          <w:b w:val="false"/>
          <w:color w:val="000000"/>
          <w:sz w:val="12"/>
          <w:highlight w:val="white"/>
        </w:rPr>
        <w:t>Mr. Wagner forfeited the unvested shares subject to his stock options upon his August 2021 departure from employment. Pursuant to our Separation Agreement with Mr. Wagner, his non-qualified stock options that were vested and unexercised as of his departure date will remain exercisable until August 17, 2022.</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2021 Option Exercises and Stock Vested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number of shares of common stock acquired and their value upon the exercise of stock options and the vesting of RSUs and PRSUs during 2021 for each NEO.</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99"/>
        <w:gridCol w:w="371"/>
        <w:gridCol w:w="376"/>
        <w:gridCol w:w="109"/>
        <w:gridCol w:w="109"/>
        <w:gridCol w:w="109"/>
        <w:gridCol w:w="781"/>
        <w:gridCol w:w="707"/>
        <w:gridCol w:w="710"/>
        <w:gridCol w:w="128"/>
        <w:gridCol w:w="128"/>
        <w:gridCol w:w="128"/>
        <w:gridCol w:w="545"/>
        <w:gridCol w:w="545"/>
        <w:gridCol w:w="547"/>
        <w:gridCol w:w="109"/>
        <w:gridCol w:w="109"/>
        <w:gridCol w:w="109"/>
        <w:gridCol w:w="692"/>
        <w:gridCol w:w="692"/>
        <w:gridCol w:w="694"/>
        <w:gridCol w:w="121"/>
        <w:gridCol w:w="121"/>
        <w:gridCol w:w="121"/>
        <w:gridCol w:w="478"/>
        <w:gridCol w:w="478"/>
        <w:gridCol w:w="689"/>
      </w:tblGrid>
      <w:tr>
        <w:trPr/>
        <w:tc>
          <w:tcPr>
            <w:tcW w:w="49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r>
      <w:tr>
        <w:trPr/>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w:t>
            </w:r>
          </w:p>
        </w:tc>
      </w:tr>
      <w:tr>
        <w:trPr/>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Acquired on Exercise (#)</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 Realized on Exercise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Acquired on Vesting (#)</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 Realized on Vesting ($)</w:t>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Vivek Garipalli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Andrew Toy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Jamie L. Reynoso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Prabhdeep Singh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Joseph Wagner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44,858 </w:t>
            </w:r>
          </w:p>
        </w:tc>
        <w:tc>
          <w:tcPr>
            <w:tcW w:w="7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274,513</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The value realized on the exercise of a stock option is calculated by multiplying the number of shares underlying the stock option exercised by the difference between (i) the closing price of our Class A common stock on the exercise date and (ii) the exercise price of the stock option, and does not necessarily reflect actual proceeds received.</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Separation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agreements with our executive officers that provide them severance protections in certain circumstances following their termination of employment without cause or with good reason, whether or not in connection with change in control.</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Vivek Garipalli</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Mr. Garipalli’s employment is terminated by us without “cause” or by Mr. Garipalli for “good reason” (in each case, as defined in his employment agreement), during the period beginning one month prior to and ending 12 months following a change in control (as defined in the 2020 Plan) (CIC Period), subject to his execution and non-revocation of a release of claims in our favor and continued compliance with customary confidentiality and non-solicitation requirements, Mr. Garipalli will be entitled to receive full accelerated vesting of all outstanding and unvested equity awards.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benefits payable to Mr. Garipalli are subject to Sections 280G and 4999 of the Internal Revenue Code of 1986, as amended (Code), such payments will be reduced to the extent necessary to provide Mr. Garipalli the greatest after-tax benefit.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Andrew Toy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Mr. Toy is terminated by us without “cause” or by Mr. Toy for “good reason” (in each case, as defined in his employment agreement), Mr. Toy will be entitled, subject to his execution and non-revocation of a release of claims in our favor, to the following: (i) continued payment of his current annual base salary for 12 months following the termination date and (ii) reimbursement of COBRA health care premiums for 12 months after the termination date. In addition, if Mr. Toy terminates his employment due to the </w:t>
      </w:r>
    </w:p>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promote him to Chief Executive Officer immediately following the resignation or termination of Mr. Garipalli as our Chief Executive Officer, he will receive full accelerated vesting of all outstanding and unvested equity awards.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either such qualifying termination of Mr. Toy’s employment occurs during the CIC Period, subject to his execution and non-revocation a general release of claims in our favor and continued compliance with restrictive covenants, then, instead of the benefits described above, Mr. Toy will be entitled to receive the following: (i) an amount equal to one and one-half times Mr. Toy’s annual base salary then in effect, (ii) reimbursement of COBRA health care premiums for 18 months after the termination date and (iii) full accelerated vesting of all outstanding and unvested equity awards.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the benefits payable to Mr. Toy are subject to Sections 280G and 4999 of the Code, such payments will be reduced to the extent necessary to provide Mr. Toy the greatest after-tax benefit.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Prabhdeep Singh and Jamie L. Reynoso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Mr. Singh’s or Ms. Reynoso’s employment is terminated by us without “cause” (as defined in the NEO’s employment agreement), subject to the execution and and non-revocation of a general release of claims in our favor, Mr. Singh or Ms. Reynoso will be entitled to receive the following severance payments and benefits: (i) an amount equal to annual base salary then in effect and (ii) reimbursement of COBRA health care premiums for 12 months after the termination date.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either such termination of employment occurs during the CIC Period, subject to the NEO’s execution and non-revocation a general release of claims in our favor and continued compliance with restrictive covenants, the, Mr. Singh or Ms. Reynoso, instead of the benefits described above, will be entitled to receive the following severance payments and benefits: (i) a lump sum payment equal to twelve months of base salary as in effect immediately prior to the date of his termination plus applicable cash bonus, (ii) reimbursement of COBRA health care premiums for twelve months after the termination date, and (iii) full accelerated vesting of all outstanding and unvested time-based equity awards. Any unvested and outstanding performance-based awards shall be subject to the terms and conditions of the 2020 Plan.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Joseph Wagner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Wagner’s departure from the Company on August 13, 2021, the Company entered into a separation agreement with Mr. Wagner pursuant to which in exchange for his execution and non-revocation of a release of claims in our favor, Mr. Wagner (i) received an extension of the period in which he can exercise his vested and unexercised non-qualified stock options until August 13, 2022, (ii) received one month reimbursement of COBRA health care premiums, and (iii) retained his Corporation-issued laptop.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 C. Herbers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Herbers’ employer, AP Services, LLC, is entitled to no payment or benefit other than accrued compensation upon his termination of service as our Interim Chief Financial Officer.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Change in Control Arrangements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The three hybrid PRSU awards granted to Mr. Garipalli and Mr. Toy in connection with the closing of our Business Combination (as described further above under</w:t>
      </w:r>
      <w:r>
        <w:rPr>
          <w:color w:val="000000"/>
        </w:rPr>
        <w:t xml:space="preserve"> “—</w:t>
      </w:r>
      <w:r>
        <w:rPr>
          <w:rFonts w:ascii="Times New Roman;sans-serif" w:hAnsi="Times New Roman;sans-serif"/>
          <w:b w:val="false"/>
          <w:i/>
          <w:color w:val="000000"/>
          <w:sz w:val="20"/>
        </w:rPr>
        <w:t>Equity Awards for Vivek Garipalli and Andrew Toy</w:t>
      </w:r>
      <w:r>
        <w:rPr>
          <w:color w:val="000000"/>
        </w:rPr>
        <w:t>”</w:t>
      </w:r>
      <w:r>
        <w:rPr>
          <w:rFonts w:ascii="Times New Roman;sans-serif" w:hAnsi="Times New Roman;sans-serif"/>
          <w:b w:val="false"/>
          <w:color w:val="000000"/>
          <w:sz w:val="20"/>
        </w:rPr>
        <w:t>), in addition to having the acceleration provisions discussed above in connection with certain terminations of Mr. Garipalli’s and Mr. Toy’s employment, will accelerate upon certain changes in control of the Corporation. “Change in control” in each hybrid PRSU award is defined in the respective equity plan under which the hybrid PRSUs was granted. Upon a change in control, the hybrid PRSU awards will each fully vest as to their service conditions, and if the per share value in the change in control equals or exceeds the required stock closing price under the hybrid PRSU award’s performance conditions, the awards will also fully vest as to the applicable performance conditions. Any portion of the PRSU award unvested at the consummation of the change in control will be forfeited.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approximate value of benefits that would be received in connection with qualifying terminations of Mr. Garipalli’s, Mr. Toy’s, Mr. Singh’s, and Ms. Reynoso’s employment, assuming each NEO’s termination of employment occurred on December 31, 2021, based on the closing price per share of our Class A common stock of $3.72 on December 31, 2021, and where relevant, that a change in control occurred on December 31, 2021. It also summarizes the approximate value of benefits that would be received by Mr. Toy if he resigned on December 31, 2021, for “good reason” due to the failure to promote him to Chief Executive Officer immediately following the resignation or termination of Mr. Garipalli as our Chief Executive Officer. Finally, it summarizes the value of benefits that were received in connection with Mr. Wagner’s termination of employment.</w:t>
      </w:r>
    </w:p>
    <w:p>
      <w:pPr>
        <w:pStyle w:val="HorizontalLine"/>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before="0" w:after="60"/>
        <w:ind w:left="0" w:right="0" w:hanging="180"/>
        <w:jc w:val="both"/>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50"/>
        <w:gridCol w:w="470"/>
        <w:gridCol w:w="475"/>
        <w:gridCol w:w="747"/>
        <w:gridCol w:w="747"/>
        <w:gridCol w:w="758"/>
        <w:gridCol w:w="763"/>
        <w:gridCol w:w="759"/>
        <w:gridCol w:w="761"/>
        <w:gridCol w:w="1255"/>
        <w:gridCol w:w="1204"/>
        <w:gridCol w:w="1716"/>
      </w:tblGrid>
      <w:tr>
        <w:trPr/>
        <w:tc>
          <w:tcPr>
            <w:tcW w:w="55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r>
      <w:tr>
        <w:trPr/>
        <w:tc>
          <w:tcPr>
            <w:tcW w:w="14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Benefit</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Qualifying Termination ($)</w:t>
            </w:r>
          </w:p>
        </w:tc>
        <w:tc>
          <w:tcPr>
            <w:tcW w:w="417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Change in Control with Qualifying Termination ($)</w:t>
            </w:r>
          </w:p>
        </w:tc>
      </w:tr>
      <w:tr>
        <w:trPr/>
        <w:tc>
          <w:tcPr>
            <w:tcW w:w="149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Vivek Garipalli</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Vesting of Equity Awards</w:t>
            </w:r>
            <w:r>
              <w:rPr>
                <w:color w:val="000000"/>
                <w:highlight w:val="white"/>
              </w:rPr>
              <w:t xml:space="preserve"> </w:t>
            </w:r>
            <w:r>
              <w:rPr>
                <w:rFonts w:ascii="Times New Roman;sans-serif" w:hAnsi="Times New Roman;sans-serif"/>
                <w:b w:val="false"/>
                <w:color w:val="000000"/>
                <w:sz w:val="10"/>
              </w:rPr>
              <w:t>(1)</w:t>
            </w:r>
          </w:p>
        </w:tc>
        <w:tc>
          <w:tcPr>
            <w:tcW w:w="2283"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109,551,158 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Value of Benefits</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109,551,158 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C. Herbers</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17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Equity Awards</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17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Value of Benefits</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17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17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9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Andrew Toy</w:t>
            </w:r>
            <w:r>
              <w:rPr>
                <w:color w:val="000000"/>
              </w:rPr>
              <w:t xml:space="preserve"> </w:t>
            </w:r>
            <w:r>
              <w:rPr>
                <w:rFonts w:ascii="Times New Roman;sans-serif" w:hAnsi="Times New Roman;sans-serif"/>
                <w:b w:val="false"/>
                <w:color w:val="000000"/>
                <w:sz w:val="10"/>
              </w:rPr>
              <w:t>(3)</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675,000 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Vesting of Equity Awards</w:t>
            </w:r>
            <w:r>
              <w:rPr>
                <w:color w:val="000000"/>
                <w:highlight w:val="white"/>
              </w:rPr>
              <w:t xml:space="preserve"> </w:t>
            </w:r>
            <w:r>
              <w:rPr>
                <w:rFonts w:ascii="Times New Roman;sans-serif" w:hAnsi="Times New Roman;sans-serif"/>
                <w:b w:val="false"/>
                <w:color w:val="000000"/>
                <w:sz w:val="10"/>
              </w:rPr>
              <w:t>(1)</w:t>
            </w:r>
            <w:r>
              <w:rPr>
                <w:color w:val="000000"/>
              </w:rPr>
              <w:t xml:space="preserve"> </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360"/>
              <w:jc w:val="right"/>
              <w:rPr/>
            </w:pPr>
            <w:r>
              <w:rPr>
                <w:color w:val="000000"/>
              </w:rPr>
              <w:t>–</w:t>
            </w:r>
            <w:r>
              <w:rPr>
                <w:rFonts w:ascii="Times New Roman;sans-serif" w:hAnsi="Times New Roman;sans-serif"/>
                <w:b w:val="false"/>
                <w:color w:val="000000"/>
                <w:sz w:val="20"/>
              </w:rPr>
              <w:t>/ 102,355,584</w:t>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102,355,584 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Value of Benefits</w:t>
            </w:r>
            <w:r>
              <w:rPr>
                <w:color w:val="000000"/>
                <w:highlight w:val="white"/>
              </w:rPr>
              <w:t xml:space="preserve"> </w:t>
            </w:r>
            <w:r>
              <w:rPr>
                <w:rFonts w:ascii="Times New Roman;sans-serif" w:hAnsi="Times New Roman;sans-serif"/>
                <w:b w:val="false"/>
                <w:color w:val="000000"/>
                <w:sz w:val="10"/>
              </w:rPr>
              <w:t>(2)</w:t>
            </w:r>
            <w:r>
              <w:rPr>
                <w:color w:val="000000"/>
                <w:highlight w:val="white"/>
              </w:rPr>
              <w:t xml:space="preserve"> </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43,324 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478,883/102,834,467</w:t>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103,073,908 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Jamie L. Reynoso</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Vesting of Equity Awards</w:t>
            </w:r>
            <w:r>
              <w:rPr>
                <w:color w:val="000000"/>
                <w:highlight w:val="white"/>
              </w:rPr>
              <w:t xml:space="preserve"> </w:t>
            </w:r>
            <w:r>
              <w:rPr>
                <w:rFonts w:ascii="Times New Roman;sans-serif" w:hAnsi="Times New Roman;sans-serif"/>
                <w:b w:val="false"/>
                <w:color w:val="000000"/>
                <w:sz w:val="10"/>
              </w:rPr>
              <w:t>(1)</w:t>
            </w:r>
            <w:r>
              <w:rPr>
                <w:color w:val="000000"/>
              </w:rPr>
              <w:t xml:space="preserve"> </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2,744,754 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Value of Benefits</w:t>
            </w:r>
            <w:r>
              <w:rPr>
                <w:color w:val="000000"/>
                <w:highlight w:val="white"/>
              </w:rPr>
              <w:t xml:space="preserve"> </w:t>
            </w:r>
            <w:r>
              <w:rPr>
                <w:rFonts w:ascii="Times New Roman;sans-serif" w:hAnsi="Times New Roman;sans-serif"/>
                <w:b w:val="false"/>
                <w:color w:val="000000"/>
                <w:sz w:val="10"/>
              </w:rPr>
              <w:t>(2)</w:t>
            </w:r>
            <w:r>
              <w:rPr>
                <w:color w:val="000000"/>
                <w:highlight w:val="white"/>
              </w:rPr>
              <w:t xml:space="preserve"> </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453,883 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3,198,637 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restart"/>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Prabhdeep Singh</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Equity Awards</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982,047 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Value of Benefits</w:t>
            </w:r>
            <w:r>
              <w:rPr>
                <w:color w:val="000000"/>
                <w:highlight w:val="white"/>
              </w:rPr>
              <w:t xml:space="preserve"> </w:t>
            </w:r>
            <w:r>
              <w:rPr>
                <w:rFonts w:ascii="Times New Roman;sans-serif" w:hAnsi="Times New Roman;sans-serif"/>
                <w:b w:val="false"/>
                <w:color w:val="000000"/>
                <w:sz w:val="10"/>
              </w:rPr>
              <w:t>(2)</w:t>
            </w:r>
            <w:r>
              <w:rPr>
                <w:color w:val="000000"/>
                <w:highlight w:val="white"/>
              </w:rPr>
              <w:t xml:space="preserve"> </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28,883 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tcBorders>
            <w:shd w:fill="auto" w:val="clear"/>
            <w:tcMar>
              <w:top w:w="30" w:type="dxa"/>
              <w:bottom w:w="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428,883 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1,410,930 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restart"/>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Joseph Wagner</w:t>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Equity Awards</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225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Value of Benefits</w:t>
            </w:r>
            <w:r>
              <w:rPr>
                <w:color w:val="000000"/>
                <w:highlight w:val="white"/>
              </w:rPr>
              <w:t xml:space="preserve"> </w:t>
            </w:r>
            <w:r>
              <w:rPr>
                <w:rFonts w:ascii="Times New Roman;sans-serif" w:hAnsi="Times New Roman;sans-serif"/>
                <w:b w:val="false"/>
                <w:color w:val="000000"/>
                <w:sz w:val="10"/>
              </w:rPr>
              <w:t>(4)</w:t>
            </w:r>
          </w:p>
        </w:tc>
        <w:tc>
          <w:tcPr>
            <w:tcW w:w="1522"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7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right w:val="single" w:sz="8" w:space="0" w:color="000000"/>
            </w:tcBorders>
            <w:shd w:fill="auto"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1495" w:type="dxa"/>
            <w:gridSpan w:val="3"/>
            <w:vMerge w:val="continue"/>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Normal"/>
              <w:rPr/>
            </w:pPr>
            <w:r>
              <w:rPr/>
            </w:r>
          </w:p>
        </w:tc>
        <w:tc>
          <w:tcPr>
            <w:tcW w:w="225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22"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76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59" w:type="dxa"/>
            <w:gridSpan w:val="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16" w:type="dxa"/>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highlight w:val="white"/>
        </w:rPr>
        <w:t>The value for stock options is calculated by multiplying the number of unvested shares that would be subject to an acceleration of vesting by the difference between the closing price per share of $3.72 on December 31, 2021, and the applicable exercise price of the stock option.</w:t>
      </w:r>
    </w:p>
    <w:p>
      <w:pPr>
        <w:pStyle w:val="TextBody"/>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highlight w:val="white"/>
        </w:rPr>
        <w:t>For Mr. Toy, Ms. Reynoso, and Mr. Singh, the COBRA premium reimbursement cost is estimated to be $2,400 per month.</w:t>
      </w:r>
    </w:p>
    <w:p>
      <w:pPr>
        <w:pStyle w:val="TextBody"/>
        <w:spacing w:lineRule="auto" w:line="288" w:before="0" w:after="60"/>
        <w:ind w:left="0" w:right="0" w:hanging="180"/>
        <w:jc w:val="both"/>
        <w:rPr/>
      </w:pPr>
      <w:r>
        <w:rPr>
          <w:rFonts w:ascii="Times New Roman;sans-serif" w:hAnsi="Times New Roman;sans-serif"/>
          <w:b w:val="false"/>
          <w:color w:val="000000"/>
          <w:sz w:val="10"/>
          <w:highlight w:val="white"/>
        </w:rPr>
        <w:t xml:space="preserve">(3) </w:t>
      </w:r>
      <w:r>
        <w:rPr>
          <w:rFonts w:ascii="Times New Roman;sans-serif" w:hAnsi="Times New Roman;sans-serif"/>
          <w:b w:val="false"/>
          <w:color w:val="000000"/>
          <w:sz w:val="16"/>
          <w:highlight w:val="white"/>
        </w:rPr>
        <w:t>For Mr. Toy, the numbers on the left in the “Qualifying Termination ($)” column represent the value of what he would receive upon his qualifying termination and the numbers on the right represent what he would receive upon the specific qualifying termination or his resignation for “good reason” due to the failure to promote him to CEO immediately following the termination or resignation of Mr. Garipalli as our Chief Executive Officer.</w:t>
      </w:r>
    </w:p>
    <w:p>
      <w:pPr>
        <w:pStyle w:val="TextBody"/>
        <w:spacing w:lineRule="auto" w:line="288" w:before="0" w:after="0"/>
        <w:ind w:left="0" w:right="0" w:hanging="180"/>
        <w:jc w:val="both"/>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highlight w:val="white"/>
        </w:rPr>
        <w:t>For Mr. Wagner, this represents (i) $2,407, the cost of one month of COBRA premium reimbursement and (ii) $1,200, the estimated value of his Corporation issued laptop.</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the table above, because the per share value in the assumed change in control is $3.72, the closing price per share of our Class A common stock on December 31, 2021, none of Mr. Garapalli’s or Mr. Toy’s hybrid PRSU awards would be deemed to have vested upon a change in control that is not in connection with a qualifying termination of Mr. Garipalli’s or Mr. Toy’s employment.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Indemnification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includes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 any breach of their duty of loyalty to us or our stockholders;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 any act or omission not in good faith or that involves intentional misconduct or a knowing violation of law;</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Delaware General Corporation Law; or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 any transaction from which they derived an improper personal benefit.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we shall indemnify, to the fullest extent permitted by law, any person who is or was a party or is threatened to be made a party to any action, suit or proceeding, by reason of the fact that he or she is or was one of our </w:t>
      </w:r>
    </w:p>
    <w:p>
      <w:pPr>
        <w:pStyle w:val="HorizontalLine"/>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fiscal year 2021, the members of our Talent and Compensation Committee were Chelsea Clinton, Nathaniel S. Turner (from January 1, 2021, to April 13, 2021), and William G. Robinson, Jr. (from April 13, 2021 through the end of the year). None of the members of our Talent and Compensation Committee in fiscal year 2021 was at any time during fiscal year 2021 or at any other time an officer or employee of the Corporation or any of its subsidiaries, and none had or have any relationships with the Corporation that are required to be disclosed under Item 404 of Regulation 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executive officers has served as a member of the board of directors or compensation committee (or similar committee) of any entity, other than Clover, that has one or more executive officers who have served as a member of our Board of Directors or Talent and Compensation Committee during fiscal year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2021, with respect to shares of our common stock that may be issued under our existing equity compensation plans.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15"/>
        <w:gridCol w:w="539"/>
        <w:gridCol w:w="463"/>
        <w:gridCol w:w="109"/>
        <w:gridCol w:w="109"/>
        <w:gridCol w:w="109"/>
        <w:gridCol w:w="933"/>
        <w:gridCol w:w="298"/>
        <w:gridCol w:w="298"/>
        <w:gridCol w:w="298"/>
        <w:gridCol w:w="298"/>
        <w:gridCol w:w="300"/>
        <w:gridCol w:w="109"/>
        <w:gridCol w:w="109"/>
        <w:gridCol w:w="109"/>
        <w:gridCol w:w="554"/>
        <w:gridCol w:w="1343"/>
        <w:gridCol w:w="288"/>
        <w:gridCol w:w="109"/>
        <w:gridCol w:w="109"/>
        <w:gridCol w:w="109"/>
        <w:gridCol w:w="967"/>
        <w:gridCol w:w="373"/>
        <w:gridCol w:w="373"/>
        <w:gridCol w:w="373"/>
        <w:gridCol w:w="373"/>
        <w:gridCol w:w="538"/>
      </w:tblGrid>
      <w:tr>
        <w:trPr/>
        <w:tc>
          <w:tcPr>
            <w:tcW w:w="61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5"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Exercise Price of Outstanding Options, Warrants, and Rights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Number of Securities Remaining Available for Future Issuance Under Equity Compensation Plans (Excluding Securities Reflected in Column </w:t>
            </w:r>
            <w:r>
              <w:rPr>
                <w:rFonts w:ascii="Times New Roman;sans-serif" w:hAnsi="Times New Roman;sans-serif"/>
                <w:b/>
                <w:color w:val="000000"/>
                <w:sz w:val="16"/>
              </w:rPr>
              <w:t>(a)</w:t>
            </w:r>
            <w:r>
              <w:rPr>
                <w:rFonts w:ascii="Times New Roman;sans-serif" w:hAnsi="Times New Roman;sans-serif"/>
                <w:b/>
                <w:color w:val="000000"/>
                <w:sz w:val="20"/>
              </w:rPr>
              <w:t>)</w:t>
            </w:r>
          </w:p>
        </w:tc>
      </w:tr>
      <w:tr>
        <w:trPr/>
        <w:tc>
          <w:tcPr>
            <w:tcW w:w="16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5"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(b)</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40,117,031 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26,227,905 </w:t>
            </w:r>
          </w:p>
        </w:tc>
        <w:tc>
          <w:tcPr>
            <w:tcW w:w="3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6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2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40,117,031 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26,227,905 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84"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Amount includes 1,753,799 stock options, 4,578,089 RSUs and 358,160 PRSUs covering shares of Class A common stock granted under the 2020 Equity Incentive Plan (“2020 Plan”) and 16,713,492 PRSUs and 16,713,491 RSUs covering shares of Class B common stock granted under the 2020 Management Incentive Plan. Legacy Clover’s 2014 Equity Incentive Plan (“2014 Plan”) terminated in connection with the January 7, 2021 closing of the Business Combination and no further awards may be granted under it. The Corporation assumed the outstanding awards under the 2014 Plan, which consist of 31,155,472 stock options to purchase shares of Class A common stock, which have a weighted average exercise price of $2.35, and 10,750,133 covering shares of Class B common stock (which were converted from Class A common pursuant to the Business Combination upon assumption).</w:t>
      </w:r>
    </w:p>
    <w:p>
      <w:pPr>
        <w:pStyle w:val="TextBody"/>
        <w:spacing w:lineRule="auto" w:line="288" w:before="60" w:after="283"/>
        <w:ind w:left="0" w:right="0" w:hanging="18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The calculation of the weighted average exercised price does not take into account shares to be issued under outstanding RSU and PRSU awards, which have no exercise price.</w:t>
      </w:r>
    </w:p>
    <w:p>
      <w:pPr>
        <w:pStyle w:val="TextBody"/>
        <w:spacing w:lineRule="auto" w:line="288" w:before="0" w:after="0"/>
        <w:ind w:left="0" w:right="0" w:hanging="180"/>
        <w:jc w:val="both"/>
        <w:rPr/>
      </w:pPr>
      <w:r>
        <w:rPr>
          <w:rFonts w:ascii="Times New Roman;sans-serif" w:hAnsi="Times New Roman;sans-serif"/>
          <w:b w:val="false"/>
          <w:color w:val="000000"/>
          <w:sz w:val="10"/>
        </w:rPr>
        <w:t>(3)</w:t>
      </w:r>
      <w:r>
        <w:rPr>
          <w:color w:val="000000"/>
        </w:rPr>
        <w:t>    </w:t>
      </w:r>
      <w:r>
        <w:rPr>
          <w:rFonts w:ascii="Times New Roman;sans-serif" w:hAnsi="Times New Roman;sans-serif"/>
          <w:b w:val="false"/>
          <w:color w:val="000000"/>
          <w:sz w:val="16"/>
        </w:rPr>
        <w:t xml:space="preserve">Includes 23,442,323 shares remaining for issuance under the 2020 Plan and 2,785,582 shares remaining for issuance or subject to outstanding purchase rights under the Employee Stock Purchase Plan (“ESPP”). The number of shares available for issuance under the 2020 Plan increases on the first day of each fiscal year beginning with the 2022 fiscal year to an amount equal to the lesser of (i) seven percent (7%) of the number of shares of Class A common stock outstanding on the last day of </w:t>
      </w: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immediately preceding fiscal year, and (ii) such number of shares determined by the Board of Directors; provided that for each fiscal year beginning with the 2025 fiscal year through the expiration of the 2020 Plan, each such increase shall be reduced to the lesser of five percent (5%) of the number of shares of Class A common stock on the last day of the immediately preceding fiscal year or such number of shares determined by the Board of Directors. On the first day of each fiscal year, beginning with the 2022 fiscal year and ending on (and including) the first day of the 2030 fiscal year, the calculation of the maximum number of shares available for issuance under the ESPP shall include automatic increases in an amount equal to the lesser of (x) 1.0% of the total number of shares of Class A common stock outstanding on the last day of the calendar month prior to the date of such automatic increase, and (y) such number of shares of Class A common stock as determined by the administrator of the ESPP; provided that the maximum number of shares of Class A common stock reserved under the ESPP shall not exceed 10.0% of the total outstanding capital stock of the Corporation (inclusive of the shares reserved under the ESPP) as of January 7, 2021, on an as-converted basis.</w:t>
      </w:r>
    </w:p>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2014 Equity Incentive Plan is included in Note 18 (Employee Benefit Plans) to the Consolidated Financial Statements in this Annual Report on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us regarding the beneficial ownership of our common stock as of February 7, 2022, by: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each person who is known by us to be the beneficial owner of more than five percent (5%) of the outstanding shares of any class of our common stock;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each of our directors ;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all of our executive officers and directors, as a group.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February 7, 2022, and all shares of our common stock issuable pursuant to restricted stock units that will vest within 60 days of February 7, 2022, are deemed to be outstanding and to be beneficially owned by the person holding the stock options or restricted stock units for the purpose of computing the percentage ownership of that person, but are not treated as outstanding for the purpose of computing the percentage ownership of any other person.</w:t>
        <w:br/>
        <w:br/>
        <w:t>The percentage ownership of the common stock is based on 378,521,950 shares of Class A Common Stock and 94,746,806 shares of Class B Common Stock outstanding as of February 7, 2022. Unless otherwise indicated, the address of each beneficial owner listed in the table below is c/o Clover Health Investments, Corp., 3401 Mallory Lane, Suite 210, Franklin, Tennessee 37067.</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before="0" w:after="60"/>
        <w:ind w:left="0" w:right="0" w:hanging="180"/>
        <w:jc w:val="both"/>
        <w:rPr/>
      </w:pPr>
      <w:r>
        <w:rPr/>
      </w:r>
    </w:p>
    <w:tbl>
      <w:tblPr>
        <w:tblW w:w="10205" w:type="dxa"/>
        <w:jc w:val="left"/>
        <w:tblInd w:w="0" w:type="dxa"/>
        <w:tblCellMar>
          <w:top w:w="28" w:type="dxa"/>
          <w:left w:w="28" w:type="dxa"/>
          <w:bottom w:w="28" w:type="dxa"/>
          <w:right w:w="28" w:type="dxa"/>
        </w:tblCellMar>
      </w:tblPr>
      <w:tblGrid>
        <w:gridCol w:w="1169"/>
        <w:gridCol w:w="947"/>
        <w:gridCol w:w="950"/>
        <w:gridCol w:w="109"/>
        <w:gridCol w:w="109"/>
        <w:gridCol w:w="109"/>
        <w:gridCol w:w="540"/>
        <w:gridCol w:w="541"/>
        <w:gridCol w:w="315"/>
        <w:gridCol w:w="109"/>
        <w:gridCol w:w="109"/>
        <w:gridCol w:w="109"/>
        <w:gridCol w:w="295"/>
        <w:gridCol w:w="295"/>
        <w:gridCol w:w="296"/>
        <w:gridCol w:w="109"/>
        <w:gridCol w:w="109"/>
        <w:gridCol w:w="109"/>
        <w:gridCol w:w="592"/>
        <w:gridCol w:w="594"/>
        <w:gridCol w:w="315"/>
        <w:gridCol w:w="109"/>
        <w:gridCol w:w="109"/>
        <w:gridCol w:w="109"/>
        <w:gridCol w:w="295"/>
        <w:gridCol w:w="295"/>
        <w:gridCol w:w="296"/>
        <w:gridCol w:w="109"/>
        <w:gridCol w:w="109"/>
        <w:gridCol w:w="109"/>
        <w:gridCol w:w="255"/>
        <w:gridCol w:w="256"/>
        <w:gridCol w:w="324"/>
      </w:tblGrid>
      <w:tr>
        <w:trPr/>
        <w:tc>
          <w:tcPr>
            <w:tcW w:w="116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3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Address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 of</w:t>
              <w:b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Class A</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 of</w:t>
              <w:b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Class B</w:t>
              <w:b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Voting</w:t>
            </w:r>
          </w:p>
          <w:p>
            <w:pPr>
              <w:pStyle w:val="TableContents"/>
              <w:spacing w:lineRule="auto" w:line="240" w:before="0" w:after="0"/>
              <w:jc w:val="center"/>
              <w:rPr/>
            </w:pPr>
            <w:r>
              <w:rPr>
                <w:rFonts w:ascii="Times New Roman;sans-serif" w:hAnsi="Times New Roman;sans-serif"/>
                <w:b/>
                <w:color w:val="000000"/>
                <w:sz w:val="20"/>
              </w:rPr>
              <w:t>Power</w:t>
            </w:r>
            <w:r>
              <w:rPr>
                <w:rFonts w:ascii="Times New Roman;sans-serif" w:hAnsi="Times New Roman;sans-serif"/>
                <w:b/>
                <w:color w:val="000000"/>
                <w:sz w:val="13"/>
              </w:rPr>
              <w:t>**</w:t>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Holders</w:t>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Vivek Garipalli</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83,584,543 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Greenoaks Capital and affiliated entities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24,847,610 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Entities affiliated with Chamath Palihapitiya</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30,147,610 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284,891 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The Vanguard Group, Inc.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25,887,351 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 and Directors</w:t>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Vivek Garipalli</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85,262,416 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Andrew Toy</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12,790,323 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Joseph Wagner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158,605 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 Herbers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Jamie L. Reynoso</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60,462 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517,017 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Prabhdeep Singh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Chelsea Clinton</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499,390 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 A. Shapiro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Nathaniel S. Turner</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1,324,728 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Demetrios L. Kouzoukas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G. Robinson,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27,100 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 executive officers and directors as a group (11 persons)</w:t>
            </w:r>
            <w:r>
              <w:rPr>
                <w:color w:val="000000"/>
              </w:rPr>
              <w:t xml:space="preserve">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114,662 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100,552,479 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    </w:t>
      </w:r>
      <w:r>
        <w:rPr>
          <w:rFonts w:ascii="Times New Roman;sans-serif" w:hAnsi="Times New Roman;sans-serif"/>
          <w:b w:val="false"/>
          <w:color w:val="000000"/>
          <w:sz w:val="16"/>
        </w:rPr>
        <w:t>Less than one percent.</w:t>
      </w:r>
    </w:p>
    <w:p>
      <w:pPr>
        <w:pStyle w:val="TextBody"/>
        <w:spacing w:lineRule="auto" w:line="288" w:before="60" w:after="283"/>
        <w:ind w:left="0" w:right="0" w:hanging="180"/>
        <w:jc w:val="both"/>
        <w:rPr/>
      </w:pPr>
      <w:r>
        <w:rPr>
          <w:rFonts w:ascii="Times New Roman;sans-serif" w:hAnsi="Times New Roman;sans-serif"/>
          <w:b w:val="false"/>
          <w:color w:val="000000"/>
          <w:sz w:val="10"/>
        </w:rPr>
        <w:t>**    </w:t>
      </w:r>
      <w:r>
        <w:rPr>
          <w:rFonts w:ascii="Times New Roman;sans-serif" w:hAnsi="Times New Roman;sans-serif"/>
          <w:b w:val="false"/>
          <w:color w:val="000000"/>
          <w:sz w:val="16"/>
        </w:rPr>
        <w:t>Percentage of total voting power represents voting power with respect to all shares of Class A common stock and Class B common stock, as a single class. Each share of Class B common stock is entitled to ten votes per share and each share of Class A common stock is entitled to one vote per share.</w:t>
      </w:r>
    </w:p>
    <w:p>
      <w:pPr>
        <w:pStyle w:val="TextBody"/>
        <w:spacing w:lineRule="auto" w:line="288" w:before="60" w:after="283"/>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w:t>
      </w:r>
    </w:p>
    <w:p>
      <w:pPr>
        <w:pStyle w:val="TextBody"/>
        <w:spacing w:lineRule="auto" w:line="288" w:before="60" w:after="283"/>
        <w:ind w:left="0" w:right="0" w:hanging="18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 xml:space="preserve">Based on information contained in a Schedule 13G/A filed with the Securities and Exchange Commission on December 10, 2021, consists of (i) 1,004,577 shares of Class A common stock held of record by Greenoaks Capital MS LP – Banting Series, (ii) 771,331 shares of Class A common stock held of record by Greenoaks Capital MS LP – Blackwell Series, (iii) 2,169,635 shares of Class A common stock held of record by Greenoaks Capital MS LP – Joslin Series, (iv) 679,056 shares of Class A common stock held of record by Greenoaks Capital MS LP – Osler Series, (v) 3,009,089 shares of Class A common stock held of record Greenoaks Capital Opportunities Fund, L.P., (vi) 6,514,694 shares of Class A common stock held of record by Greenoaks Capital MS LP – Lister Series, (vii) 8,024,421 shares of Class A common stock held of record by Greenoaks Magnolia Fund LP, (viii) 2,674,807 shares of Class A common stock held of record by Greenoaks Magnolia MS Fund LP – Pasteur Series, (ix) 157,158 shares of Class A common stock held of record by Neil Mehta, (x) 440,655 shares of Class A common stock held of record by Neil Mehta Separate Property Trust and (xi) 309,133 shares of Class A common stock held by the Peretz Family Trust. Greenoaks Capital Partners LLC is the investment adviser to these entities and related persons or entities. Each of Neil Mehta and Benjamin Peretz is a managing member of Greenoaks Capital Partners LLC. Therefore, Mr. Peretz and Mr. Mehta may be deemed to share voting power and dispositive power over the shares held by these entities and related persons or related entities. The principal business address of each of these entities and related persons or entities is 535 Pacific Avenue, 4th Floor, San Francisco, California 94133. </w:t>
      </w:r>
    </w:p>
    <w:p>
      <w:pPr>
        <w:pStyle w:val="TextBody"/>
        <w:spacing w:lineRule="auto" w:line="288" w:before="60" w:after="283"/>
        <w:ind w:left="0" w:right="0" w:hanging="180"/>
        <w:jc w:val="both"/>
        <w:rPr/>
      </w:pPr>
      <w:r>
        <w:rPr>
          <w:rFonts w:ascii="Times New Roman;sans-serif" w:hAnsi="Times New Roman;sans-serif"/>
          <w:b w:val="false"/>
          <w:color w:val="000000"/>
          <w:sz w:val="10"/>
        </w:rPr>
        <w:t>(3)    </w:t>
      </w:r>
      <w:r>
        <w:rPr>
          <w:rFonts w:ascii="Times New Roman;sans-serif" w:hAnsi="Times New Roman;sans-serif"/>
          <w:b w:val="false"/>
          <w:color w:val="000000"/>
          <w:sz w:val="16"/>
        </w:rPr>
        <w:t>Based on information contained in a Schedule 13D/A filed with the Securities and Exchange Commission on January 14, 2022, consists of (i) 28,408,480 shares of Class A common stock held by ChaChaCha SPAC C LLC, (ii) 1,739,130 shares of Class A common stock held by SC Master Holdings, LLC. and (iii) 284,891 shares of Class B common stock held by Social + Capital Partnership III. Mr. Palihapitiya beneficially owns shares held by ChaChaCha SPAC C LLC, SC Master Holdings, LLC and Social + Capital Partnership III by virtue of his voting and investment control over these entities. All the shares held by ChaChaCha SPAC C LLC are subject to a pledge in favor of Credit Suisse AG, New York Branch as collateral with respect to a loan agreement. The address of these entities is 317 University Ave, Suite 200, Palo Alto, CA 94301. Includes 2,245,980 shares of Class A common stock received upon exercise of warrants.</w:t>
      </w:r>
    </w:p>
    <w:p>
      <w:pPr>
        <w:pStyle w:val="TextBody"/>
        <w:spacing w:lineRule="auto" w:line="288" w:before="60" w:after="283"/>
        <w:ind w:left="0" w:right="0" w:hanging="180"/>
        <w:jc w:val="both"/>
        <w:rPr/>
      </w:pPr>
      <w:r>
        <w:rPr>
          <w:rFonts w:ascii="Times New Roman;sans-serif" w:hAnsi="Times New Roman;sans-serif"/>
          <w:b w:val="false"/>
          <w:color w:val="000000"/>
          <w:sz w:val="10"/>
        </w:rPr>
        <w:t>(4)    </w:t>
      </w:r>
      <w:r>
        <w:rPr>
          <w:rFonts w:ascii="Times New Roman;sans-serif" w:hAnsi="Times New Roman;sans-serif"/>
          <w:b w:val="false"/>
          <w:color w:val="000000"/>
          <w:sz w:val="16"/>
        </w:rPr>
        <w:t>Based on information contained in a Schedule 13G/A filed with the Securities and Exchange Commission on February 9, 2022, The Vanguard Group, Inc. (Vanguard), an independent advisor, has sole voting power over 0 shares of Class A common stock, shared voting power over 94,531 shares of Class A common stock, sole dispositive power over 25,566,805 shares of Class A common stock and shared dispositive power over 320,546 shares of Class A common stock. The Schedule 13G/A filed by Vanguard provides information only as of December 31, 2021 and, consequently, the beneficial ownership of Vanguard may have changed between December 31, 2021 and February 7, 2022. The principal business address of Vanguard is 100 Vanguard Blvd., Malvern, PA 19355.</w:t>
      </w:r>
    </w:p>
    <w:p>
      <w:pPr>
        <w:pStyle w:val="TextBody"/>
        <w:spacing w:lineRule="auto" w:line="288" w:before="60" w:after="283"/>
        <w:ind w:left="0" w:right="0" w:hanging="180"/>
        <w:jc w:val="both"/>
        <w:rPr/>
      </w:pPr>
      <w:r>
        <w:rPr>
          <w:rFonts w:ascii="Times New Roman;sans-serif" w:hAnsi="Times New Roman;sans-serif"/>
          <w:b w:val="false"/>
          <w:color w:val="000000"/>
          <w:sz w:val="10"/>
        </w:rPr>
        <w:t>(5)    </w:t>
      </w:r>
      <w:r>
        <w:rPr>
          <w:rFonts w:ascii="Times New Roman;sans-serif" w:hAnsi="Times New Roman;sans-serif"/>
          <w:b w:val="false"/>
          <w:color w:val="000000"/>
          <w:sz w:val="16"/>
        </w:rPr>
        <w:t xml:space="preserve">Consists of (i) the shares listed in footnote (1) of which Mr. Garipalli may be deemed to share voting and dispositive power, and (ii) 1,677,873 shares of Class B common stock held directly by Mr. Garipalli. </w:t>
      </w:r>
    </w:p>
    <w:p>
      <w:pPr>
        <w:pStyle w:val="TextBody"/>
        <w:spacing w:lineRule="auto" w:line="288" w:before="60" w:after="283"/>
        <w:ind w:left="0" w:right="0" w:hanging="180"/>
        <w:jc w:val="both"/>
        <w:rPr/>
      </w:pPr>
      <w:r>
        <w:rPr>
          <w:rFonts w:ascii="Times New Roman;sans-serif" w:hAnsi="Times New Roman;sans-serif"/>
          <w:b w:val="false"/>
          <w:color w:val="000000"/>
          <w:sz w:val="10"/>
        </w:rPr>
        <w:t>(6)    </w:t>
      </w:r>
      <w:r>
        <w:rPr>
          <w:rFonts w:ascii="Times New Roman;sans-serif" w:hAnsi="Times New Roman;sans-serif"/>
          <w:b w:val="false"/>
          <w:color w:val="000000"/>
          <w:sz w:val="16"/>
        </w:rPr>
        <w:t xml:space="preserve">Consists of 12,790,323 shares of Class B common stock issuable upon exercise of options exercisable on or within 60 days of February 7, 2022. </w:t>
      </w:r>
    </w:p>
    <w:p>
      <w:pPr>
        <w:pStyle w:val="TextBody"/>
        <w:spacing w:lineRule="auto" w:line="288" w:before="60" w:after="283"/>
        <w:ind w:left="0" w:right="0" w:hanging="180"/>
        <w:jc w:val="both"/>
        <w:rPr/>
      </w:pPr>
      <w:r>
        <w:rPr>
          <w:rFonts w:ascii="Times New Roman;sans-serif" w:hAnsi="Times New Roman;sans-serif"/>
          <w:b w:val="false"/>
          <w:color w:val="000000"/>
          <w:sz w:val="10"/>
        </w:rPr>
        <w:t>(7)    </w:t>
      </w:r>
      <w:r>
        <w:rPr>
          <w:rFonts w:ascii="Times New Roman;sans-serif" w:hAnsi="Times New Roman;sans-serif"/>
          <w:b w:val="false"/>
          <w:color w:val="000000"/>
          <w:sz w:val="16"/>
        </w:rPr>
        <w:t>Consists of (i) 517,017 shares of Class B common stock issuable upon exercise of options exercisable on or within 60 days of February 7, 2022, and (ii) 60,462 shares of Class A common stock.</w:t>
      </w:r>
    </w:p>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before="0" w:after="60"/>
        <w:ind w:left="0" w:right="0" w:hanging="180"/>
        <w:jc w:val="both"/>
        <w:rPr/>
      </w:pPr>
      <w:r>
        <w:rPr/>
      </w:r>
    </w:p>
    <w:p>
      <w:pPr>
        <w:pStyle w:val="TextBody"/>
        <w:spacing w:lineRule="auto" w:line="288" w:before="60" w:after="283"/>
        <w:ind w:left="0" w:right="0" w:hanging="180"/>
        <w:jc w:val="both"/>
        <w:rPr/>
      </w:pPr>
      <w:r>
        <w:rPr>
          <w:rFonts w:ascii="Times New Roman;sans-serif" w:hAnsi="Times New Roman;sans-serif"/>
          <w:b w:val="false"/>
          <w:color w:val="000000"/>
          <w:sz w:val="10"/>
        </w:rPr>
        <w:t>(8)</w:t>
      </w:r>
      <w:r>
        <w:rPr>
          <w:color w:val="000000"/>
        </w:rPr>
        <w:t xml:space="preserve"> </w:t>
      </w:r>
      <w:r>
        <w:rPr>
          <w:rFonts w:ascii="Times New Roman;sans-serif" w:hAnsi="Times New Roman;sans-serif"/>
          <w:b w:val="false"/>
          <w:color w:val="000000"/>
          <w:sz w:val="16"/>
        </w:rPr>
        <w:t xml:space="preserve">Consists of 499,390 shares of Class B common stock issuable upon exercise of options exercisable on or within 60 days of February 7, 2022. </w:t>
      </w:r>
    </w:p>
    <w:p>
      <w:pPr>
        <w:pStyle w:val="TextBody"/>
        <w:spacing w:lineRule="auto" w:line="288" w:before="60" w:after="283"/>
        <w:ind w:left="0" w:right="0" w:hanging="180"/>
        <w:jc w:val="both"/>
        <w:rPr/>
      </w:pPr>
      <w:r>
        <w:rPr>
          <w:rFonts w:ascii="Times New Roman;sans-serif" w:hAnsi="Times New Roman;sans-serif"/>
          <w:b w:val="false"/>
          <w:color w:val="000000"/>
          <w:sz w:val="10"/>
        </w:rPr>
        <w:t>(9)    </w:t>
      </w:r>
      <w:r>
        <w:rPr>
          <w:rFonts w:ascii="Times New Roman;sans-serif" w:hAnsi="Times New Roman;sans-serif"/>
          <w:b w:val="false"/>
          <w:color w:val="000000"/>
          <w:sz w:val="16"/>
        </w:rPr>
        <w:t>Consists of 1,324,728 shares of Class B common stock held by Multiple Holdings, LLC. Nathaniel S. Turner is a partner in Multiple Holdings, LLC and may be deemed to share voting power and dispositive power over these shares. The address of Multiple Holdings, LLC is 180 Varick Street, Suite 1220 New York, NY 10014.</w:t>
      </w:r>
    </w:p>
    <w:p>
      <w:pPr>
        <w:pStyle w:val="TextBody"/>
        <w:spacing w:lineRule="auto" w:line="288" w:before="0" w:after="0"/>
        <w:ind w:left="0" w:right="0" w:hanging="180"/>
        <w:jc w:val="both"/>
        <w:rPr/>
      </w:pPr>
      <w:r>
        <w:rPr>
          <w:rFonts w:ascii="Times New Roman;sans-serif" w:hAnsi="Times New Roman;sans-serif"/>
          <w:b w:val="false"/>
          <w:color w:val="000000"/>
          <w:sz w:val="10"/>
        </w:rPr>
        <w:t>(10)    </w:t>
      </w:r>
      <w:r>
        <w:rPr>
          <w:rFonts w:ascii="Times New Roman;sans-serif" w:hAnsi="Times New Roman;sans-serif"/>
          <w:b w:val="false"/>
          <w:color w:val="000000"/>
          <w:sz w:val="16"/>
        </w:rPr>
        <w:t>Consists of (i) 114,662 shares of Class A common stock, (ii) 86,587,144 shares of Class B common stock and (iii) 13,965,335 shares of Class B common stock issuable upon exercise of options exercisable within 60 days of February 7, 2022.</w:t>
      </w:r>
    </w:p>
    <w:p>
      <w:pPr>
        <w:pStyle w:val="TextBody"/>
        <w:spacing w:before="0" w:after="0"/>
        <w:ind w:left="0" w:right="0" w:hanging="18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Item 13. Certain Relationships and Related Person Transactions, and Director Independence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Related Person Transactions Policy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prior to the Closing, we did not have a written policy for the review and approval of transactions with related persons, our Board of Directors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compensation arrangements for our directors and executive officers, which are described elsewhere in this report, the following describes transactions since January 1, 2021, and each currently proposed transaction in which:</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SCH have been or are to be a participant;</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amounts involved exceeded or will exceed $120,000;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Registration Rights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we, the Sponsor, SCH’s independent directors, certain stockholders of Clover, including entities affiliated with Mr. Garipalli, our Chief Executive Officer, entities affiliated with Greenoaks Capital, which was a holder of more than 5% of our outstanding capital stock, and entities affiliated with our director, Nathaniel S.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The Registration Rights Agreement will terminate on the earlier of (i) the tenth anniversary of the date of the Registration Rights Agreement or (ii) with respect to any party thereto, on the date that such party no longer holds any registrable securities.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Pre-Business Combination Related Party Transactions of Clover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Hospital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CarePoint Health System is ultimately held and controlled by Mr. Garipalli, our Chief Executive Officer, and who, through his affiliated entities, owns greater than 5% of our </w:t>
      </w:r>
    </w:p>
    <w:p>
      <w:pPr>
        <w:pStyle w:val="HorizontalLine"/>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stock. The Corporation contracts with CarePoint Health for the provision of inpatient and hospital-based outpatient services. Expenses and fees incurred related to these contracts, recorded in MA net medical claims incurred, were $12.7 million for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Service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contract with Medical Records Exchange, LLC (d/b/a ChartFast) pursuant to which we receive administrative services related to medical records via ChartFast’s electronic applications and web portal platform. ChartFast is ultimately owned and controlled by Mr. Garipalli. Expenses and fees related to this agreement were $0.2 million for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 has contracted with Rogue Trading, LLC (Rogue), a marketing services provider. The Corporation’s President and Chief Technology Officer, Andrew Toy, is related to the Chief Executive Officer of Rogue. Expenses and fees related to these contracts were $0.3 million for the years ended December 31, 2021.</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2021, the Corporation signed a contract with Thyme Care, Inc. (Thyme Care), an oncology benefit management company, through which Thyme Care will provide concierge cancer coordination services to the Corporation’s Medicare Advantage members in New Jersey and develop a provider network to help ensure member access to high-value oncology care. Mr. Garipalli is a member of Thyme Care’s Board of Directors. Expenses and fees incurred related to this agreement were $0.3 million for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Executive Compensation and Employment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the “Executive Compensation” section in this report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 of Liability and Indemnification of Directors and Officers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 any breach of their duty of loyalty to us or our stockholders;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for any act or omission not in good faith or that involves intentional misconduct or a knowing violation of law;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unlawful payments of dividends or unlawful stock repurchases or redemptions as provided in Section 174 of the Delaware General Corporation Law; or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for any transaction from which they derived an improper personal benefit.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Pre-Business Combination Related Party Transactions of SCH</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 In the third quarter of 2021, we announced that we were redeeming all of the outstanding private placement warrants. Prior to the redemption date, all private placement warrants were exercised on a cashless basis in exchange for an aggregate of 2,722,399 shares of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we entered into subscription agreements with the PIPE investors that are existing directors, officers or equity 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PIPE Investment was consummated concurrently with the Closing.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independence of our board members and the composition of the committees of our board, we utilize the definition of “independence” as that term is defined by the Nasdaq Listing Rules. The Nasdaq listing rules generally require that a majority of the members of a listed company’s Board of Directors be independent within specified periods following the completion of an initial public offering. In addition, the listing rules generally require that, subject to specified exceptions, each member of a listed company’s audit, compensation and governance committees be independent.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 members must also satisfy the independence criteria set forth in Rule 10A-3 under the Securities Exchange Act of 1934, as amended, or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independence criteria as required by Rule 10C-1 under the Exchange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none of the members of our Board of Directors other than Messrs. Garipalli and Toy has a relationship that would interfere with the exercise of independent judgment in carrying out the responsibilities of a director and that each of the members of our Board of Directors other than Messrs. Garipalli and Toy, and each of the members of the Audit Committee, Talent and Compensation Committee, and Nominating and Corporate Governance Committee, is “independent” as that term is defined under the Nasdaq rules.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60"/>
        <w:rPr/>
      </w:pPr>
      <w:r>
        <w:rPr/>
      </w:r>
    </w:p>
    <w:p>
      <w:pPr>
        <w:pStyle w:val="HorizontalLine"/>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 xml:space="preserve">Item 14. Principal Accounting Fees and Services </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aggregate fees billed by Ernst &amp; Young LLP in 2021 and 2020.</w:t>
      </w:r>
    </w:p>
    <w:tbl>
      <w:tblPr>
        <w:tblW w:w="5165" w:type="dxa"/>
        <w:jc w:val="left"/>
        <w:tblInd w:w="0" w:type="dxa"/>
        <w:tblCellMar>
          <w:top w:w="28" w:type="dxa"/>
          <w:left w:w="28" w:type="dxa"/>
          <w:bottom w:w="28" w:type="dxa"/>
          <w:right w:w="28" w:type="dxa"/>
        </w:tblCellMar>
      </w:tblPr>
      <w:tblGrid>
        <w:gridCol w:w="678"/>
        <w:gridCol w:w="594"/>
        <w:gridCol w:w="602"/>
        <w:gridCol w:w="109"/>
        <w:gridCol w:w="109"/>
        <w:gridCol w:w="109"/>
        <w:gridCol w:w="211"/>
        <w:gridCol w:w="976"/>
        <w:gridCol w:w="109"/>
        <w:gridCol w:w="109"/>
        <w:gridCol w:w="109"/>
        <w:gridCol w:w="109"/>
        <w:gridCol w:w="211"/>
        <w:gridCol w:w="976"/>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Audit Related Fees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Tax Fees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All Other Fees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2,410,387 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Audit fees principally related to the audit of our annual financial statements, the review of our quarterly financial statements included in our Quarterly Reports on Form 10-Q, and the audit of our internal control over financial reporting. Audit fees also relate to services such as subsidiary and statutory audits.</w:t>
      </w:r>
    </w:p>
    <w:p>
      <w:pPr>
        <w:pStyle w:val="TextBody"/>
        <w:spacing w:lineRule="auto" w:line="288" w:before="60" w:after="283"/>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Audit Related Fees principally relate to audits of employee benefit plans, review of internal controls for selected information systems, and due diligence work.</w:t>
      </w:r>
    </w:p>
    <w:p>
      <w:pPr>
        <w:pStyle w:val="TextBody"/>
        <w:spacing w:lineRule="auto" w:line="288" w:before="60" w:after="283"/>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Tax Fees principally relate to the preparation of tax returns and compliance services and tax planning and consultation services.</w:t>
      </w:r>
    </w:p>
    <w:p>
      <w:pPr>
        <w:pStyle w:val="TextBody"/>
        <w:spacing w:lineRule="auto" w:line="288" w:before="60" w:after="24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All Other Fees relate to non-tax related advisory and consulting services, including fees billed for services involving due diligence performed in connection with directors’ and officers’ insurance under SCH’s engagement entered into prior to the Clover Health Business Combination, a Section 382(g) analysis, registration work in connection with a potential initial public offering, and special purpose acquisition vehicle advisory work.</w:t>
      </w:r>
    </w:p>
    <w:p>
      <w:pPr>
        <w:pStyle w:val="TextBody"/>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Pre-Approval Policy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Audit Committee was formed in connection with the Business Combination.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pre-approved and will continue to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The Financial Statements, Financial Statement Schedules, and exhibits set forth below are filed as part of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 - The response to this portion of Item 15 is submitted as Item 8 of Part II of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 - The response to this portion of Item 15 is submitted as Item 8 of Part II of this report.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A list of exhibits to this Form 10-K is set forth below:</w:t>
      </w:r>
    </w:p>
    <w:tbl>
      <w:tblPr>
        <w:tblW w:w="10205" w:type="dxa"/>
        <w:jc w:val="left"/>
        <w:tblInd w:w="0" w:type="dxa"/>
        <w:tblCellMar>
          <w:top w:w="28" w:type="dxa"/>
          <w:left w:w="28" w:type="dxa"/>
          <w:bottom w:w="28" w:type="dxa"/>
          <w:right w:w="28" w:type="dxa"/>
        </w:tblCellMar>
      </w:tblPr>
      <w:tblGrid>
        <w:gridCol w:w="234"/>
        <w:gridCol w:w="205"/>
        <w:gridCol w:w="207"/>
        <w:gridCol w:w="109"/>
        <w:gridCol w:w="109"/>
        <w:gridCol w:w="109"/>
        <w:gridCol w:w="1371"/>
        <w:gridCol w:w="1128"/>
        <w:gridCol w:w="1140"/>
        <w:gridCol w:w="109"/>
        <w:gridCol w:w="109"/>
        <w:gridCol w:w="109"/>
        <w:gridCol w:w="172"/>
        <w:gridCol w:w="172"/>
        <w:gridCol w:w="173"/>
        <w:gridCol w:w="109"/>
        <w:gridCol w:w="109"/>
        <w:gridCol w:w="109"/>
        <w:gridCol w:w="321"/>
        <w:gridCol w:w="271"/>
        <w:gridCol w:w="273"/>
        <w:gridCol w:w="133"/>
        <w:gridCol w:w="133"/>
        <w:gridCol w:w="133"/>
        <w:gridCol w:w="234"/>
        <w:gridCol w:w="234"/>
        <w:gridCol w:w="206"/>
        <w:gridCol w:w="109"/>
        <w:gridCol w:w="109"/>
        <w:gridCol w:w="109"/>
        <w:gridCol w:w="317"/>
        <w:gridCol w:w="268"/>
        <w:gridCol w:w="217"/>
        <w:gridCol w:w="109"/>
        <w:gridCol w:w="109"/>
        <w:gridCol w:w="109"/>
        <w:gridCol w:w="298"/>
        <w:gridCol w:w="298"/>
        <w:gridCol w:w="432"/>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title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Form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October 5, 2020, by and among the Registrant, Asclepius Merger Sub Inc. and Clover Health Investments,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    </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10/6/2020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Amendment to the Agreement and Plan of Merger, dated as of December 8, 2020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12/10/2020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the Registrant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 xml:space="preserve">Amended and Restated Bylaws of the Registrant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 xml:space="preserve">Specimen Class A Common Stock Certificate of the Registrant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333-249558</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 xml:space="preserve">Specimen Class B Common Stock Certificate of the Registrant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S-4/A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333-249558</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descriptionofsecurities.htm">
              <w:r>
                <w:rPr>
                  <w:rStyle w:val="InternetLink"/>
                  <w:rFonts w:ascii="Times New Roman;sans-serif" w:hAnsi="Times New Roman;sans-serif"/>
                  <w:b w:val="false"/>
                  <w:color w:val="0000FF"/>
                  <w:sz w:val="20"/>
                  <w:u w:val="single"/>
                </w:rPr>
                <w:t>Description of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Form of Indemnification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2014 Equity Incentive Plan, and forms of agreement thereunder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333-249558</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2020 Equity Incentive Plan and forms of agreement thereunder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2020 Employee Stock Purchase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Management Incentive Plan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4">
              <w:r>
                <w:rPr>
                  <w:rStyle w:val="InternetLink"/>
                  <w:rFonts w:ascii="Times New Roman;sans-serif" w:hAnsi="Times New Roman;sans-serif"/>
                  <w:b w:val="false"/>
                  <w:color w:val="0000FF"/>
                  <w:sz w:val="20"/>
                  <w:u w:val="single"/>
                </w:rPr>
                <w:t>Executive Incentive Bonus Plan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20"/>
                  <w:u w:val="single"/>
                </w:rPr>
                <w:t>Non-Employee Director Compensation Policy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6">
              <w:r>
                <w:rPr>
                  <w:rStyle w:val="InternetLink"/>
                  <w:rFonts w:ascii="Times New Roman;sans-serif" w:hAnsi="Times New Roman;sans-serif"/>
                  <w:b w:val="false"/>
                  <w:color w:val="0000FF"/>
                  <w:sz w:val="20"/>
                  <w:u w:val="single"/>
                </w:rPr>
                <w:t>Employment Agreement dated as of December 31, 2020, by and between the Registrant and Vivek Garipalli</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20"/>
                  <w:u w:val="single"/>
                </w:rPr>
                <w:t>Employment Agreement dated as of December 31, 2020, by and between the Registrant and Andrew Toy</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0"/>
                  <w:u w:val="single"/>
                </w:rPr>
                <w:t>Letter Agreement dated as of August 13, 2021, by and between the Registrant and Joseph Wagner</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11/09/2021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20"/>
                  <w:u w:val="single"/>
                </w:rPr>
                <w:t>Agreement for the Provision of Interim Management Services between the Registrant and AP Services, LLC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11/09/2021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exhibit1012.htm">
              <w:r>
                <w:rPr>
                  <w:rStyle w:val="InternetLink"/>
                </w:rPr>
                <w:t>Employment Agreement, effective</w:t>
              </w:r>
            </w:hyperlink>
            <w:hyperlink w:anchor="exhibit1012.htm">
              <w:r>
                <w:rPr>
                  <w:rStyle w:val="InternetLink"/>
                </w:rPr>
                <w:t xml:space="preserve"> as of December </w:t>
              </w:r>
            </w:hyperlink>
            <w:hyperlink w:anchor="exhibit1012.htm">
              <w:r>
                <w:rPr>
                  <w:rStyle w:val="InternetLink"/>
                </w:rPr>
                <w:t>31,</w:t>
              </w:r>
            </w:hyperlink>
            <w:hyperlink w:anchor="exhibit1012.htm">
              <w:r>
                <w:rPr>
                  <w:rStyle w:val="InternetLink"/>
                </w:rPr>
                <w:t xml:space="preserve"> 2021, </w:t>
              </w:r>
            </w:hyperlink>
            <w:hyperlink w:anchor="exhibit1012.htm">
              <w:r>
                <w:rPr>
                  <w:rStyle w:val="InternetLink"/>
                </w:rPr>
                <w:t xml:space="preserve">between the Registrant and Jamie L. </w:t>
              </w:r>
            </w:hyperlink>
            <w:hyperlink w:anchor="exhibit1012.htm">
              <w:r>
                <w:rPr>
                  <w:rStyle w:val="InternetLink"/>
                </w:rPr>
                <w:t>Reynoso</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exhibit1013.htm">
              <w:r>
                <w:rPr>
                  <w:rStyle w:val="InternetLink"/>
                </w:rPr>
                <w:t>Employment Agreement, effective</w:t>
              </w:r>
            </w:hyperlink>
            <w:hyperlink w:anchor="exhibit1013.htm">
              <w:r>
                <w:rPr>
                  <w:rStyle w:val="InternetLink"/>
                </w:rPr>
                <w:t xml:space="preserve"> as of </w:t>
              </w:r>
            </w:hyperlink>
            <w:hyperlink w:anchor="exhibit1013.htm">
              <w:r>
                <w:rPr>
                  <w:rStyle w:val="InternetLink"/>
                </w:rPr>
                <w:t>July 6,</w:t>
              </w:r>
            </w:hyperlink>
            <w:hyperlink w:anchor="exhibit1013.htm">
              <w:r>
                <w:rPr>
                  <w:rStyle w:val="InternetLink"/>
                </w:rPr>
                <w:t xml:space="preserve"> 2021, </w:t>
              </w:r>
            </w:hyperlink>
            <w:hyperlink w:anchor="exhibit1013.htm">
              <w:r>
                <w:rPr>
                  <w:rStyle w:val="InternetLink"/>
                </w:rPr>
                <w:t xml:space="preserve">between the Registrant and Prabhdeep </w:t>
              </w:r>
            </w:hyperlink>
            <w:hyperlink w:anchor="exhibit1013.htm">
              <w:r>
                <w:rPr>
                  <w:rStyle w:val="InternetLink"/>
                </w:rPr>
                <w:t>Singh</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letteragreementdatedjanuar.htm">
              <w:r>
                <w:rPr>
                  <w:rStyle w:val="InternetLink"/>
                  <w:rFonts w:ascii="Times New Roman;sans-serif" w:hAnsi="Times New Roman;sans-serif"/>
                  <w:b w:val="false"/>
                  <w:color w:val="0000FF"/>
                  <w:sz w:val="20"/>
                  <w:u w:val="single"/>
                </w:rPr>
                <w:t>Letter Agreement, dated January 19, 2022, between the Registrant and Gia Lee</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0"/>
                  <w:u w:val="single"/>
                </w:rPr>
                <w:t>List of Subsidiaries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001-39252</w:t>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consentofindependentregist.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12312021-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v:rect>
            </w:pict>
          </mc:Fallback>
        </mc:AlternateContent>
      </w:r>
    </w:p>
    <w:p>
      <w:pPr>
        <w:pStyle w:val="TextBody"/>
        <w:spacing w:before="0" w:after="60"/>
        <w:ind w:left="0" w:right="0" w:hanging="180"/>
        <w:jc w:val="both"/>
        <w:rPr/>
      </w:pPr>
      <w:r>
        <w:rPr/>
      </w:r>
    </w:p>
    <w:tbl>
      <w:tblPr>
        <w:tblW w:w="10205" w:type="dxa"/>
        <w:jc w:val="left"/>
        <w:tblInd w:w="0" w:type="dxa"/>
        <w:tblCellMar>
          <w:top w:w="28" w:type="dxa"/>
          <w:left w:w="28" w:type="dxa"/>
          <w:bottom w:w="28" w:type="dxa"/>
          <w:right w:w="28" w:type="dxa"/>
        </w:tblCellMar>
      </w:tblPr>
      <w:tblGrid>
        <w:gridCol w:w="237"/>
        <w:gridCol w:w="190"/>
        <w:gridCol w:w="191"/>
        <w:gridCol w:w="109"/>
        <w:gridCol w:w="109"/>
        <w:gridCol w:w="109"/>
        <w:gridCol w:w="1979"/>
        <w:gridCol w:w="1979"/>
        <w:gridCol w:w="19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3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12312021-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32.1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12312021-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32.2</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12312021-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Arial;sans-serif" w:hAnsi="Arial;sans-serif"/>
          <w:b w:val="false"/>
          <w:color w:val="000000"/>
          <w:sz w:val="24"/>
        </w:rPr>
      </w:pPr>
      <w:r>
        <w:rPr>
          <w:rFonts w:ascii="Arial;sans-serif" w:hAnsi="Arial;sans-serif"/>
          <w:b w:val="false"/>
          <w:color w:val="000000"/>
          <w:sz w:val="24"/>
        </w:rPr>
        <w:t>_____________</w:t>
      </w:r>
    </w:p>
    <w:p>
      <w:pPr>
        <w:pStyle w:val="TextBody"/>
        <w:spacing w:lineRule="auto" w:line="288" w:before="120" w:after="283"/>
        <w:jc w:val="both"/>
        <w:rPr>
          <w:color w:val="000000"/>
        </w:rPr>
      </w:pPr>
      <w:r>
        <w:rPr>
          <w:color w:val="000000"/>
        </w:rPr>
        <w:t xml:space="preserve">† </w:t>
      </w:r>
      <w:r>
        <w:rPr>
          <w:rFonts w:ascii="Times New Roman;sans-serif" w:hAnsi="Times New Roman;sans-serif"/>
          <w:b w:val="false"/>
          <w:color w:val="000000"/>
          <w:sz w:val="20"/>
        </w:rPr>
        <w:t>Furnished and not filed.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600" w:type="dxa"/>
        <w:jc w:val="left"/>
        <w:tblInd w:w="0" w:type="dxa"/>
        <w:tblCellMar>
          <w:top w:w="28" w:type="dxa"/>
          <w:left w:w="28" w:type="dxa"/>
          <w:bottom w:w="28" w:type="dxa"/>
          <w:right w:w="28" w:type="dxa"/>
        </w:tblCellMar>
      </w:tblPr>
      <w:tblGrid>
        <w:gridCol w:w="754"/>
        <w:gridCol w:w="664"/>
        <w:gridCol w:w="667"/>
        <w:gridCol w:w="462"/>
        <w:gridCol w:w="462"/>
        <w:gridCol w:w="462"/>
        <w:gridCol w:w="622"/>
        <w:gridCol w:w="622"/>
        <w:gridCol w:w="88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5"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Clover Health Investments, Corp.</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13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Vivek Garipalli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71"/>
        <w:gridCol w:w="655"/>
        <w:gridCol w:w="660"/>
        <w:gridCol w:w="2119"/>
        <w:gridCol w:w="2085"/>
        <w:gridCol w:w="2112"/>
        <w:gridCol w:w="524"/>
        <w:gridCol w:w="524"/>
        <w:gridCol w:w="755"/>
      </w:tblGrid>
      <w:tr>
        <w:trPr/>
        <w:tc>
          <w:tcPr>
            <w:tcW w:w="771"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Vivek Garipalli</w:t>
            </w:r>
          </w:p>
        </w:tc>
        <w:tc>
          <w:tcPr>
            <w:tcW w:w="631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 (Principal Executive Officer)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Vivek Garipalli</w:t>
            </w:r>
          </w:p>
        </w:tc>
        <w:tc>
          <w:tcPr>
            <w:tcW w:w="6316" w:type="dxa"/>
            <w:gridSpan w:val="3"/>
            <w:vMerge w:val="continue"/>
            <w:tcBorders/>
            <w:shd w:fill="FFFFFF" w:val="clear"/>
            <w:tcMar>
              <w:top w:w="0" w:type="dxa"/>
              <w:left w:w="0" w:type="dxa"/>
              <w:bottom w:w="0" w:type="dxa"/>
              <w:right w:w="0" w:type="dxa"/>
            </w:tcMar>
            <w:vAlign w:val="center"/>
          </w:tcPr>
          <w:p>
            <w:pPr>
              <w:pStyle w:val="Normal"/>
              <w:rPr/>
            </w:pPr>
            <w:r>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Technology Officer and 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C. Herbers</w:t>
            </w:r>
          </w:p>
        </w:tc>
        <w:tc>
          <w:tcPr>
            <w:tcW w:w="631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 (Principal Financial Officer, and Principal Accounting Officer)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C. Herbers</w:t>
            </w:r>
          </w:p>
        </w:tc>
        <w:tc>
          <w:tcPr>
            <w:tcW w:w="6316" w:type="dxa"/>
            <w:gridSpan w:val="3"/>
            <w:vMerge w:val="continue"/>
            <w:tcBorders/>
            <w:shd w:fill="FFFFFF" w:val="clear"/>
            <w:tcMar>
              <w:top w:w="0" w:type="dxa"/>
              <w:left w:w="0" w:type="dxa"/>
              <w:bottom w:w="0" w:type="dxa"/>
              <w:right w:w="0" w:type="dxa"/>
            </w:tcMar>
            <w:vAlign w:val="center"/>
          </w:tcPr>
          <w:p>
            <w:pPr>
              <w:pStyle w:val="Normal"/>
              <w:rPr/>
            </w:pPr>
            <w:r>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Chelsea Clinton</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Chelsea Clinton</w:t>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Demetrios L. Kouzoukas</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Demetrios L. Kouzoukas</w:t>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Lee A. Shapiro</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Lee A. Shapiro</w:t>
            </w:r>
          </w:p>
        </w:tc>
        <w:tc>
          <w:tcPr>
            <w:tcW w:w="6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Nathaniel S. Turner</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Nathaniel S. Turner</w:t>
            </w:r>
          </w:p>
        </w:tc>
        <w:tc>
          <w:tcPr>
            <w:tcW w:w="6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G. Robinson, Jr.</w:t>
            </w:r>
          </w:p>
        </w:tc>
        <w:tc>
          <w:tcPr>
            <w:tcW w:w="63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William G. Robinson, Jr.</w:t>
            </w:r>
          </w:p>
        </w:tc>
        <w:tc>
          <w:tcPr>
            <w:tcW w:w="63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Exhibit 4.3</w: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DESCRIPTION OF SECURITIES</w:t>
      </w:r>
    </w:p>
    <w:p>
      <w:pPr>
        <w:pStyle w:val="TextBody"/>
        <w:spacing w:before="0" w:after="0"/>
        <w:rPr/>
      </w:pPr>
      <w:r>
        <w:rPr/>
      </w:r>
    </w:p>
    <w:p>
      <w:pPr>
        <w:pStyle w:val="TextBody"/>
        <w:spacing w:lineRule="auto" w:line="309" w:before="0" w:after="0"/>
        <w:ind w:left="0" w:right="0" w:firstLine="297"/>
        <w:jc w:val="both"/>
        <w:rPr/>
      </w:pPr>
      <w:r>
        <w:rPr>
          <w:rFonts w:ascii="Times New Roman;sans-serif" w:hAnsi="Times New Roman;sans-serif"/>
          <w:b w:val="false"/>
          <w:i/>
          <w:color w:val="000000"/>
          <w:sz w:val="22"/>
        </w:rPr>
        <w:t xml:space="preserve">The following summary of the material terms of our securities is not intended to be a complete summary of the rights and preferences of such securities, and is qualified by reference to the amended and restated certificate of incorporation (for purposes of this section, the </w:t>
      </w:r>
      <w:r>
        <w:rPr>
          <w:color w:val="000000"/>
        </w:rPr>
        <w:t>“</w:t>
      </w:r>
      <w:r>
        <w:rPr>
          <w:rFonts w:ascii="Times New Roman;sans-serif" w:hAnsi="Times New Roman;sans-serif"/>
          <w:b w:val="false"/>
          <w:i/>
          <w:color w:val="000000"/>
          <w:sz w:val="22"/>
        </w:rPr>
        <w:t>charter</w:t>
      </w:r>
      <w:r>
        <w:rPr>
          <w:color w:val="000000"/>
        </w:rPr>
        <w:t>”</w:t>
      </w:r>
      <w:r>
        <w:rPr>
          <w:rFonts w:ascii="Times New Roman;sans-serif" w:hAnsi="Times New Roman;sans-serif"/>
          <w:b w:val="false"/>
          <w:i/>
          <w:color w:val="000000"/>
          <w:sz w:val="22"/>
        </w:rPr>
        <w:t xml:space="preserve">) and the amended and restated bylaws (for purposes of this section, the </w:t>
      </w:r>
      <w:r>
        <w:rPr>
          <w:color w:val="000000"/>
        </w:rPr>
        <w:t>“</w:t>
      </w:r>
      <w:r>
        <w:rPr>
          <w:rFonts w:ascii="Times New Roman;sans-serif" w:hAnsi="Times New Roman;sans-serif"/>
          <w:b w:val="false"/>
          <w:i/>
          <w:color w:val="000000"/>
          <w:sz w:val="22"/>
        </w:rPr>
        <w:t>bylaws</w:t>
      </w:r>
      <w:r>
        <w:rPr>
          <w:color w:val="000000"/>
        </w:rPr>
        <w:t>”</w:t>
      </w:r>
      <w:r>
        <w:rPr>
          <w:rFonts w:ascii="Times New Roman;sans-serif" w:hAnsi="Times New Roman;sans-serif"/>
          <w:b w:val="false"/>
          <w:i/>
          <w:color w:val="000000"/>
          <w:sz w:val="22"/>
        </w:rPr>
        <w:t>), each of which is either filed or incorporated by reference as an exhibit to the Annual Report on Form 10-K with which this exhibit is filed, and applicable Delaware law. We urge to you read the charter and bylaws in their entirety for a complete description of the rights and preferences of our securities. References to the "Company," "we," "our," and "us" in this description means Clover Health Investments, Corp.</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Authorized Capitalization</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General</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2"/>
        </w:rPr>
      </w:pPr>
      <w:r>
        <w:rPr>
          <w:rFonts w:ascii="Times New Roman;sans-serif" w:hAnsi="Times New Roman;sans-serif"/>
          <w:b w:val="false"/>
          <w:color w:val="000000"/>
          <w:sz w:val="22"/>
        </w:rPr>
        <w:t>The total amount of our authorized capital stock consists of:</w:t>
      </w:r>
    </w:p>
    <w:p>
      <w:pPr>
        <w:pStyle w:val="TextBody"/>
        <w:spacing w:before="0" w:after="0"/>
        <w:rPr/>
      </w:pPr>
      <w:r>
        <w:rPr/>
      </w:r>
    </w:p>
    <w:p>
      <w:pPr>
        <w:pStyle w:val="TextBody"/>
        <w:spacing w:lineRule="auto" w:line="240" w:before="0" w:after="0"/>
        <w:ind w:left="0" w:right="0" w:hanging="224"/>
        <w:rPr/>
      </w:pPr>
      <w:r>
        <w:rPr>
          <w:color w:val="000000"/>
        </w:rPr>
        <w:t>•</w:t>
      </w:r>
      <w:r>
        <w:rPr>
          <w:rFonts w:ascii="Times New Roman;sans-serif" w:hAnsi="Times New Roman;sans-serif"/>
          <w:b w:val="false"/>
          <w:color w:val="000000"/>
          <w:sz w:val="22"/>
        </w:rPr>
        <w:t>2,500,000,000 shares of our Class A common stock, par value $0.0001 per share;</w:t>
      </w:r>
    </w:p>
    <w:p>
      <w:pPr>
        <w:pStyle w:val="TextBody"/>
        <w:spacing w:before="0" w:after="0"/>
        <w:rPr/>
      </w:pPr>
      <w:r>
        <w:rPr/>
      </w:r>
    </w:p>
    <w:p>
      <w:pPr>
        <w:pStyle w:val="TextBody"/>
        <w:spacing w:lineRule="auto" w:line="240" w:before="0" w:after="0"/>
        <w:ind w:left="0" w:right="0" w:hanging="224"/>
        <w:rPr/>
      </w:pPr>
      <w:r>
        <w:rPr>
          <w:color w:val="000000"/>
        </w:rPr>
        <w:t>•</w:t>
      </w:r>
      <w:r>
        <w:rPr>
          <w:rFonts w:ascii="Times New Roman;sans-serif" w:hAnsi="Times New Roman;sans-serif"/>
          <w:b w:val="false"/>
          <w:color w:val="000000"/>
          <w:sz w:val="22"/>
        </w:rPr>
        <w:t>500,000,000 shares of our Class B common stock, par value $0.0001 per share</w:t>
      </w:r>
    </w:p>
    <w:p>
      <w:pPr>
        <w:pStyle w:val="TextBody"/>
        <w:spacing w:before="0" w:after="0"/>
        <w:rPr/>
      </w:pPr>
      <w:r>
        <w:rPr/>
      </w:r>
    </w:p>
    <w:p>
      <w:pPr>
        <w:pStyle w:val="TextBody"/>
        <w:spacing w:lineRule="auto" w:line="240" w:before="0" w:after="0"/>
        <w:ind w:left="0" w:right="0" w:hanging="224"/>
        <w:rPr/>
      </w:pPr>
      <w:r>
        <w:rPr>
          <w:color w:val="000000"/>
        </w:rPr>
        <w:t>•</w:t>
      </w:r>
      <w:r>
        <w:rPr>
          <w:rFonts w:ascii="Times New Roman;sans-serif" w:hAnsi="Times New Roman;sans-serif"/>
          <w:b w:val="false"/>
          <w:color w:val="000000"/>
          <w:sz w:val="22"/>
        </w:rPr>
        <w:t>25,000,000 shares of our preferred stock, par value $0.0001 per share.</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As of December 31, 2021, there were 352,645,626 shares of our Class A common stock, 118,206,768 shares of our Class B common stock and no shares of our preferred stock outstanding.</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Preferred Stock</w:t>
      </w:r>
    </w:p>
    <w:p>
      <w:pPr>
        <w:pStyle w:val="TextBody"/>
        <w:spacing w:before="0" w:after="0"/>
        <w:rPr/>
      </w:pPr>
      <w:r>
        <w:rPr/>
      </w:r>
    </w:p>
    <w:p>
      <w:pPr>
        <w:pStyle w:val="TextBody"/>
        <w:spacing w:lineRule="auto" w:line="309"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Common Stock</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We have two classes of authorized common stock, Class A common stock and Class B common stock. Unless our board of directors determines otherwise, all of our capital stock will be issued in uncertificated form.</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Voting Rights</w:t>
      </w:r>
    </w:p>
    <w:p>
      <w:pPr>
        <w:pStyle w:val="TextBody"/>
        <w:spacing w:before="0" w:after="0"/>
        <w:rPr/>
      </w:pPr>
      <w:r>
        <w:rPr/>
      </w:r>
    </w:p>
    <w:p>
      <w:pPr>
        <w:pStyle w:val="TextBody"/>
        <w:spacing w:lineRule="auto" w:line="338" w:before="0" w:after="0"/>
        <w:ind w:left="0" w:right="0" w:firstLine="297"/>
        <w:jc w:val="both"/>
        <w:rPr>
          <w:rFonts w:ascii="Times New Roman;sans-serif" w:hAnsi="Times New Roman;sans-serif"/>
          <w:b w:val="false"/>
          <w:color w:val="000000"/>
          <w:sz w:val="22"/>
        </w:rPr>
      </w:pPr>
      <w:r>
        <w:rPr>
          <w:rFonts w:ascii="Times New Roman;sans-serif" w:hAnsi="Times New Roman;sans-serif"/>
          <w:b w:val="false"/>
          <w:color w:val="000000"/>
          <w:sz w:val="22"/>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pStyle w:val="TextBody"/>
        <w:spacing w:before="0" w:after="0"/>
        <w:rPr/>
      </w:pPr>
      <w:r>
        <w:rPr/>
      </w:r>
    </w:p>
    <w:p>
      <w:pPr>
        <w:pStyle w:val="TextBody"/>
        <w:spacing w:lineRule="auto" w:line="336" w:before="0" w:after="0"/>
        <w:ind w:left="0" w:right="0" w:hanging="304"/>
        <w:rPr/>
      </w:pPr>
      <w:r>
        <w:rPr>
          <w:color w:val="000000"/>
        </w:rPr>
        <w:t>•</w:t>
      </w:r>
      <w:r>
        <w:rPr>
          <w:rFonts w:ascii="Times New Roman;sans-serif" w:hAnsi="Times New Roman;sans-serif"/>
          <w:b w:val="false"/>
          <w:color w:val="000000"/>
          <w:sz w:val="22"/>
        </w:rPr>
        <w:t>if we were to seek to amend the charter to increase or decrease the par value of a class of our capital stock, then that class would be required to vote separately to approve the proposed amendment; and</w:t>
      </w:r>
    </w:p>
    <w:p>
      <w:pPr>
        <w:pStyle w:val="TextBody"/>
        <w:spacing w:before="0" w:after="0"/>
        <w:rPr/>
      </w:pPr>
      <w:r>
        <w:rPr/>
      </w:r>
    </w:p>
    <w:p>
      <w:pPr>
        <w:pStyle w:val="TextBody"/>
        <w:spacing w:lineRule="auto" w:line="336" w:before="0" w:after="0"/>
        <w:ind w:left="0" w:right="0" w:hanging="304"/>
        <w:rPr/>
      </w:pPr>
      <w:r>
        <w:rPr>
          <w:color w:val="000000"/>
        </w:rPr>
        <w:t>•</w:t>
      </w:r>
      <w:r>
        <w:rPr>
          <w:rFonts w:ascii="Times New Roman;sans-serif" w:hAnsi="Times New Roman;sans-serif"/>
          <w:b w:val="false"/>
          <w:color w:val="000000"/>
          <w:sz w:val="22"/>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w:t>
      </w:r>
    </w:p>
    <w:p>
      <w:pPr>
        <w:pStyle w:val="TextBody"/>
        <w:spacing w:before="0" w:after="0"/>
        <w:rPr/>
      </w:pPr>
      <w:r>
        <w:rPr/>
      </w:r>
    </w:p>
    <w:p>
      <w:pPr>
        <w:pStyle w:val="TextBody"/>
        <w:spacing w:lineRule="auto" w:line="312"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Conversion</w:t>
      </w:r>
    </w:p>
    <w:p>
      <w:pPr>
        <w:pStyle w:val="TextBody"/>
        <w:spacing w:before="0" w:after="0"/>
        <w:rPr/>
      </w:pPr>
      <w:r>
        <w:rPr/>
      </w:r>
    </w:p>
    <w:p>
      <w:pPr>
        <w:pStyle w:val="TextBody"/>
        <w:spacing w:lineRule="auto" w:line="304"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 Once converted into Class A common stock, the Class B common stock will not be reissued.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pStyle w:val="TextBody"/>
        <w:spacing w:before="0" w:after="0"/>
        <w:rPr/>
      </w:pPr>
      <w:r>
        <w:rPr/>
      </w:r>
    </w:p>
    <w:p>
      <w:pPr>
        <w:pStyle w:val="TextBody"/>
        <w:spacing w:lineRule="auto" w:line="321"/>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 xml:space="preserve">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 control with respect to the shares of Class B Common Stock held by such trust or organization and the transfer to such trust does not involve any payment of cash, securities, property or other consideration (other than an interest in such trust or </w:t>
      </w:r>
      <w:r>
        <w:br w:type="page"/>
      </w:r>
    </w:p>
    <w:p>
      <w:pPr>
        <w:pStyle w:val="TextBody"/>
        <w:spacing w:before="0" w:after="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21" w:before="0" w:after="0"/>
        <w:rPr>
          <w:rFonts w:ascii="Times New Roman;sans-serif" w:hAnsi="Times New Roman;sans-serif"/>
          <w:b w:val="false"/>
          <w:color w:val="000000"/>
          <w:sz w:val="22"/>
        </w:rPr>
      </w:pPr>
      <w:r>
        <w:rPr>
          <w:rFonts w:ascii="Times New Roman;sans-serif" w:hAnsi="Times New Roman;sans-serif"/>
          <w:b w:val="false"/>
          <w:color w:val="000000"/>
          <w:sz w:val="22"/>
        </w:rPr>
        <w:t>organization) to such holder of Class B common stock; and (ix) any immediate family member of such holder of Class B common stock for estate planning purposes.</w:t>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Dividend Rights</w:t>
      </w:r>
    </w:p>
    <w:p>
      <w:pPr>
        <w:pStyle w:val="TextBody"/>
        <w:spacing w:before="0" w:after="0"/>
        <w:rPr/>
      </w:pPr>
      <w:r>
        <w:rPr/>
      </w:r>
    </w:p>
    <w:p>
      <w:pPr>
        <w:pStyle w:val="TextBody"/>
        <w:spacing w:lineRule="auto" w:line="31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Other Rights</w:t>
      </w:r>
    </w:p>
    <w:p>
      <w:pPr>
        <w:pStyle w:val="TextBody"/>
        <w:spacing w:before="0" w:after="0"/>
        <w:rPr/>
      </w:pPr>
      <w:r>
        <w:rPr/>
      </w:r>
    </w:p>
    <w:p>
      <w:pPr>
        <w:pStyle w:val="TextBody"/>
        <w:spacing w:lineRule="auto" w:line="31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pStyle w:val="TextBody"/>
        <w:spacing w:before="0" w:after="0"/>
        <w:rPr/>
      </w:pPr>
      <w:r>
        <w:rPr/>
      </w:r>
    </w:p>
    <w:p>
      <w:pPr>
        <w:pStyle w:val="TextBody"/>
        <w:spacing w:lineRule="auto" w:line="240" w:before="0" w:after="0"/>
        <w:rPr>
          <w:rFonts w:ascii="Times New Roman;sans-serif" w:hAnsi="Times New Roman;sans-serif"/>
          <w:b w:val="false"/>
          <w:i/>
          <w:color w:val="000000"/>
          <w:sz w:val="22"/>
        </w:rPr>
      </w:pPr>
      <w:r>
        <w:rPr>
          <w:rFonts w:ascii="Times New Roman;sans-serif" w:hAnsi="Times New Roman;sans-serif"/>
          <w:b w:val="false"/>
          <w:i/>
          <w:color w:val="000000"/>
          <w:sz w:val="22"/>
        </w:rPr>
        <w:t>Liquidation Rights</w:t>
      </w:r>
    </w:p>
    <w:p>
      <w:pPr>
        <w:pStyle w:val="TextBody"/>
        <w:spacing w:before="0" w:after="0"/>
        <w:rPr/>
      </w:pPr>
      <w:r>
        <w:rPr/>
      </w:r>
    </w:p>
    <w:p>
      <w:pPr>
        <w:pStyle w:val="TextBody"/>
        <w:spacing w:lineRule="auto" w:line="31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Anti-takeover Effects of Delaware Law and our Charter and Bylaws</w:t>
      </w:r>
    </w:p>
    <w:p>
      <w:pPr>
        <w:pStyle w:val="TextBody"/>
        <w:spacing w:before="0" w:after="0"/>
        <w:rPr/>
      </w:pPr>
      <w:r>
        <w:rPr/>
      </w:r>
    </w:p>
    <w:p>
      <w:pPr>
        <w:pStyle w:val="TextBody"/>
        <w:spacing w:lineRule="auto" w:line="338" w:before="0" w:after="0"/>
        <w:ind w:left="0" w:right="0" w:firstLine="297"/>
        <w:jc w:val="both"/>
        <w:rPr>
          <w:rFonts w:ascii="Times New Roman;sans-serif" w:hAnsi="Times New Roman;sans-serif"/>
          <w:b w:val="false"/>
          <w:color w:val="000000"/>
          <w:sz w:val="22"/>
        </w:rPr>
      </w:pPr>
      <w:r>
        <w:rPr>
          <w:rFonts w:ascii="Times New Roman;sans-serif" w:hAnsi="Times New Roman;sans-serif"/>
          <w:b w:val="false"/>
          <w:color w:val="000000"/>
          <w:sz w:val="22"/>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Dual Class Common Stock</w:t>
      </w:r>
    </w:p>
    <w:p>
      <w:pPr>
        <w:pStyle w:val="TextBody"/>
        <w:spacing w:before="0" w:after="0"/>
        <w:rPr/>
      </w:pPr>
      <w:r>
        <w:rPr/>
      </w:r>
    </w:p>
    <w:p>
      <w:pPr>
        <w:pStyle w:val="TextBody"/>
        <w:spacing w:lineRule="auto" w:line="312"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Special Meetings of Stockholders</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Action by Written Consent</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charter provides that any action required or permitted to be taken by our stockholders must be effected at an annual or special meeting of the stockholders, and may not be taken by written consent in lieu of a meeting.</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Staggered Board</w:t>
      </w:r>
    </w:p>
    <w:p>
      <w:pPr>
        <w:pStyle w:val="TextBody"/>
        <w:spacing w:before="0" w:after="0"/>
        <w:rPr/>
      </w:pPr>
      <w:r>
        <w:rPr/>
      </w:r>
    </w:p>
    <w:p>
      <w:pPr>
        <w:pStyle w:val="TextBody"/>
        <w:spacing w:lineRule="auto" w:line="316" w:before="0" w:after="0"/>
        <w:ind w:left="0" w:right="0" w:firstLine="297"/>
        <w:jc w:val="both"/>
        <w:rPr>
          <w:rFonts w:ascii="Times New Roman;sans-serif" w:hAnsi="Times New Roman;sans-serif"/>
          <w:b w:val="false"/>
          <w:color w:val="000000"/>
          <w:sz w:val="22"/>
        </w:rPr>
      </w:pPr>
      <w:r>
        <w:rPr>
          <w:rFonts w:ascii="Times New Roman;sans-serif" w:hAnsi="Times New Roman;sans-serif"/>
          <w:b w:val="false"/>
          <w:color w:val="000000"/>
          <w:sz w:val="22"/>
        </w:rPr>
        <w:t>Our board of directors is divided into three classes. The directors in each class will serve for a three-year term, one class being elected each year by our stockholders. This system of electing and removing directors may tend to discourage a third-party from making a tender offer or otherwise attempting to obtain control of the Company, because it generally makes it more difficult for stockholders to replace a majority of the directors.</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Removal of Directors</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Stockholders Not Entitled to Cumulative Voting</w:t>
      </w:r>
    </w:p>
    <w:p>
      <w:pPr>
        <w:pStyle w:val="TextBody"/>
        <w:spacing w:before="0" w:after="0"/>
        <w:rPr/>
      </w:pPr>
      <w:r>
        <w:rPr/>
      </w:r>
    </w:p>
    <w:p>
      <w:pPr>
        <w:pStyle w:val="TextBody"/>
        <w:spacing w:lineRule="auto" w:line="31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Delaware Anti-takeover Statute</w:t>
      </w:r>
    </w:p>
    <w:p>
      <w:pPr>
        <w:pStyle w:val="TextBody"/>
        <w:spacing w:before="0" w:after="0"/>
        <w:rPr/>
      </w:pPr>
      <w:r>
        <w:rPr/>
      </w:r>
    </w:p>
    <w:p>
      <w:pPr>
        <w:pStyle w:val="TextBody"/>
        <w:spacing w:lineRule="auto" w:line="362"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pStyle w:val="TextBody"/>
        <w:spacing w:before="0" w:after="0"/>
        <w:rPr/>
      </w:pPr>
      <w:r>
        <w:rPr/>
      </w:r>
    </w:p>
    <w:p>
      <w:pPr>
        <w:pStyle w:val="TextBody"/>
        <w:spacing w:lineRule="auto" w:line="240" w:before="0" w:after="0"/>
        <w:rPr>
          <w:rFonts w:ascii="Times New Roman;sans-serif" w:hAnsi="Times New Roman;sans-serif"/>
          <w:b/>
          <w:i/>
          <w:color w:val="000000"/>
          <w:sz w:val="22"/>
        </w:rPr>
      </w:pPr>
      <w:r>
        <w:rPr>
          <w:rFonts w:ascii="Times New Roman;sans-serif" w:hAnsi="Times New Roman;sans-serif"/>
          <w:b/>
          <w:i/>
          <w:color w:val="000000"/>
          <w:sz w:val="22"/>
        </w:rPr>
        <w:t>Issuance of undesignated preferred stock</w:t>
      </w:r>
    </w:p>
    <w:p>
      <w:pPr>
        <w:pStyle w:val="TextBody"/>
        <w:spacing w:before="0" w:after="0"/>
        <w:rPr/>
      </w:pPr>
      <w:r>
        <w:rPr/>
      </w:r>
    </w:p>
    <w:p>
      <w:pPr>
        <w:pStyle w:val="TextBody"/>
        <w:spacing w:lineRule="auto" w:line="348" w:before="0" w:after="0"/>
        <w:ind w:left="0" w:right="0" w:firstLine="297"/>
        <w:jc w:val="both"/>
        <w:rPr>
          <w:rFonts w:ascii="Times New Roman;sans-serif" w:hAnsi="Times New Roman;sans-serif"/>
          <w:b w:val="false"/>
          <w:color w:val="000000"/>
          <w:sz w:val="22"/>
        </w:rPr>
      </w:pPr>
      <w:r>
        <w:rPr>
          <w:rFonts w:ascii="Times New Roman;sans-serif" w:hAnsi="Times New Roman;sans-serif"/>
          <w:b w:val="false"/>
          <w:color w:val="000000"/>
          <w:sz w:val="22"/>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Choice of Forum</w:t>
      </w:r>
    </w:p>
    <w:p>
      <w:pPr>
        <w:pStyle w:val="TextBody"/>
        <w:spacing w:before="0" w:after="0"/>
        <w:rPr/>
      </w:pPr>
      <w:r>
        <w:rPr/>
      </w:r>
    </w:p>
    <w:p>
      <w:pPr>
        <w:pStyle w:val="TextBody"/>
        <w:spacing w:lineRule="auto" w:line="302"/>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 xml:space="preserve">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w:t>
      </w:r>
      <w:r>
        <w:br w:type="page"/>
      </w:r>
    </w:p>
    <w:p>
      <w:pPr>
        <w:pStyle w:val="TextBody"/>
        <w:spacing w:before="0" w:after="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302" w:before="0" w:after="0"/>
        <w:rPr>
          <w:rFonts w:ascii="Times New Roman;sans-serif" w:hAnsi="Times New Roman;sans-serif"/>
          <w:b w:val="false"/>
          <w:color w:val="000000"/>
          <w:sz w:val="22"/>
        </w:rPr>
      </w:pPr>
      <w:r>
        <w:rPr>
          <w:rFonts w:ascii="Times New Roman;sans-serif" w:hAnsi="Times New Roman;sans-serif"/>
          <w:b w:val="false"/>
          <w:color w:val="000000"/>
          <w:sz w:val="22"/>
        </w:rPr>
        <w:t>district courts of the United States of America will be the exclusive forum for resolving any complaint asserting a cause of action arising under the Securities Act.</w:t>
      </w:r>
    </w:p>
    <w:p>
      <w:pPr>
        <w:pStyle w:val="TextBody"/>
        <w:spacing w:before="0" w:after="0"/>
        <w:rPr/>
      </w:pPr>
      <w:r>
        <w:rPr/>
      </w:r>
    </w:p>
    <w:p>
      <w:pPr>
        <w:pStyle w:val="TextBody"/>
        <w:spacing w:lineRule="auto" w:line="240" w:before="0" w:after="0"/>
        <w:rPr>
          <w:rFonts w:ascii="Times New Roman;sans-serif" w:hAnsi="Times New Roman;sans-serif"/>
          <w:b/>
          <w:color w:val="000000"/>
          <w:sz w:val="22"/>
        </w:rPr>
      </w:pPr>
      <w:r>
        <w:rPr>
          <w:rFonts w:ascii="Times New Roman;sans-serif" w:hAnsi="Times New Roman;sans-serif"/>
          <w:b/>
          <w:color w:val="000000"/>
          <w:sz w:val="22"/>
        </w:rPr>
        <w:t>Transfer Agent</w:t>
      </w:r>
    </w:p>
    <w:p>
      <w:pPr>
        <w:pStyle w:val="TextBody"/>
        <w:spacing w:before="0" w:after="0"/>
        <w:rPr/>
      </w:pPr>
      <w:r>
        <w:rPr/>
      </w:r>
    </w:p>
    <w:p>
      <w:pPr>
        <w:pStyle w:val="TextBody"/>
        <w:spacing w:lineRule="auto" w:line="336" w:before="0" w:after="0"/>
        <w:ind w:left="0" w:right="0" w:firstLine="297"/>
        <w:rPr>
          <w:rFonts w:ascii="Times New Roman;sans-serif" w:hAnsi="Times New Roman;sans-serif"/>
          <w:b w:val="false"/>
          <w:color w:val="000000"/>
          <w:sz w:val="22"/>
        </w:rPr>
      </w:pPr>
      <w:r>
        <w:rPr>
          <w:rFonts w:ascii="Times New Roman;sans-serif" w:hAnsi="Times New Roman;sans-serif"/>
          <w:b w:val="false"/>
          <w:color w:val="000000"/>
          <w:sz w:val="22"/>
        </w:rPr>
        <w:t>The transfer agent and registrar for our Class A common stock is Continental Stock Transfer &amp; Trust Company. The transfer agent and registrar’s telephone number and address is (212) 509-4000 and 1 State Street, 30th Floor, New York, NY 10004.</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before="8" w:after="283"/>
        <w:rPr>
          <w:rFonts w:ascii="Arial;sans-serif" w:hAnsi="Arial;sans-serif"/>
          <w:b/>
          <w:color w:val="000000"/>
          <w:sz w:val="20"/>
        </w:rPr>
      </w:pPr>
      <w:r>
        <w:rPr>
          <w:rFonts w:ascii="Arial;sans-serif" w:hAnsi="Arial;sans-serif"/>
          <w:b/>
          <w:color w:val="000000"/>
          <w:sz w:val="20"/>
        </w:rPr>
        <w:t>Exhibit 10.12</w:t>
      </w:r>
    </w:p>
    <w:p>
      <w:pPr>
        <w:pStyle w:val="TextBody"/>
        <w:spacing w:before="0" w:after="0"/>
        <w:rPr/>
      </w:pPr>
      <w:r>
        <w:rPr/>
      </w:r>
    </w:p>
    <w:p>
      <w:pPr>
        <w:pStyle w:val="TextBody"/>
        <w:spacing w:before="0" w:after="0"/>
        <w:rPr/>
      </w:pPr>
      <w:r>
        <w:rPr/>
      </w:r>
    </w:p>
    <w:p>
      <w:pPr>
        <w:pStyle w:val="TextBody"/>
        <w:spacing w:lineRule="auto" w:line="276" w:before="93" w:after="283"/>
        <w:rPr>
          <w:rFonts w:ascii="Arial;sans-serif" w:hAnsi="Arial;sans-serif"/>
          <w:b w:val="false"/>
          <w:color w:val="000000"/>
          <w:sz w:val="22"/>
          <w:u w:val="single"/>
        </w:rPr>
      </w:pPr>
      <w:r>
        <w:rPr>
          <w:rFonts w:ascii="Arial;sans-serif" w:hAnsi="Arial;sans-serif"/>
          <w:b w:val="false"/>
          <w:color w:val="000000"/>
          <w:sz w:val="22"/>
          <w:u w:val="single"/>
        </w:rPr>
        <w:t>CONFIDENTIAL</w:t>
      </w:r>
    </w:p>
    <w:p>
      <w:pPr>
        <w:pStyle w:val="TextBody"/>
        <w:spacing w:lineRule="auto" w:line="276" w:before="0" w:after="0"/>
        <w:rPr>
          <w:rFonts w:ascii="Arial;sans-serif" w:hAnsi="Arial;sans-serif"/>
          <w:b w:val="false"/>
          <w:color w:val="000000"/>
          <w:sz w:val="22"/>
        </w:rPr>
      </w:pPr>
      <w:r>
        <w:rPr>
          <w:rFonts w:ascii="Arial;sans-serif" w:hAnsi="Arial;sans-serif"/>
          <w:b w:val="false"/>
          <w:color w:val="000000"/>
          <w:sz w:val="22"/>
        </w:rPr>
        <w:t>December 17, 2021</w:t>
      </w:r>
    </w:p>
    <w:p>
      <w:pPr>
        <w:pStyle w:val="TextBody"/>
        <w:spacing w:before="1" w:after="283"/>
        <w:rPr/>
      </w:pPr>
      <w:r>
        <w:rPr/>
      </w:r>
    </w:p>
    <w:p>
      <w:pPr>
        <w:pStyle w:val="TextBody"/>
        <w:spacing w:lineRule="auto" w:line="240" w:before="0" w:after="0"/>
        <w:rPr>
          <w:rFonts w:ascii="Arial;sans-serif" w:hAnsi="Arial;sans-serif"/>
          <w:b w:val="false"/>
          <w:color w:val="000000"/>
          <w:sz w:val="22"/>
        </w:rPr>
      </w:pPr>
      <w:r>
        <w:rPr>
          <w:rFonts w:ascii="Arial;sans-serif" w:hAnsi="Arial;sans-serif"/>
          <w:b w:val="false"/>
          <w:color w:val="000000"/>
          <w:sz w:val="22"/>
        </w:rPr>
        <w:t>Clover Health Investments, Corp. 725 Cool Springs Blvd, Suite 300</w:t>
      </w:r>
    </w:p>
    <w:p>
      <w:pPr>
        <w:pStyle w:val="TextBody"/>
        <w:spacing w:lineRule="auto" w:line="240" w:before="39" w:after="283"/>
        <w:rPr>
          <w:rFonts w:ascii="Arial;sans-serif" w:hAnsi="Arial;sans-serif"/>
          <w:b w:val="false"/>
          <w:color w:val="000000"/>
          <w:sz w:val="22"/>
        </w:rPr>
      </w:pPr>
      <w:r>
        <w:rPr>
          <w:rFonts w:ascii="Arial;sans-serif" w:hAnsi="Arial;sans-serif"/>
          <w:b w:val="false"/>
          <w:color w:val="000000"/>
          <w:sz w:val="22"/>
        </w:rPr>
        <w:t>Franklin, Tennessee 37067</w:t>
      </w:r>
    </w:p>
    <w:p>
      <w:pPr>
        <w:pStyle w:val="TextBody"/>
        <w:spacing w:before="3" w:after="283"/>
        <w:rPr/>
      </w:pPr>
      <w:r>
        <w:rPr/>
      </w:r>
    </w:p>
    <w:p>
      <w:pPr>
        <w:pStyle w:val="TextBody"/>
        <w:spacing w:lineRule="auto" w:line="240" w:before="0" w:after="0"/>
        <w:rPr/>
      </w:pPr>
      <w:r>
        <w:rPr>
          <w:rFonts w:ascii="Arial;sans-serif" w:hAnsi="Arial;sans-serif"/>
          <w:b/>
          <w:color w:val="000000"/>
          <w:sz w:val="22"/>
        </w:rPr>
        <w:t>Re:    </w:t>
      </w:r>
      <w:r>
        <w:rPr>
          <w:rFonts w:ascii="Arial;sans-serif" w:hAnsi="Arial;sans-serif"/>
          <w:b/>
          <w:color w:val="000000"/>
          <w:sz w:val="22"/>
          <w:u w:val="single"/>
        </w:rPr>
        <w:t>EMPLOYMENT AGREEMENT</w:t>
      </w:r>
    </w:p>
    <w:p>
      <w:pPr>
        <w:pStyle w:val="TextBody"/>
        <w:spacing w:before="0" w:after="0"/>
        <w:rPr/>
      </w:pPr>
      <w:r>
        <w:rPr/>
      </w:r>
    </w:p>
    <w:p>
      <w:pPr>
        <w:pStyle w:val="TextBody"/>
        <w:spacing w:before="5" w:after="283"/>
        <w:rPr/>
      </w:pPr>
      <w:r>
        <w:rPr/>
        <w:drawing>
          <wp:inline distT="0" distB="63500" distL="0" distR="0">
            <wp:extent cx="5943600" cy="14605"/>
            <wp:effectExtent l="0" t="0" r="0" b="0"/>
            <wp:docPr id="17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2" descr=""/>
                    <pic:cNvPicPr>
                      <a:picLocks noChangeAspect="1" noChangeArrowheads="1"/>
                    </pic:cNvPicPr>
                  </pic:nvPicPr>
                  <pic:blipFill>
                    <a:blip r:embed="rId21"/>
                    <a:stretch>
                      <a:fillRect/>
                    </a:stretch>
                  </pic:blipFill>
                  <pic:spPr bwMode="auto">
                    <a:xfrm>
                      <a:off x="0" y="0"/>
                      <a:ext cx="5943600" cy="14605"/>
                    </a:xfrm>
                    <a:prstGeom prst="rect">
                      <a:avLst/>
                    </a:prstGeom>
                  </pic:spPr>
                </pic:pic>
              </a:graphicData>
            </a:graphic>
          </wp:inline>
        </w:drawing>
      </w:r>
    </w:p>
    <w:p>
      <w:pPr>
        <w:pStyle w:val="TextBody"/>
        <w:spacing w:before="11" w:after="283"/>
        <w:rPr/>
      </w:pPr>
      <w:r>
        <w:rPr/>
      </w:r>
    </w:p>
    <w:p>
      <w:pPr>
        <w:pStyle w:val="TextBody"/>
        <w:spacing w:lineRule="auto" w:line="240" w:before="93" w:after="283"/>
        <w:jc w:val="both"/>
        <w:rPr>
          <w:rFonts w:ascii="Arial;sans-serif" w:hAnsi="Arial;sans-serif"/>
          <w:b w:val="false"/>
          <w:color w:val="000000"/>
          <w:sz w:val="22"/>
        </w:rPr>
      </w:pPr>
      <w:r>
        <w:rPr>
          <w:rFonts w:ascii="Arial;sans-serif" w:hAnsi="Arial;sans-serif"/>
          <w:b w:val="false"/>
          <w:color w:val="000000"/>
          <w:sz w:val="22"/>
        </w:rPr>
        <w:t>Dear Jamie Reynoso,</w:t>
      </w:r>
    </w:p>
    <w:p>
      <w:pPr>
        <w:pStyle w:val="TextBody"/>
        <w:spacing w:before="0" w:after="0"/>
        <w:rPr/>
      </w:pPr>
      <w:r>
        <w:rPr/>
      </w:r>
    </w:p>
    <w:p>
      <w:pPr>
        <w:pStyle w:val="TextBody"/>
        <w:spacing w:before="4" w:after="283"/>
        <w:rPr/>
      </w:pPr>
      <w:r>
        <w:rPr/>
      </w:r>
    </w:p>
    <w:p>
      <w:pPr>
        <w:pStyle w:val="TextBody"/>
        <w:spacing w:lineRule="auto" w:line="319" w:before="0" w:after="0"/>
        <w:jc w:val="both"/>
        <w:rPr/>
      </w:pPr>
      <w:r>
        <w:rPr>
          <w:rFonts w:ascii="Arial;sans-serif" w:hAnsi="Arial;sans-serif"/>
          <w:b w:val="false"/>
          <w:color w:val="000000"/>
          <w:sz w:val="22"/>
        </w:rPr>
        <w:t>This Employment Agreement (the “</w:t>
      </w:r>
      <w:r>
        <w:rPr>
          <w:rFonts w:ascii="Arial;sans-serif" w:hAnsi="Arial;sans-serif"/>
          <w:b/>
          <w:i/>
          <w:color w:val="000000"/>
          <w:sz w:val="22"/>
        </w:rPr>
        <w:t>Agreement</w:t>
      </w:r>
      <w:r>
        <w:rPr>
          <w:color w:val="000000"/>
        </w:rPr>
        <w:t>”</w:t>
      </w:r>
      <w:r>
        <w:rPr>
          <w:rFonts w:ascii="Arial;sans-serif" w:hAnsi="Arial;sans-serif"/>
          <w:b w:val="false"/>
          <w:color w:val="000000"/>
          <w:sz w:val="22"/>
        </w:rPr>
        <w:t>) between you (referred to hereinafter as the “</w:t>
      </w:r>
      <w:r>
        <w:rPr>
          <w:rFonts w:ascii="Arial;sans-serif" w:hAnsi="Arial;sans-serif"/>
          <w:b/>
          <w:i/>
          <w:color w:val="000000"/>
          <w:sz w:val="22"/>
        </w:rPr>
        <w:t>Executive</w:t>
      </w:r>
      <w:r>
        <w:rPr>
          <w:color w:val="000000"/>
        </w:rPr>
        <w:t>”</w:t>
      </w:r>
      <w:r>
        <w:rPr>
          <w:rFonts w:ascii="Arial;sans-serif" w:hAnsi="Arial;sans-serif"/>
          <w:b w:val="false"/>
          <w:color w:val="000000"/>
          <w:sz w:val="22"/>
        </w:rPr>
        <w:t>) and Clover Health Labs, LLC (the “</w:t>
      </w:r>
      <w:r>
        <w:rPr>
          <w:rFonts w:ascii="Arial;sans-serif" w:hAnsi="Arial;sans-serif"/>
          <w:b/>
          <w:i/>
          <w:color w:val="000000"/>
          <w:sz w:val="22"/>
        </w:rPr>
        <w:t>Company</w:t>
      </w:r>
      <w:r>
        <w:rPr>
          <w:color w:val="000000"/>
        </w:rPr>
        <w:t>”</w:t>
      </w:r>
      <w:r>
        <w:rPr>
          <w:rFonts w:ascii="Arial;sans-serif" w:hAnsi="Arial;sans-serif"/>
          <w:b w:val="false"/>
          <w:color w:val="000000"/>
          <w:sz w:val="22"/>
        </w:rPr>
        <w:t>) sets forth the terms and conditions that shall govern Executive’s employment with the Company (referred to hereinafter as “</w:t>
      </w:r>
      <w:r>
        <w:rPr>
          <w:rFonts w:ascii="Arial;sans-serif" w:hAnsi="Arial;sans-serif"/>
          <w:b/>
          <w:i/>
          <w:color w:val="000000"/>
          <w:sz w:val="22"/>
        </w:rPr>
        <w:t>Employment</w:t>
      </w:r>
      <w:r>
        <w:rPr>
          <w:color w:val="000000"/>
        </w:rPr>
        <w:t xml:space="preserve">” </w:t>
      </w:r>
      <w:r>
        <w:rPr>
          <w:rFonts w:ascii="Arial;sans-serif" w:hAnsi="Arial;sans-serif"/>
          <w:b w:val="false"/>
          <w:color w:val="000000"/>
          <w:sz w:val="22"/>
        </w:rPr>
        <w:t>or the “</w:t>
      </w:r>
      <w:r>
        <w:rPr>
          <w:rFonts w:ascii="Arial;sans-serif" w:hAnsi="Arial;sans-serif"/>
          <w:b/>
          <w:i/>
          <w:color w:val="000000"/>
          <w:sz w:val="22"/>
        </w:rPr>
        <w:t>Employment Period</w:t>
      </w:r>
      <w:r>
        <w:rPr>
          <w:color w:val="000000"/>
        </w:rPr>
        <w:t>”</w:t>
      </w:r>
      <w:r>
        <w:rPr>
          <w:rFonts w:ascii="Arial;sans-serif" w:hAnsi="Arial;sans-serif"/>
          <w:b w:val="false"/>
          <w:color w:val="000000"/>
          <w:sz w:val="22"/>
        </w:rPr>
        <w:t>), effective as of December 31, 2021.</w:t>
      </w:r>
    </w:p>
    <w:p>
      <w:pPr>
        <w:pStyle w:val="TextBody"/>
        <w:spacing w:before="7" w:after="283"/>
        <w:rPr/>
      </w:pPr>
      <w:r>
        <w:rPr/>
      </w:r>
    </w:p>
    <w:p>
      <w:pPr>
        <w:pStyle w:val="TextBody"/>
        <w:spacing w:lineRule="auto" w:line="240" w:before="1" w:after="283"/>
        <w:ind w:left="0" w:right="0" w:hanging="361"/>
        <w:rPr/>
      </w:pPr>
      <w:r>
        <w:rPr>
          <w:rFonts w:ascii="Arial;sans-serif" w:hAnsi="Arial;sans-serif"/>
          <w:b w:val="false"/>
          <w:color w:val="000000"/>
          <w:sz w:val="22"/>
        </w:rPr>
        <w:t>1.</w:t>
      </w:r>
      <w:r>
        <w:rPr>
          <w:rFonts w:ascii="Arial;sans-serif" w:hAnsi="Arial;sans-serif"/>
          <w:b/>
          <w:color w:val="000000"/>
          <w:sz w:val="22"/>
          <w:u w:val="single"/>
        </w:rPr>
        <w:t>Duties and Scope of Employment</w:t>
      </w:r>
      <w:r>
        <w:rPr>
          <w:rFonts w:ascii="Arial;sans-serif" w:hAnsi="Arial;sans-serif"/>
          <w:b/>
          <w:color w:val="000000"/>
          <w:sz w:val="22"/>
        </w:rPr>
        <w:t>.</w:t>
      </w:r>
    </w:p>
    <w:p>
      <w:pPr>
        <w:pStyle w:val="TextBody"/>
        <w:spacing w:before="11" w:after="283"/>
        <w:rPr/>
      </w:pPr>
      <w:r>
        <w:rPr/>
      </w:r>
    </w:p>
    <w:p>
      <w:pPr>
        <w:pStyle w:val="TextBody"/>
        <w:spacing w:lineRule="auto" w:line="319" w:before="94" w:after="283"/>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At-Will Employment</w:t>
      </w:r>
      <w:r>
        <w:rPr>
          <w:rFonts w:ascii="Arial;sans-serif" w:hAnsi="Arial;sans-serif"/>
          <w:b w:val="false"/>
          <w:color w:val="000000"/>
          <w:sz w:val="22"/>
        </w:rPr>
        <w:t>. Executive’s Employment with the Company is for no specified period and constitutes “at 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pStyle w:val="TextBody"/>
        <w:spacing w:lineRule="auto" w:line="319" w:before="202"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Position and Responsibilities</w:t>
      </w:r>
      <w:r>
        <w:rPr>
          <w:rFonts w:ascii="Arial;sans-serif" w:hAnsi="Arial;sans-serif"/>
          <w:b/>
          <w:color w:val="000000"/>
          <w:sz w:val="22"/>
        </w:rPr>
        <w:t xml:space="preserve">. </w:t>
      </w:r>
      <w:r>
        <w:rPr>
          <w:rFonts w:ascii="Arial;sans-serif" w:hAnsi="Arial;sans-serif"/>
          <w:b w:val="false"/>
          <w:color w:val="000000"/>
          <w:sz w:val="22"/>
        </w:rPr>
        <w:t xml:space="preserve">During the Employment Period, the Company agrees to employ Executive in the position of Chief Operating Officer. Executive will report to the Company’s </w:t>
      </w:r>
      <w:r>
        <w:rPr>
          <w:rFonts w:ascii="Arial;sans-serif" w:hAnsi="Arial;sans-serif"/>
          <w:b w:val="false"/>
          <w:color w:val="212121"/>
          <w:sz w:val="22"/>
        </w:rPr>
        <w:t>Chief Executive Officer</w:t>
      </w:r>
      <w:r>
        <w:rPr>
          <w:rFonts w:ascii="Arial;sans-serif" w:hAnsi="Arial;sans-serif"/>
          <w:b w:val="false"/>
          <w:color w:val="000000"/>
          <w:sz w:val="22"/>
        </w:rPr>
        <w:t>, or to such other Person as the Company subsequently may determine (Executive’s “</w:t>
      </w:r>
      <w:r>
        <w:rPr>
          <w:rFonts w:ascii="Arial;sans-serif" w:hAnsi="Arial;sans-serif"/>
          <w:b/>
          <w:i/>
          <w:color w:val="000000"/>
          <w:sz w:val="22"/>
        </w:rPr>
        <w:t>Supervisor</w:t>
      </w:r>
      <w:r>
        <w:rPr>
          <w:color w:val="000000"/>
        </w:rPr>
        <w:t>”</w:t>
      </w:r>
      <w:r>
        <w:rPr>
          <w:rFonts w:ascii="Arial;sans-serif" w:hAnsi="Arial;sans-serif"/>
          <w:b w:val="false"/>
          <w:color w:val="000000"/>
          <w:sz w:val="22"/>
        </w:rPr>
        <w:t>), and Executive will be working remotely and based out of Texas. Executive will perform the duties and have the responsibilities and authority customarily performed and held by an employee in Executive’s position or as otherwise may be assigned or delegated to Executive by Executive’s Supervisor.</w:t>
      </w:r>
    </w:p>
    <w:p>
      <w:pPr>
        <w:pStyle w:val="TextBody"/>
        <w:spacing w:lineRule="auto" w:line="319" w:before="201" w:after="283"/>
        <w:ind w:left="0" w:right="0" w:hanging="360"/>
        <w:jc w:val="both"/>
        <w:rPr/>
      </w:pPr>
      <w:r>
        <w:rPr>
          <w:rFonts w:ascii="Arial;sans-serif" w:hAnsi="Arial;sans-serif"/>
          <w:b w:val="false"/>
          <w:color w:val="000000"/>
          <w:sz w:val="22"/>
        </w:rPr>
        <w:t>c.</w:t>
      </w:r>
      <w:r>
        <w:rPr>
          <w:rFonts w:ascii="Arial;sans-serif" w:hAnsi="Arial;sans-serif"/>
          <w:b/>
          <w:color w:val="000000"/>
          <w:sz w:val="22"/>
          <w:u w:val="single"/>
        </w:rPr>
        <w:t>Obligations to the Company</w:t>
      </w:r>
      <w:r>
        <w:rPr>
          <w:rFonts w:ascii="Arial;sans-serif" w:hAnsi="Arial;sans-serif"/>
          <w:b/>
          <w:color w:val="000000"/>
          <w:sz w:val="22"/>
        </w:rPr>
        <w:t xml:space="preserve">. </w:t>
      </w:r>
      <w:r>
        <w:rPr>
          <w:rFonts w:ascii="Arial;sans-serif" w:hAnsi="Arial;sans-serif"/>
          <w:b w:val="false"/>
          <w:color w:val="000000"/>
          <w:sz w:val="22"/>
        </w:rPr>
        <w:t>During the Employment Period, Executive shall perform Executive’s duties faithfully and to the best of Executive’s ability and will devote Executive’s full business efforts and time to the Company. During the Employment Period, without the prior written approval of the Conflicts Committee, Executive shall not render services in any capacity to any other Person and shall not act as a sole proprietor, advisor or partner of any other Person or own more than five percent (5%) of the stock of any other corporation. Notwithstanding the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88925"/>
                <wp:effectExtent l="0" t="0" r="0" b="0"/>
                <wp:wrapNone/>
                <wp:docPr id="172" name="Frame170"/>
                <a:graphic xmlns:a="http://schemas.openxmlformats.org/drawingml/2006/main">
                  <a:graphicData uri="http://schemas.microsoft.com/office/word/2010/wordprocessingShape">
                    <wps:wsp>
                      <wps:cNvSpPr txBox="1"/>
                      <wps:spPr>
                        <a:xfrm>
                          <a:off x="0" y="0"/>
                          <a:ext cx="6480175" cy="288925"/>
                        </a:xfrm>
                        <a:prstGeom prst="rect"/>
                      </wps:spPr>
                      <wps:txbx>
                        <w:txbxContent>
                          <w:p>
                            <w:pPr>
                              <w:pStyle w:val="TextBody"/>
                              <w:spacing w:lineRule="auto" w:line="192" w:before="0" w:after="0"/>
                              <w:rPr>
                                <w:rFonts w:ascii="Arial;sans-serif" w:hAnsi="Arial;sans-serif"/>
                                <w:b w:val="false"/>
                                <w:color w:val="000000"/>
                                <w:sz w:val="22"/>
                              </w:rPr>
                            </w:pPr>
                            <w:r>
                              <w:rPr>
                                <w:rFonts w:ascii="Arial;sans-serif" w:hAnsi="Arial;sans-serif"/>
                                <w:b w:val="false"/>
                                <w:color w:val="000000"/>
                                <w:sz w:val="22"/>
                              </w:rPr>
                              <w:t>Clover Health. November 4, 2021</w:t>
                            </w:r>
                          </w:p>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192" w:before="0" w:after="0"/>
                        <w:rPr>
                          <w:rFonts w:ascii="Arial;sans-serif" w:hAnsi="Arial;sans-serif"/>
                          <w:b w:val="false"/>
                          <w:color w:val="000000"/>
                          <w:sz w:val="22"/>
                        </w:rPr>
                      </w:pPr>
                      <w:r>
                        <w:rPr>
                          <w:rFonts w:ascii="Arial;sans-serif" w:hAnsi="Arial;sans-serif"/>
                          <w:b w:val="false"/>
                          <w:color w:val="000000"/>
                          <w:sz w:val="22"/>
                        </w:rPr>
                        <w:t>Clover Health. November 4, 2021</w:t>
                      </w:r>
                    </w:p>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w:t>
                      </w:r>
                    </w:p>
                  </w:txbxContent>
                </v:textbox>
              </v:rect>
            </w:pict>
          </mc:Fallback>
        </mc:AlternateContent>
      </w:r>
    </w:p>
    <w:p>
      <w:pPr>
        <w:pStyle w:val="TextBody"/>
        <w:spacing w:lineRule="auto" w:line="319" w:before="0" w:after="0"/>
        <w:jc w:val="both"/>
        <w:rPr>
          <w:rFonts w:ascii="Arial;sans-serif" w:hAnsi="Arial;sans-serif"/>
          <w:b w:val="false"/>
          <w:color w:val="000000"/>
          <w:sz w:val="22"/>
        </w:rPr>
      </w:pPr>
      <w:r>
        <w:rPr>
          <w:rFonts w:ascii="Arial;sans-serif" w:hAnsi="Arial;sans-serif"/>
          <w:b w:val="false"/>
          <w:color w:val="000000"/>
          <w:sz w:val="22"/>
        </w:rPr>
        <w:t>foregoing, Executive may serve on civic or charitable boards or committees, deliver lectures, fulfill speaking engagements, teach at educational institutions, or manage personal investments without advance written consent of the Conflicts Committee;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(i) that Executive is not subject to any non-compete or other covenant that would restrict Executive’s ability to work for the Company and (ii) that Executive has returned all property and confidential information belonging to any prior employer.</w:t>
      </w:r>
    </w:p>
    <w:p>
      <w:pPr>
        <w:pStyle w:val="TextBody"/>
        <w:spacing w:lineRule="auto" w:line="240" w:before="199" w:after="283"/>
        <w:ind w:left="0" w:right="0" w:hanging="361"/>
        <w:rPr/>
      </w:pPr>
      <w:r>
        <w:rPr>
          <w:rFonts w:ascii="Arial;sans-serif" w:hAnsi="Arial;sans-serif"/>
          <w:b w:val="false"/>
          <w:color w:val="000000"/>
          <w:sz w:val="22"/>
        </w:rPr>
        <w:t>2.</w:t>
      </w:r>
      <w:r>
        <w:rPr>
          <w:rFonts w:ascii="Arial;sans-serif" w:hAnsi="Arial;sans-serif"/>
          <w:b/>
          <w:color w:val="000000"/>
          <w:sz w:val="22"/>
          <w:u w:val="single"/>
        </w:rPr>
        <w:t>Cash and Incentive Compensation</w:t>
      </w:r>
      <w:r>
        <w:rPr>
          <w:rFonts w:ascii="Arial;sans-serif" w:hAnsi="Arial;sans-serif"/>
          <w:b/>
          <w:color w:val="000000"/>
          <w:sz w:val="22"/>
        </w:rPr>
        <w:t>.</w:t>
      </w:r>
    </w:p>
    <w:p>
      <w:pPr>
        <w:pStyle w:val="TextBody"/>
        <w:spacing w:before="9" w:after="283"/>
        <w:rPr/>
      </w:pPr>
      <w:r>
        <w:rPr/>
      </w:r>
    </w:p>
    <w:p>
      <w:pPr>
        <w:pStyle w:val="TextBody"/>
        <w:spacing w:lineRule="auto" w:line="319" w:before="0" w:after="0"/>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Base Salary</w:t>
      </w:r>
      <w:r>
        <w:rPr>
          <w:rFonts w:ascii="Arial;sans-serif" w:hAnsi="Arial;sans-serif"/>
          <w:b/>
          <w:color w:val="000000"/>
          <w:sz w:val="22"/>
        </w:rPr>
        <w:t xml:space="preserve">. </w:t>
      </w:r>
      <w:r>
        <w:rPr>
          <w:rFonts w:ascii="Arial;sans-serif" w:hAnsi="Arial;sans-serif"/>
          <w:b w:val="false"/>
          <w:color w:val="000000"/>
          <w:sz w:val="22"/>
        </w:rPr>
        <w:t>The Company shall pay Executive, as compensation for Executive’s services, a base salary at a gross annual rate of $425,000,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sans-serif" w:hAnsi="Arial;sans-serif"/>
          <w:b/>
          <w:i/>
          <w:color w:val="000000"/>
          <w:sz w:val="22"/>
        </w:rPr>
        <w:t>Base Salary</w:t>
      </w:r>
      <w:r>
        <w:rPr>
          <w:rFonts w:ascii="Arial;sans-serif" w:hAnsi="Arial;sans-serif"/>
          <w:b w:val="false"/>
          <w:color w:val="000000"/>
          <w:sz w:val="22"/>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pStyle w:val="TextBody"/>
        <w:spacing w:lineRule="auto" w:line="319" w:before="201"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Cash Incentive Bonus</w:t>
      </w:r>
      <w:r>
        <w:rPr>
          <w:rFonts w:ascii="Arial;sans-serif" w:hAnsi="Arial;sans-serif"/>
          <w:b/>
          <w:color w:val="000000"/>
          <w:sz w:val="22"/>
        </w:rPr>
        <w:t xml:space="preserve">. </w:t>
      </w:r>
      <w:r>
        <w:rPr>
          <w:rFonts w:ascii="Arial;sans-serif" w:hAnsi="Arial;sans-serif"/>
          <w:b w:val="false"/>
          <w:color w:val="000000"/>
          <w:sz w:val="22"/>
        </w:rPr>
        <w:t>Executive will be eligible to be considered for an annual cash incentive bonus (the “</w:t>
      </w:r>
      <w:r>
        <w:rPr>
          <w:rFonts w:ascii="Arial;sans-serif" w:hAnsi="Arial;sans-serif"/>
          <w:b/>
          <w:i/>
          <w:color w:val="000000"/>
          <w:sz w:val="22"/>
        </w:rPr>
        <w:t>Cash Bonus</w:t>
      </w:r>
      <w:r>
        <w:rPr>
          <w:color w:val="000000"/>
        </w:rPr>
        <w:t>”</w:t>
      </w:r>
      <w:r>
        <w:rPr>
          <w:rFonts w:ascii="Arial;sans-serif" w:hAnsi="Arial;sans-serif"/>
          <w:b w:val="false"/>
          <w:color w:val="000000"/>
          <w:sz w:val="22"/>
        </w:rPr>
        <w:t>) each calendar year during the Employment Period (the “</w:t>
      </w:r>
      <w:r>
        <w:rPr>
          <w:rFonts w:ascii="Arial;sans-serif" w:hAnsi="Arial;sans-serif"/>
          <w:b/>
          <w:i/>
          <w:color w:val="000000"/>
          <w:sz w:val="22"/>
        </w:rPr>
        <w:t>Performance Period</w:t>
      </w:r>
      <w:r>
        <w:rPr>
          <w:color w:val="000000"/>
        </w:rPr>
        <w:t>”</w:t>
      </w:r>
      <w:r>
        <w:rPr>
          <w:rFonts w:ascii="Arial;sans-serif" w:hAnsi="Arial;sans-serif"/>
          <w:b w:val="false"/>
          <w:color w:val="000000"/>
          <w:sz w:val="22"/>
        </w:rPr>
        <w:t>) based upon the achievement of certain objective or subjective criteria (collectively, the “</w:t>
      </w:r>
      <w:r>
        <w:rPr>
          <w:rFonts w:ascii="Arial;sans-serif" w:hAnsi="Arial;sans-serif"/>
          <w:b/>
          <w:i/>
          <w:color w:val="000000"/>
          <w:sz w:val="22"/>
        </w:rPr>
        <w:t>Performance Goals</w:t>
      </w:r>
      <w:r>
        <w:rPr>
          <w:color w:val="000000"/>
        </w:rPr>
        <w:t>”</w:t>
      </w:r>
      <w:r>
        <w:rPr>
          <w:rFonts w:ascii="Arial;sans-serif" w:hAnsi="Arial;sans-serif"/>
          <w:b w:val="false"/>
          <w:color w:val="000000"/>
          <w:sz w:val="22"/>
        </w:rPr>
        <w:t>). In compliance with all relevant legal requirements and based on Executive’s level within the Company, the Performance Goals for Executive’s Cash Bonus for a particular year will be established by, and in the sole discretion of, the Company’s Board of Directors (the “</w:t>
      </w:r>
      <w:r>
        <w:rPr>
          <w:rFonts w:ascii="Arial;sans-serif" w:hAnsi="Arial;sans-serif"/>
          <w:b/>
          <w:i/>
          <w:color w:val="000000"/>
          <w:sz w:val="22"/>
        </w:rPr>
        <w:t>Board</w:t>
      </w:r>
      <w:r>
        <w:rPr>
          <w:color w:val="000000"/>
        </w:rPr>
        <w:t>”</w:t>
      </w:r>
      <w:r>
        <w:rPr>
          <w:rFonts w:ascii="Arial;sans-serif" w:hAnsi="Arial;sans-serif"/>
          <w:b w:val="false"/>
          <w:color w:val="000000"/>
          <w:sz w:val="22"/>
        </w:rPr>
        <w:t>), any Compensation Committee of the Board (the “</w:t>
      </w:r>
      <w:r>
        <w:rPr>
          <w:rFonts w:ascii="Arial;sans-serif" w:hAnsi="Arial;sans-serif"/>
          <w:b/>
          <w:i/>
          <w:color w:val="000000"/>
          <w:sz w:val="22"/>
        </w:rPr>
        <w:t>Committee</w:t>
      </w:r>
      <w:r>
        <w:rPr>
          <w:color w:val="000000"/>
        </w:rPr>
        <w:t>”</w:t>
      </w:r>
      <w:r>
        <w:rPr>
          <w:rFonts w:ascii="Arial;sans-serif" w:hAnsi="Arial;sans-serif"/>
          <w:b w:val="false"/>
          <w:color w:val="000000"/>
          <w:sz w:val="22"/>
        </w:rPr>
        <w:t>), or a delegate of either the Board or the Committee (the “</w:t>
      </w:r>
      <w:r>
        <w:rPr>
          <w:rFonts w:ascii="Arial;sans-serif" w:hAnsi="Arial;sans-serif"/>
          <w:b/>
          <w:i/>
          <w:color w:val="000000"/>
          <w:sz w:val="22"/>
        </w:rPr>
        <w:t>Delegate</w:t>
      </w:r>
      <w:r>
        <w:rPr>
          <w:color w:val="000000"/>
        </w:rPr>
        <w:t>”</w:t>
      </w:r>
      <w:r>
        <w:rPr>
          <w:rFonts w:ascii="Arial;sans-serif" w:hAnsi="Arial;sans-serif"/>
          <w:b w:val="false"/>
          <w:color w:val="000000"/>
          <w:sz w:val="22"/>
        </w:rPr>
        <w:t>), as applicable. The initial target amount for any such Cash Bonus will be up to 60% of Executive’s Base Salary (the “</w:t>
      </w:r>
      <w:r>
        <w:rPr>
          <w:rFonts w:ascii="Arial;sans-serif" w:hAnsi="Arial;sans-serif"/>
          <w:b/>
          <w:i/>
          <w:color w:val="000000"/>
          <w:sz w:val="22"/>
        </w:rPr>
        <w:t>Target Bonus Percentage</w:t>
      </w:r>
      <w:r>
        <w:rPr>
          <w:color w:val="000000"/>
        </w:rPr>
        <w:t>”</w:t>
      </w:r>
      <w:r>
        <w:rPr>
          <w:rFonts w:ascii="Arial;sans-serif" w:hAnsi="Arial;sans-serif"/>
          <w:b w:val="false"/>
          <w:color w:val="000000"/>
          <w:sz w:val="22"/>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sole discretion of the Board, the Committee or the Delegate, as applicable. Executive shall not earn a Cash Bonus unless Executive (i) has been employed by the Company for a minimum of three (3) months of the Performance Period and</w:t>
      </w:r>
    </w:p>
    <w:p>
      <w:pPr>
        <w:pStyle w:val="TextBody"/>
        <w:spacing w:lineRule="auto" w:line="240" w:before="1" w:after="283"/>
        <w:jc w:val="both"/>
        <w:rPr>
          <w:rFonts w:ascii="Arial;sans-serif" w:hAnsi="Arial;sans-serif"/>
          <w:b w:val="false"/>
          <w:color w:val="000000"/>
          <w:sz w:val="22"/>
        </w:rPr>
      </w:pPr>
      <w:r>
        <w:rPr>
          <w:rFonts w:ascii="Arial;sans-serif" w:hAnsi="Arial;sans-serif"/>
          <w:b w:val="false"/>
          <w:color w:val="000000"/>
          <w:sz w:val="22"/>
        </w:rPr>
        <w:t>(ii) is employed by and in good standing with the Company on the date when such</w:t>
      </w:r>
      <w:r>
        <w:br w:type="page"/>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68350"/>
                <wp:effectExtent l="0" t="0" r="0" b="0"/>
                <wp:wrapNone/>
                <wp:docPr id="173" name="Frame171"/>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2</w:t>
                            </w:r>
                          </w:p>
                        </w:tc>
                      </w:tr>
                    </w:tbl>
                    <w:p>
                      <w:pPr>
                        <w:pStyle w:val="TextBody"/>
                        <w:spacing w:before="0" w:after="283"/>
                        <w:rPr/>
                      </w:pPr>
                      <w:r>
                        <w:rPr/>
                      </w:r>
                    </w:p>
                  </w:txbxContent>
                </v:textbox>
              </v:rect>
            </w:pict>
          </mc:Fallback>
        </mc:AlternateContent>
      </w:r>
    </w:p>
    <w:p>
      <w:pPr>
        <w:pStyle w:val="TextBody"/>
        <w:spacing w:lineRule="auto" w:line="319" w:before="0" w:after="0"/>
        <w:jc w:val="both"/>
        <w:rPr>
          <w:rFonts w:ascii="Arial;sans-serif" w:hAnsi="Arial;sans-serif"/>
          <w:b w:val="false"/>
          <w:color w:val="000000"/>
          <w:sz w:val="22"/>
        </w:rPr>
      </w:pPr>
      <w:r>
        <w:rPr>
          <w:rFonts w:ascii="Arial;sans-serif" w:hAnsi="Arial;sans-serif"/>
          <w:b w:val="false"/>
          <w:color w:val="000000"/>
          <w:sz w:val="22"/>
        </w:rPr>
        <w:t>Cash Bonus is actually paid by the Company. If Executive has not been 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w:t>
      </w:r>
    </w:p>
    <w:p>
      <w:pPr>
        <w:pStyle w:val="TextBody"/>
        <w:spacing w:lineRule="auto" w:line="319" w:before="0" w:after="0"/>
        <w:ind w:left="0" w:right="0" w:hanging="360"/>
        <w:jc w:val="both"/>
        <w:rPr/>
      </w:pPr>
      <w:r>
        <w:rPr>
          <w:rFonts w:ascii="Arial;sans-serif" w:hAnsi="Arial;sans-serif"/>
          <w:b w:val="false"/>
          <w:color w:val="000000"/>
          <w:sz w:val="22"/>
        </w:rPr>
        <w:t>c.</w:t>
      </w:r>
      <w:r>
        <w:rPr>
          <w:rFonts w:ascii="Arial;sans-serif" w:hAnsi="Arial;sans-serif"/>
          <w:b/>
          <w:color w:val="000000"/>
          <w:sz w:val="22"/>
          <w:u w:val="single"/>
        </w:rPr>
        <w:t>Annual Restricted Stock Units</w:t>
      </w:r>
      <w:r>
        <w:rPr>
          <w:rFonts w:ascii="Arial;sans-serif" w:hAnsi="Arial;sans-serif"/>
          <w:b w:val="false"/>
          <w:color w:val="000000"/>
          <w:sz w:val="22"/>
        </w:rPr>
        <w:t>. Executive will be eligible to be considered for an annual grant of restricted stock units (the “</w:t>
      </w:r>
      <w:r>
        <w:rPr>
          <w:rFonts w:ascii="Arial;sans-serif" w:hAnsi="Arial;sans-serif"/>
          <w:b/>
          <w:color w:val="000000"/>
          <w:sz w:val="22"/>
        </w:rPr>
        <w:t>Annual RSU Award</w:t>
      </w:r>
      <w:r>
        <w:rPr>
          <w:color w:val="000000"/>
        </w:rPr>
        <w:t>”</w:t>
      </w:r>
      <w:r>
        <w:rPr>
          <w:rFonts w:ascii="Arial;sans-serif" w:hAnsi="Arial;sans-serif"/>
          <w:b w:val="false"/>
          <w:color w:val="000000"/>
          <w:sz w:val="22"/>
        </w:rPr>
        <w:t>) each calendar year during the Performance Period based upon the achievement of certain objective or subjective criteria (collectively, the “</w:t>
      </w:r>
      <w:r>
        <w:rPr>
          <w:rFonts w:ascii="Arial;sans-serif" w:hAnsi="Arial;sans-serif"/>
          <w:b/>
          <w:i/>
          <w:color w:val="000000"/>
          <w:sz w:val="22"/>
        </w:rPr>
        <w:t>Performance Goals</w:t>
      </w:r>
      <w:r>
        <w:rPr>
          <w:color w:val="000000"/>
        </w:rPr>
        <w:t>”</w:t>
      </w:r>
      <w:r>
        <w:rPr>
          <w:rFonts w:ascii="Arial;sans-serif" w:hAnsi="Arial;sans-serif"/>
          <w:b w:val="false"/>
          <w:color w:val="000000"/>
          <w:sz w:val="22"/>
        </w:rPr>
        <w:t>). For purposes of clarity, the Performance Goals for the Annual RSU Award may differ from the Performance Goals for the Cash Bonus. In compliance with all relevant legal requirements and based on Executive’s level within the Company, the Performance Goals for Executive’s Annual RSU Award for a particular year will be established by, and in the sole discretion of, the Board, the Committee, or a delegate of either the Board or the Committee (the “</w:t>
      </w:r>
      <w:r>
        <w:rPr>
          <w:rFonts w:ascii="Arial;sans-serif" w:hAnsi="Arial;sans-serif"/>
          <w:b/>
          <w:i/>
          <w:color w:val="000000"/>
          <w:sz w:val="22"/>
        </w:rPr>
        <w:t>Delegate</w:t>
      </w:r>
      <w:r>
        <w:rPr>
          <w:color w:val="000000"/>
        </w:rPr>
        <w:t>”</w:t>
      </w:r>
      <w:r>
        <w:rPr>
          <w:rFonts w:ascii="Arial;sans-serif" w:hAnsi="Arial;sans-serif"/>
          <w:b w:val="false"/>
          <w:color w:val="000000"/>
          <w:sz w:val="22"/>
        </w:rPr>
        <w:t>), as applicable. The initial target amount for the Annual RSU Award for calendar year 2021 was the number of restricted stock units with a RSU Cash Value of $2,100,000 of the Company’s [Class A] common stock. The number of shares subject to the Annual RSU Award was determined by dividing the RSU Cash Value by the average closing price of a share of the Company’s Class A Common Stock for the ninety trading days ending on the trading day prior to the date of grant. Subject to any vesting acceleration rights Executive may have, the Annual RSU Award shall vest and become payable over four (4) years from the date of grant in equal annual installments over the four (4) years on the anniversary of the grant date, subject to Executive continuing to provide services to the Company through the relevant vesting dates. The Annual RSU Award will be subject to the terms, definitions and provisions of the Company’s 2020 Equity Plan and the restricted stock unit agreement by and between Executive and the Company (the “</w:t>
      </w:r>
      <w:r>
        <w:rPr>
          <w:rFonts w:ascii="Arial;sans-serif" w:hAnsi="Arial;sans-serif"/>
          <w:b/>
          <w:i/>
          <w:color w:val="000000"/>
          <w:sz w:val="22"/>
        </w:rPr>
        <w:t>RSU Agreement</w:t>
      </w:r>
      <w:r>
        <w:rPr>
          <w:color w:val="000000"/>
        </w:rPr>
        <w:t>”</w:t>
      </w:r>
      <w:r>
        <w:rPr>
          <w:rFonts w:ascii="Arial;sans-serif" w:hAnsi="Arial;sans-serif"/>
          <w:b w:val="false"/>
          <w:color w:val="000000"/>
          <w:sz w:val="22"/>
        </w:rPr>
        <w:t>), both of which documents are incorporated herein by reference. Executive will be eligible for future Annual RSU Awards under the Equity Plan and the amount of such award shall be adjusted up or down, as determined in the sole discretion of the Board, the Committee or the Delegate, as applicable.</w:t>
      </w:r>
    </w:p>
    <w:p>
      <w:pPr>
        <w:pStyle w:val="TextBody"/>
        <w:spacing w:lineRule="auto" w:line="321" w:before="0" w:after="0"/>
        <w:ind w:left="0" w:right="0" w:hanging="360"/>
        <w:jc w:val="both"/>
        <w:rPr/>
      </w:pPr>
      <w:r>
        <w:rPr>
          <w:rFonts w:ascii="Arial;sans-serif" w:hAnsi="Arial;sans-serif"/>
          <w:b w:val="false"/>
          <w:color w:val="000000"/>
          <w:sz w:val="22"/>
        </w:rPr>
        <w:t>d.</w:t>
      </w:r>
      <w:r>
        <w:rPr>
          <w:rFonts w:ascii="Arial;sans-serif" w:hAnsi="Arial;sans-serif"/>
          <w:b/>
          <w:color w:val="000000"/>
          <w:sz w:val="22"/>
          <w:u w:val="single"/>
        </w:rPr>
        <w:t>Equity Based Performance Award</w:t>
      </w:r>
      <w:r>
        <w:rPr>
          <w:rFonts w:ascii="Arial;sans-serif" w:hAnsi="Arial;sans-serif"/>
          <w:b/>
          <w:color w:val="000000"/>
          <w:sz w:val="22"/>
        </w:rPr>
        <w:t xml:space="preserve">. </w:t>
      </w:r>
      <w:r>
        <w:rPr>
          <w:rFonts w:ascii="Arial;sans-serif" w:hAnsi="Arial;sans-serif"/>
          <w:b w:val="false"/>
          <w:color w:val="000000"/>
          <w:sz w:val="22"/>
        </w:rPr>
        <w:t>Executive will also be eligible for an equity- based performance award if certain criteria are met. The amount and terms of this equity-based performance award will be laid out in the Notice of Restricted Stock Unit Grant, which is incorporated herein in by reference.</w:t>
      </w:r>
    </w:p>
    <w:p>
      <w:pPr>
        <w:pStyle w:val="TextBody"/>
        <w:spacing w:lineRule="auto" w:line="319" w:before="191" w:after="283"/>
        <w:ind w:left="0" w:right="0" w:hanging="360"/>
        <w:jc w:val="both"/>
        <w:rPr/>
      </w:pPr>
      <w:r>
        <w:rPr>
          <w:rFonts w:ascii="Arial;sans-serif" w:hAnsi="Arial;sans-serif"/>
          <w:b w:val="false"/>
          <w:color w:val="000000"/>
          <w:sz w:val="22"/>
        </w:rPr>
        <w:t>3.</w:t>
      </w:r>
      <w:r>
        <w:rPr>
          <w:rFonts w:ascii="Arial;sans-serif" w:hAnsi="Arial;sans-serif"/>
          <w:b/>
          <w:color w:val="000000"/>
          <w:sz w:val="22"/>
          <w:u w:val="single"/>
        </w:rPr>
        <w:t>Employee Benefits</w:t>
      </w:r>
      <w:r>
        <w:rPr>
          <w:rFonts w:ascii="Arial;sans-serif" w:hAnsi="Arial;sans-serif"/>
          <w:b/>
          <w:color w:val="000000"/>
          <w:sz w:val="22"/>
        </w:rPr>
        <w:t xml:space="preserve">. </w:t>
      </w:r>
      <w:r>
        <w:rPr>
          <w:rFonts w:ascii="Arial;sans-serif" w:hAnsi="Arial;sans-serif"/>
          <w:b w:val="false"/>
          <w:color w:val="000000"/>
          <w:sz w:val="22"/>
        </w:rPr>
        <w:t>During the Employment Period, Executive shall be eligible to (a) receive paid time off (“</w:t>
      </w:r>
      <w:r>
        <w:rPr>
          <w:rFonts w:ascii="Arial;sans-serif" w:hAnsi="Arial;sans-serif"/>
          <w:b/>
          <w:i/>
          <w:color w:val="000000"/>
          <w:sz w:val="22"/>
        </w:rPr>
        <w:t>PTO</w:t>
      </w:r>
      <w:r>
        <w:rPr>
          <w:color w:val="000000"/>
        </w:rPr>
        <w:t>”</w:t>
      </w:r>
      <w:r>
        <w:rPr>
          <w:rFonts w:ascii="Arial;sans-serif" w:hAnsi="Arial;sans-serif"/>
          <w:b w:val="false"/>
          <w:color w:val="000000"/>
          <w:sz w:val="22"/>
        </w:rPr>
        <w:t>) in accordance with the Company’s PTO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pStyle w:val="TextBody"/>
        <w:spacing w:before="7" w:after="283"/>
        <w:rPr/>
      </w:pPr>
      <w:r>
        <w:rPr/>
      </w:r>
    </w:p>
    <w:p>
      <w:pPr>
        <w:pStyle w:val="TextBody"/>
        <w:spacing w:lineRule="auto" w:line="319" w:before="0" w:after="0"/>
        <w:ind w:left="0" w:right="0" w:hanging="360"/>
        <w:jc w:val="both"/>
        <w:rPr/>
      </w:pPr>
      <w:r>
        <w:rPr>
          <w:rFonts w:ascii="Arial;sans-serif" w:hAnsi="Arial;sans-serif"/>
          <w:b w:val="false"/>
          <w:color w:val="000000"/>
          <w:sz w:val="22"/>
        </w:rPr>
        <w:t>4.</w:t>
      </w:r>
      <w:r>
        <w:rPr>
          <w:rFonts w:ascii="Arial;sans-serif" w:hAnsi="Arial;sans-serif"/>
          <w:b/>
          <w:color w:val="000000"/>
          <w:sz w:val="22"/>
          <w:u w:val="single"/>
        </w:rPr>
        <w:t>Business Expenses</w:t>
      </w:r>
      <w:r>
        <w:rPr>
          <w:rFonts w:ascii="Arial;sans-serif" w:hAnsi="Arial;sans-serif"/>
          <w:b/>
          <w:color w:val="000000"/>
          <w:sz w:val="22"/>
        </w:rPr>
        <w:t xml:space="preserve">. </w:t>
      </w:r>
      <w:r>
        <w:rPr>
          <w:rFonts w:ascii="Arial;sans-serif" w:hAnsi="Arial;sans-serif"/>
          <w:b w:val="false"/>
          <w:color w:val="000000"/>
          <w:sz w:val="22"/>
        </w:rPr>
        <w:t xml:space="preserve">The Company will reimburse Executive for necessary and reasonable business expenses incurred in connection with Executive’s duties hereunder </w:t>
      </w:r>
      <w:r>
        <w:br w:type="page"/>
      </w:r>
    </w:p>
    <w:p>
      <w:pPr>
        <w:pStyle w:val="TextBody"/>
        <w:spacing w:before="0" w:after="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68350"/>
                <wp:effectExtent l="0" t="0" r="0" b="0"/>
                <wp:wrapNone/>
                <wp:docPr id="174" name="Frame172"/>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3</w:t>
                            </w:r>
                          </w:p>
                        </w:tc>
                      </w:tr>
                    </w:tbl>
                    <w:p>
                      <w:pPr>
                        <w:pStyle w:val="TextBody"/>
                        <w:spacing w:before="0" w:after="283"/>
                        <w:rPr/>
                      </w:pPr>
                      <w:r>
                        <w:rPr/>
                      </w:r>
                    </w:p>
                  </w:txbxContent>
                </v:textbox>
              </v:rect>
            </w:pict>
          </mc:Fallback>
        </mc:AlternateContent>
      </w:r>
    </w:p>
    <w:p>
      <w:pPr>
        <w:pStyle w:val="TextBody"/>
        <w:spacing w:lineRule="auto" w:line="319" w:before="0" w:after="0"/>
        <w:jc w:val="both"/>
        <w:rPr>
          <w:rFonts w:ascii="Arial;sans-serif" w:hAnsi="Arial;sans-serif"/>
          <w:b w:val="false"/>
          <w:color w:val="000000"/>
          <w:sz w:val="22"/>
        </w:rPr>
      </w:pPr>
      <w:r>
        <w:rPr>
          <w:rFonts w:ascii="Arial;sans-serif" w:hAnsi="Arial;sans-serif"/>
          <w:b w:val="false"/>
          <w:color w:val="000000"/>
          <w:sz w:val="22"/>
        </w:rPr>
        <w:t>upon presentation of an itemized account and appropriate supporting documentation, all in accordance with the Company’s generally applicable expense reimbursement policies as in effect from to time.</w:t>
      </w:r>
    </w:p>
    <w:p>
      <w:pPr>
        <w:pStyle w:val="TextBody"/>
        <w:spacing w:lineRule="auto" w:line="319" w:before="204" w:after="283"/>
        <w:ind w:left="0" w:right="0" w:hanging="360"/>
        <w:jc w:val="both"/>
        <w:rPr/>
      </w:pPr>
      <w:r>
        <w:rPr>
          <w:rFonts w:ascii="Arial;sans-serif" w:hAnsi="Arial;sans-serif"/>
          <w:b w:val="false"/>
          <w:color w:val="000000"/>
          <w:sz w:val="22"/>
        </w:rPr>
        <w:t>5.</w:t>
      </w:r>
      <w:r>
        <w:rPr>
          <w:rFonts w:ascii="Arial;sans-serif" w:hAnsi="Arial;sans-serif"/>
          <w:b/>
          <w:color w:val="000000"/>
          <w:sz w:val="22"/>
          <w:u w:val="single"/>
        </w:rPr>
        <w:t>Rights Upon Termination</w:t>
      </w:r>
      <w:r>
        <w:rPr>
          <w:rFonts w:ascii="Arial;sans-serif" w:hAnsi="Arial;sans-serif"/>
          <w:b/>
          <w:color w:val="000000"/>
          <w:sz w:val="22"/>
        </w:rPr>
        <w:t xml:space="preserve">. </w:t>
      </w:r>
      <w:r>
        <w:rPr>
          <w:rFonts w:ascii="Arial;sans-serif" w:hAnsi="Arial;sans-serif"/>
          <w:b w:val="false"/>
          <w:color w:val="000000"/>
          <w:sz w:val="22"/>
        </w:rPr>
        <w:t>Except as expressly provided in Section 6, upon the termination of Executive’s Employment, 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w:t>
      </w:r>
      <w:r>
        <w:rPr>
          <w:rFonts w:ascii="Arial;sans-serif" w:hAnsi="Arial;sans-serif"/>
          <w:b/>
          <w:i/>
          <w:color w:val="000000"/>
          <w:sz w:val="22"/>
        </w:rPr>
        <w:t>Accrued Benefits</w:t>
      </w:r>
      <w:r>
        <w:rPr>
          <w:color w:val="000000"/>
        </w:rPr>
        <w:t>”</w:t>
      </w:r>
      <w:r>
        <w:rPr>
          <w:rFonts w:ascii="Arial;sans-serif" w:hAnsi="Arial;sans-serif"/>
          <w:b w:val="false"/>
          <w:color w:val="000000"/>
          <w:sz w:val="22"/>
        </w:rPr>
        <w:t>). The Accrued Benefits described in clauses (i) and (ii) of the preceding sentence shall be paid within thirty (30) days after the date of termination of Executive’s Employment (or such earlier date as may be required by applicable law) and the Accrued Benefits described in clause</w:t>
      </w:r>
    </w:p>
    <w:p>
      <w:pPr>
        <w:pStyle w:val="TextBody"/>
        <w:spacing w:lineRule="auto" w:line="321" w:before="0" w:after="0"/>
        <w:jc w:val="both"/>
        <w:rPr>
          <w:rFonts w:ascii="Arial;sans-serif" w:hAnsi="Arial;sans-serif"/>
          <w:b w:val="false"/>
          <w:color w:val="000000"/>
          <w:sz w:val="22"/>
        </w:rPr>
      </w:pPr>
      <w:r>
        <w:rPr>
          <w:rFonts w:ascii="Arial;sans-serif" w:hAnsi="Arial;sans-serif"/>
          <w:b w:val="false"/>
          <w:color w:val="000000"/>
          <w:sz w:val="22"/>
        </w:rPr>
        <w:t>(iii) of the preceding sentence shall be paid in accordance with the terms of the governing plan, policy or arrangement.</w:t>
      </w:r>
    </w:p>
    <w:p>
      <w:pPr>
        <w:pStyle w:val="TextBody"/>
        <w:spacing w:lineRule="auto" w:line="240" w:before="195" w:after="283"/>
        <w:ind w:left="0" w:right="0" w:hanging="361"/>
        <w:rPr/>
      </w:pPr>
      <w:r>
        <w:rPr>
          <w:rFonts w:ascii="Arial;sans-serif" w:hAnsi="Arial;sans-serif"/>
          <w:b w:val="false"/>
          <w:color w:val="000000"/>
          <w:sz w:val="22"/>
        </w:rPr>
        <w:t>6.</w:t>
      </w:r>
      <w:r>
        <w:rPr>
          <w:rFonts w:ascii="Arial;sans-serif" w:hAnsi="Arial;sans-serif"/>
          <w:b/>
          <w:color w:val="000000"/>
          <w:sz w:val="22"/>
          <w:u w:val="single"/>
        </w:rPr>
        <w:t>Termination Benefits.</w:t>
      </w:r>
    </w:p>
    <w:p>
      <w:pPr>
        <w:pStyle w:val="TextBody"/>
        <w:spacing w:before="7" w:after="283"/>
        <w:rPr/>
      </w:pPr>
      <w:r>
        <w:rPr/>
      </w:r>
    </w:p>
    <w:p>
      <w:pPr>
        <w:pStyle w:val="TextBody"/>
        <w:spacing w:lineRule="auto" w:line="319" w:before="0" w:after="0"/>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Termination without Cause outside of Change in Control Protection Period</w:t>
      </w:r>
      <w:r>
        <w:rPr>
          <w:rFonts w:ascii="Arial;sans-serif" w:hAnsi="Arial;sans-serif"/>
          <w:b w:val="false"/>
          <w:color w:val="000000"/>
          <w:sz w:val="22"/>
        </w:rPr>
        <w:t>. If the Company (or any parent, subsidiary or successor of the Company) terminates Executive’s employment with the Company for a reason other than (i) Cause, (ii) Executive becoming Disabled or (iii) Executive’s death, in each case, outside of the Change in Control Protection Period, then, subject to Section 7 (other than with respect to the Accrued Benefits), Executive will be entitled to the following:</w:t>
      </w:r>
    </w:p>
    <w:p>
      <w:pPr>
        <w:pStyle w:val="TextBody"/>
        <w:spacing w:lineRule="auto" w:line="319" w:before="203" w:after="283"/>
        <w:ind w:left="0" w:right="0" w:hanging="471"/>
        <w:jc w:val="both"/>
        <w:rPr/>
      </w:pPr>
      <w:r>
        <w:rPr>
          <w:rFonts w:ascii="Arial;sans-serif" w:hAnsi="Arial;sans-serif"/>
          <w:b w:val="false"/>
          <w:color w:val="000000"/>
          <w:sz w:val="22"/>
        </w:rPr>
        <w:t>i.</w:t>
      </w:r>
      <w:r>
        <w:rPr>
          <w:rFonts w:ascii="Arial;sans-serif" w:hAnsi="Arial;sans-serif"/>
          <w:b w:val="false"/>
          <w:color w:val="000000"/>
          <w:sz w:val="22"/>
          <w:u w:val="single"/>
        </w:rPr>
        <w:t>Accrued Compensation</w:t>
      </w:r>
      <w:r>
        <w:rPr>
          <w:rFonts w:ascii="Arial;sans-serif" w:hAnsi="Arial;sans-serif"/>
          <w:b w:val="false"/>
          <w:color w:val="000000"/>
          <w:sz w:val="22"/>
        </w:rPr>
        <w:t>. The Company will pay Executive all Accrued Benefits.</w:t>
      </w:r>
    </w:p>
    <w:p>
      <w:pPr>
        <w:pStyle w:val="TextBody"/>
        <w:spacing w:lineRule="auto" w:line="319" w:before="200" w:after="283"/>
        <w:ind w:left="0" w:right="0" w:hanging="519"/>
        <w:jc w:val="both"/>
        <w:rPr/>
      </w:pPr>
      <w:r>
        <w:rPr>
          <w:rFonts w:ascii="Arial;sans-serif" w:hAnsi="Arial;sans-serif"/>
          <w:b w:val="false"/>
          <w:color w:val="000000"/>
          <w:sz w:val="22"/>
        </w:rPr>
        <w:t>ii.</w:t>
      </w:r>
      <w:r>
        <w:rPr>
          <w:rFonts w:ascii="Arial;sans-serif" w:hAnsi="Arial;sans-serif"/>
          <w:b w:val="false"/>
          <w:color w:val="000000"/>
          <w:sz w:val="22"/>
          <w:u w:val="single"/>
        </w:rPr>
        <w:t>Severance Payment</w:t>
      </w:r>
      <w:r>
        <w:rPr>
          <w:rFonts w:ascii="Arial;sans-serif" w:hAnsi="Arial;sans-serif"/>
          <w:b w:val="false"/>
          <w:color w:val="000000"/>
          <w:sz w:val="22"/>
        </w:rPr>
        <w:t>. In exchange for Executive timely signing and not revoking the Release in accordance with the terms therein and in this Agreement, Executive will receive semi-monthly continuing payments of severance pay at a rate equal to Executive’s Base Salary, as then in effect, for twelve months (the “</w:t>
      </w:r>
      <w:r>
        <w:rPr>
          <w:rFonts w:ascii="Arial;sans-serif" w:hAnsi="Arial;sans-serif"/>
          <w:b/>
          <w:i/>
          <w:color w:val="000000"/>
          <w:sz w:val="22"/>
        </w:rPr>
        <w:t>Severance Period</w:t>
      </w:r>
      <w:r>
        <w:rPr>
          <w:color w:val="000000"/>
        </w:rPr>
        <w:t>”</w:t>
      </w:r>
      <w:r>
        <w:rPr>
          <w:rFonts w:ascii="Arial;sans-serif" w:hAnsi="Arial;sans-serif"/>
          <w:b w:val="false"/>
          <w:color w:val="000000"/>
          <w:sz w:val="22"/>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pStyle w:val="TextBody"/>
        <w:spacing w:lineRule="auto" w:line="319" w:before="201" w:after="283"/>
        <w:ind w:left="0" w:right="0" w:hanging="569"/>
        <w:jc w:val="both"/>
        <w:rPr/>
      </w:pPr>
      <w:r>
        <w:rPr>
          <w:rFonts w:ascii="Arial;sans-serif" w:hAnsi="Arial;sans-serif"/>
          <w:b w:val="false"/>
          <w:color w:val="000000"/>
          <w:sz w:val="22"/>
        </w:rPr>
        <w:t>iii.</w:t>
      </w:r>
      <w:r>
        <w:rPr>
          <w:rFonts w:ascii="Arial;sans-serif" w:hAnsi="Arial;sans-serif"/>
          <w:b w:val="false"/>
          <w:color w:val="000000"/>
          <w:sz w:val="22"/>
          <w:u w:val="single"/>
        </w:rPr>
        <w:t>Continued Employee Benefits</w:t>
      </w:r>
      <w:r>
        <w:rPr>
          <w:rFonts w:ascii="Arial;sans-serif" w:hAnsi="Arial;sans-serif"/>
          <w:b w:val="false"/>
          <w:color w:val="000000"/>
          <w:sz w:val="22"/>
        </w:rPr>
        <w:t>. If Executive elects continuation coverage pursuant to the Consolidated Omnibus Budget Reconciliation Act of 1985, as amended (“</w:t>
      </w:r>
      <w:r>
        <w:rPr>
          <w:rFonts w:ascii="Arial;sans-serif" w:hAnsi="Arial;sans-serif"/>
          <w:b/>
          <w:i/>
          <w:color w:val="000000"/>
          <w:sz w:val="22"/>
        </w:rPr>
        <w:t>COBRA</w:t>
      </w:r>
      <w:r>
        <w:rPr>
          <w:color w:val="000000"/>
        </w:rPr>
        <w:t>”</w:t>
      </w:r>
      <w:r>
        <w:rPr>
          <w:rFonts w:ascii="Arial;sans-serif" w:hAnsi="Arial;sans-serif"/>
          <w:b w:val="false"/>
          <w:color w:val="000000"/>
          <w:sz w:val="22"/>
        </w:rPr>
        <w:t xml:space="preserve">) for Executive and Executive’s eligible dependents, within the time period prescribed pursuant to COBRA, the Company will reimburse Executive for the COBRA premiums for such coverage (at the coverage levels in effect immediately prior to Executive’s </w:t>
      </w:r>
      <w:r>
        <w:br w:type="page"/>
      </w:r>
    </w:p>
    <w:p>
      <w:pPr>
        <w:pStyle w:val="TextBody"/>
        <w:spacing w:before="0" w:after="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68350"/>
                <wp:effectExtent l="0" t="0" r="0" b="0"/>
                <wp:wrapNone/>
                <wp:docPr id="175" name="Frame173"/>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4</w:t>
                            </w:r>
                          </w:p>
                        </w:tc>
                      </w:tr>
                    </w:tbl>
                    <w:p>
                      <w:pPr>
                        <w:pStyle w:val="TextBody"/>
                        <w:spacing w:before="0" w:after="283"/>
                        <w:rPr/>
                      </w:pPr>
                      <w:r>
                        <w:rPr/>
                      </w:r>
                    </w:p>
                  </w:txbxContent>
                </v:textbox>
              </v:rect>
            </w:pict>
          </mc:Fallback>
        </mc:AlternateContent>
      </w:r>
    </w:p>
    <w:p>
      <w:pPr>
        <w:pStyle w:val="TextBody"/>
        <w:spacing w:lineRule="auto" w:line="319" w:before="201" w:after="283"/>
        <w:jc w:val="both"/>
        <w:rPr>
          <w:rFonts w:ascii="Arial;sans-serif" w:hAnsi="Arial;sans-serif"/>
          <w:b w:val="false"/>
          <w:color w:val="000000"/>
          <w:sz w:val="22"/>
        </w:rPr>
      </w:pPr>
      <w:r>
        <w:rPr>
          <w:rFonts w:ascii="Arial;sans-serif" w:hAnsi="Arial;sans-serif"/>
          <w:b w:val="false"/>
          <w:color w:val="000000"/>
          <w:sz w:val="22"/>
        </w:rPr>
        <w:t>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pStyle w:val="TextBody"/>
        <w:spacing w:lineRule="auto" w:line="319" w:before="199"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Termination without Cause or Resignation for Good Reason within the</w:t>
      </w:r>
      <w:r>
        <w:rPr>
          <w:color w:val="000000"/>
        </w:rPr>
        <w:t xml:space="preserve"> </w:t>
      </w:r>
      <w:r>
        <w:rPr>
          <w:rFonts w:ascii="Arial;sans-serif" w:hAnsi="Arial;sans-serif"/>
          <w:b/>
          <w:color w:val="000000"/>
          <w:sz w:val="22"/>
          <w:u w:val="single"/>
        </w:rPr>
        <w:t>Change in Control Protection Period</w:t>
      </w:r>
      <w:r>
        <w:rPr>
          <w:rFonts w:ascii="Arial;sans-serif" w:hAnsi="Arial;sans-serif"/>
          <w:b w:val="false"/>
          <w:color w:val="000000"/>
          <w:sz w:val="22"/>
        </w:rPr>
        <w:t>. If, during the Change in Control Protection Period, (x) the Company terminates Executive’s employment 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pStyle w:val="TextBody"/>
        <w:spacing w:lineRule="auto" w:line="316" w:before="204" w:after="283"/>
        <w:ind w:left="0" w:right="0" w:hanging="471"/>
        <w:jc w:val="both"/>
        <w:rPr/>
      </w:pPr>
      <w:r>
        <w:rPr>
          <w:rFonts w:ascii="Arial;sans-serif" w:hAnsi="Arial;sans-serif"/>
          <w:b w:val="false"/>
          <w:color w:val="000000"/>
          <w:sz w:val="22"/>
        </w:rPr>
        <w:t>i.</w:t>
      </w:r>
      <w:r>
        <w:rPr>
          <w:rFonts w:ascii="Arial;sans-serif" w:hAnsi="Arial;sans-serif"/>
          <w:b w:val="false"/>
          <w:color w:val="000000"/>
          <w:sz w:val="22"/>
          <w:u w:val="single"/>
        </w:rPr>
        <w:t>Accrued Compensation</w:t>
      </w:r>
      <w:r>
        <w:rPr>
          <w:rFonts w:ascii="Arial;sans-serif" w:hAnsi="Arial;sans-serif"/>
          <w:b w:val="false"/>
          <w:color w:val="000000"/>
          <w:sz w:val="22"/>
        </w:rPr>
        <w:t>. The Company will pay Executive all Accrued Benefits.</w:t>
      </w:r>
    </w:p>
    <w:p>
      <w:pPr>
        <w:pStyle w:val="TextBody"/>
        <w:spacing w:lineRule="auto" w:line="319" w:before="203" w:after="283"/>
        <w:ind w:left="0" w:right="0" w:hanging="519"/>
        <w:jc w:val="both"/>
        <w:rPr/>
      </w:pPr>
      <w:r>
        <w:rPr>
          <w:rFonts w:ascii="Arial;sans-serif" w:hAnsi="Arial;sans-serif"/>
          <w:b w:val="false"/>
          <w:color w:val="000000"/>
          <w:sz w:val="22"/>
        </w:rPr>
        <w:t>ii.</w:t>
      </w:r>
      <w:r>
        <w:rPr>
          <w:rFonts w:ascii="Arial;sans-serif" w:hAnsi="Arial;sans-serif"/>
          <w:b w:val="false"/>
          <w:color w:val="000000"/>
          <w:sz w:val="22"/>
          <w:u w:val="single"/>
        </w:rPr>
        <w:t>Severance Payment</w:t>
      </w:r>
      <w:r>
        <w:rPr>
          <w:rFonts w:ascii="Arial;sans-serif" w:hAnsi="Arial;sans-serif"/>
          <w:b w:val="false"/>
          <w:color w:val="000000"/>
          <w:sz w:val="22"/>
        </w:rPr>
        <w:t>. In exchange for Executive timely signing and not revoking the Release in accordance with the terms therein and in this Agreement, Executive will receive a lump sum severance payment equal to twelve months (the “</w:t>
      </w:r>
      <w:r>
        <w:rPr>
          <w:rFonts w:ascii="Arial;sans-serif" w:hAnsi="Arial;sans-serif"/>
          <w:b/>
          <w:i/>
          <w:color w:val="000000"/>
          <w:sz w:val="22"/>
        </w:rPr>
        <w:t>CIC Severance Period</w:t>
      </w:r>
      <w:r>
        <w:rPr>
          <w:color w:val="000000"/>
        </w:rPr>
        <w:t>”</w:t>
      </w:r>
      <w:r>
        <w:rPr>
          <w:rFonts w:ascii="Arial;sans-serif" w:hAnsi="Arial;sans-serif"/>
          <w:b w:val="false"/>
          <w:color w:val="000000"/>
          <w:sz w:val="22"/>
        </w:rPr>
        <w:t>) of Executive’s Base Salary as in effect immediately prior to the 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pStyle w:val="TextBody"/>
        <w:spacing w:lineRule="auto" w:line="319" w:before="202" w:after="283"/>
        <w:ind w:left="0" w:right="0" w:hanging="569"/>
        <w:jc w:val="both"/>
        <w:rPr/>
      </w:pPr>
      <w:r>
        <w:rPr>
          <w:rFonts w:ascii="Arial;sans-serif" w:hAnsi="Arial;sans-serif"/>
          <w:b w:val="false"/>
          <w:color w:val="000000"/>
          <w:sz w:val="22"/>
        </w:rPr>
        <w:t>iii.</w:t>
      </w:r>
      <w:r>
        <w:rPr>
          <w:rFonts w:ascii="Arial;sans-serif" w:hAnsi="Arial;sans-serif"/>
          <w:b w:val="false"/>
          <w:color w:val="000000"/>
          <w:sz w:val="22"/>
          <w:u w:val="single"/>
        </w:rPr>
        <w:t>Continued Employee Benefits</w:t>
      </w:r>
      <w:r>
        <w:rPr>
          <w:rFonts w:ascii="Arial;sans-serif" w:hAnsi="Arial;sans-serif"/>
          <w:b w:val="false"/>
          <w:color w:val="000000"/>
          <w:sz w:val="22"/>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pStyle w:val="TextBody"/>
        <w:spacing w:lineRule="auto" w:line="319" w:before="201" w:after="283"/>
        <w:ind w:left="0" w:right="0" w:hanging="581"/>
        <w:jc w:val="both"/>
        <w:rPr/>
      </w:pPr>
      <w:r>
        <w:rPr>
          <w:rFonts w:ascii="Arial;sans-serif" w:hAnsi="Arial;sans-serif"/>
          <w:b w:val="false"/>
          <w:color w:val="000000"/>
          <w:sz w:val="22"/>
        </w:rPr>
        <w:t>iv.</w:t>
      </w:r>
      <w:r>
        <w:rPr>
          <w:rFonts w:ascii="Arial;sans-serif" w:hAnsi="Arial;sans-serif"/>
          <w:b w:val="false"/>
          <w:color w:val="000000"/>
          <w:sz w:val="22"/>
          <w:u w:val="single"/>
        </w:rPr>
        <w:t>Equity</w:t>
      </w:r>
      <w:r>
        <w:rPr>
          <w:rFonts w:ascii="Arial;sans-serif" w:hAnsi="Arial;sans-serif"/>
          <w:b w:val="false"/>
          <w:color w:val="000000"/>
          <w:sz w:val="22"/>
        </w:rPr>
        <w:t>. All of Executive’s unvested and outstanding time-based equity awards shall immediately vest and become exercisable as of the date of Executive’s termination and any unvested and outstanding performance- based awards shall be subject to the terms and conditions of the Equity Plan and the award agreement by and between Executive and the Company pursuant to which such award was granted.</w:t>
      </w:r>
      <w:r>
        <w:br w:type="page"/>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68350"/>
                <wp:effectExtent l="0" t="0" r="0" b="0"/>
                <wp:wrapNone/>
                <wp:docPr id="176" name="Frame174"/>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5</w:t>
                            </w:r>
                          </w:p>
                        </w:tc>
                      </w:tr>
                    </w:tbl>
                    <w:p>
                      <w:pPr>
                        <w:pStyle w:val="TextBody"/>
                        <w:spacing w:before="0" w:after="283"/>
                        <w:rPr/>
                      </w:pPr>
                      <w:r>
                        <w:rPr/>
                      </w:r>
                    </w:p>
                  </w:txbxContent>
                </v:textbox>
              </v:rect>
            </w:pict>
          </mc:Fallback>
        </mc:AlternateContent>
      </w:r>
    </w:p>
    <w:p>
      <w:pPr>
        <w:pStyle w:val="TextBody"/>
        <w:spacing w:lineRule="auto" w:line="319" w:before="199" w:after="283"/>
        <w:ind w:left="0" w:right="0" w:hanging="360"/>
        <w:jc w:val="both"/>
        <w:rPr/>
      </w:pPr>
      <w:r>
        <w:rPr>
          <w:rFonts w:ascii="Arial;sans-serif" w:hAnsi="Arial;sans-serif"/>
          <w:b w:val="false"/>
          <w:color w:val="000000"/>
          <w:sz w:val="22"/>
        </w:rPr>
        <w:t>c.</w:t>
      </w:r>
      <w:r>
        <w:rPr>
          <w:rFonts w:ascii="Arial;sans-serif" w:hAnsi="Arial;sans-serif"/>
          <w:b/>
          <w:color w:val="000000"/>
          <w:sz w:val="22"/>
          <w:u w:val="single"/>
        </w:rPr>
        <w:t>Disability; Death; Voluntary Resignation; Termination for Cause</w:t>
      </w:r>
      <w:r>
        <w:rPr>
          <w:rFonts w:ascii="Arial;sans-serif" w:hAnsi="Arial;sans-serif"/>
          <w:b w:val="false"/>
          <w:color w:val="000000"/>
          <w:sz w:val="22"/>
        </w:rPr>
        <w:t>. If Executive’s employment with the 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pStyle w:val="TextBody"/>
        <w:spacing w:lineRule="auto" w:line="319" w:before="199" w:after="283"/>
        <w:ind w:left="0" w:right="0" w:hanging="360"/>
        <w:jc w:val="both"/>
        <w:rPr/>
      </w:pPr>
      <w:r>
        <w:rPr>
          <w:rFonts w:ascii="Arial;sans-serif" w:hAnsi="Arial;sans-serif"/>
          <w:b w:val="false"/>
          <w:color w:val="000000"/>
          <w:sz w:val="22"/>
        </w:rPr>
        <w:t>d.</w:t>
      </w:r>
      <w:r>
        <w:rPr>
          <w:rFonts w:ascii="Arial;sans-serif" w:hAnsi="Arial;sans-serif"/>
          <w:b/>
          <w:color w:val="000000"/>
          <w:sz w:val="22"/>
          <w:u w:val="single"/>
        </w:rPr>
        <w:t>Timing of Payments</w:t>
      </w:r>
      <w:r>
        <w:rPr>
          <w:rFonts w:ascii="Arial;sans-serif" w:hAnsi="Arial;sans-serif"/>
          <w:b w:val="false"/>
          <w:color w:val="000000"/>
          <w:sz w:val="22"/>
        </w:rPr>
        <w:t>. Subject to any specific timing provisions in Section 6(a), 6(b), or 6(c), as applicable, or the provisions of Section 7, payment of the severance and benefits hereunder shall be made or commence to be made as soon as practicable following Executive’s termination of employment.</w:t>
      </w:r>
    </w:p>
    <w:p>
      <w:pPr>
        <w:pStyle w:val="TextBody"/>
        <w:spacing w:lineRule="auto" w:line="319" w:before="200" w:after="283"/>
        <w:ind w:left="0" w:right="0" w:hanging="360"/>
        <w:jc w:val="both"/>
        <w:rPr/>
      </w:pPr>
      <w:r>
        <w:rPr>
          <w:rFonts w:ascii="Arial;sans-serif" w:hAnsi="Arial;sans-serif"/>
          <w:b w:val="false"/>
          <w:color w:val="000000"/>
          <w:sz w:val="22"/>
        </w:rPr>
        <w:t>e.</w:t>
      </w:r>
      <w:r>
        <w:rPr>
          <w:rFonts w:ascii="Arial;sans-serif" w:hAnsi="Arial;sans-serif"/>
          <w:b/>
          <w:color w:val="000000"/>
          <w:sz w:val="22"/>
          <w:u w:val="single"/>
        </w:rPr>
        <w:t>Exclusive Remedy</w:t>
      </w:r>
      <w:r>
        <w:rPr>
          <w:rFonts w:ascii="Arial;sans-serif" w:hAnsi="Arial;sans-serif"/>
          <w:b w:val="false"/>
          <w:color w:val="000000"/>
          <w:sz w:val="22"/>
        </w:rPr>
        <w:t>. In the event of a termination of Executive’s employment with the Company (or any parent, 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pStyle w:val="TextBody"/>
        <w:spacing w:lineRule="auto" w:line="319" w:before="201" w:after="283"/>
        <w:ind w:left="0" w:right="0" w:hanging="360"/>
        <w:jc w:val="both"/>
        <w:rPr/>
      </w:pPr>
      <w:r>
        <w:rPr>
          <w:rFonts w:ascii="Arial;sans-serif" w:hAnsi="Arial;sans-serif"/>
          <w:b w:val="false"/>
          <w:color w:val="000000"/>
          <w:sz w:val="22"/>
        </w:rPr>
        <w:t>f.</w:t>
      </w:r>
      <w:r>
        <w:rPr>
          <w:rFonts w:ascii="Arial;sans-serif" w:hAnsi="Arial;sans-serif"/>
          <w:b/>
          <w:color w:val="000000"/>
          <w:sz w:val="22"/>
          <w:u w:val="single"/>
        </w:rPr>
        <w:t>No Duty to Mitigate</w:t>
      </w:r>
      <w:r>
        <w:rPr>
          <w:rFonts w:ascii="Arial;sans-serif" w:hAnsi="Arial;sans-serif"/>
          <w:b w:val="false"/>
          <w:color w:val="000000"/>
          <w:sz w:val="22"/>
        </w:rPr>
        <w:t>. Executive will not be required to mitigate the amount of any payment contemplated by this Agreement, nor will any earnings that Executive may receive from any other source reduce any such payment.</w:t>
      </w:r>
    </w:p>
    <w:p>
      <w:pPr>
        <w:pStyle w:val="TextBody"/>
        <w:spacing w:lineRule="auto" w:line="240" w:before="195" w:after="283"/>
        <w:ind w:left="0" w:right="0" w:hanging="361"/>
        <w:rPr/>
      </w:pPr>
      <w:r>
        <w:rPr>
          <w:rFonts w:ascii="Arial;sans-serif" w:hAnsi="Arial;sans-serif"/>
          <w:b w:val="false"/>
          <w:color w:val="000000"/>
          <w:sz w:val="22"/>
        </w:rPr>
        <w:t>7.</w:t>
      </w:r>
      <w:r>
        <w:rPr>
          <w:rFonts w:ascii="Arial;sans-serif" w:hAnsi="Arial;sans-serif"/>
          <w:b/>
          <w:color w:val="000000"/>
          <w:sz w:val="22"/>
          <w:u w:val="single"/>
        </w:rPr>
        <w:t>Conditions to Receipt of Severance</w:t>
      </w:r>
      <w:r>
        <w:rPr>
          <w:rFonts w:ascii="Arial;sans-serif" w:hAnsi="Arial;sans-serif"/>
          <w:b w:val="false"/>
          <w:color w:val="000000"/>
          <w:sz w:val="22"/>
        </w:rPr>
        <w:t>.</w:t>
      </w:r>
    </w:p>
    <w:p>
      <w:pPr>
        <w:pStyle w:val="TextBody"/>
        <w:spacing w:before="7" w:after="283"/>
        <w:rPr/>
      </w:pPr>
      <w:r>
        <w:rPr/>
      </w:r>
    </w:p>
    <w:p>
      <w:pPr>
        <w:pStyle w:val="TextBody"/>
        <w:spacing w:lineRule="auto" w:line="319" w:before="0" w:after="0"/>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Release of Claims Agreement</w:t>
      </w:r>
      <w:r>
        <w:rPr>
          <w:rFonts w:ascii="Arial;sans-serif" w:hAnsi="Arial;sans-serif"/>
          <w:b w:val="false"/>
          <w:color w:val="000000"/>
          <w:sz w:val="22"/>
        </w:rPr>
        <w:t xml:space="preserve">. The receipt of any severance payments or benefits pursuant to Section 6 of this Agreement is subject to Executive signing and not revoking a separation agreement and release of claims in a form substantially similar, as determined by the Company, as that attached hereto as </w:t>
      </w:r>
      <w:r>
        <w:rPr>
          <w:rFonts w:ascii="Arial;sans-serif" w:hAnsi="Arial;sans-serif"/>
          <w:b w:val="false"/>
          <w:color w:val="000000"/>
          <w:sz w:val="22"/>
          <w:u w:val="single"/>
        </w:rPr>
        <w:t>Attachment A</w:t>
      </w:r>
      <w:r>
        <w:rPr>
          <w:color w:val="000000"/>
        </w:rPr>
        <w:t xml:space="preserve"> </w:t>
      </w:r>
      <w:r>
        <w:rPr>
          <w:rFonts w:ascii="Arial;sans-serif" w:hAnsi="Arial;sans-serif"/>
          <w:b w:val="false"/>
          <w:color w:val="000000"/>
          <w:sz w:val="22"/>
        </w:rPr>
        <w:t>(the “</w:t>
      </w:r>
      <w:r>
        <w:rPr>
          <w:rFonts w:ascii="Arial;sans-serif" w:hAnsi="Arial;sans-serif"/>
          <w:b/>
          <w:i/>
          <w:color w:val="000000"/>
          <w:sz w:val="22"/>
        </w:rPr>
        <w:t>Release</w:t>
      </w:r>
      <w:r>
        <w:rPr>
          <w:color w:val="000000"/>
        </w:rPr>
        <w:t>”</w:t>
      </w:r>
      <w:r>
        <w:rPr>
          <w:rFonts w:ascii="Arial;sans-serif" w:hAnsi="Arial;sans-serif"/>
          <w:b w:val="false"/>
          <w:color w:val="000000"/>
          <w:sz w:val="22"/>
        </w:rPr>
        <w:t>), which must become effective no later than the sixtieth (60th) day following Executive’s termination of employment (the “</w:t>
      </w:r>
      <w:r>
        <w:rPr>
          <w:rFonts w:ascii="Arial;sans-serif" w:hAnsi="Arial;sans-serif"/>
          <w:b/>
          <w:i/>
          <w:color w:val="000000"/>
          <w:sz w:val="22"/>
        </w:rPr>
        <w:t>Release Deadline</w:t>
      </w:r>
      <w:r>
        <w:rPr>
          <w:color w:val="000000"/>
        </w:rPr>
        <w:t>”</w:t>
      </w:r>
      <w:r>
        <w:rPr>
          <w:rFonts w:ascii="Arial;sans-serif" w:hAnsi="Arial;sans-serif"/>
          <w:b w:val="false"/>
          <w:color w:val="000000"/>
          <w:sz w:val="22"/>
        </w:rPr>
        <w:t xml:space="preserve">),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w:t>
      </w:r>
      <w:r>
        <w:br w:type="page"/>
      </w:r>
    </w:p>
    <w:p>
      <w:pPr>
        <w:pStyle w:val="TextBody"/>
        <w:spacing w:before="0" w:after="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68350"/>
                <wp:effectExtent l="0" t="0" r="0" b="0"/>
                <wp:wrapNone/>
                <wp:docPr id="177" name="Frame175"/>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6</w:t>
                            </w:r>
                          </w:p>
                        </w:tc>
                      </w:tr>
                    </w:tbl>
                    <w:p>
                      <w:pPr>
                        <w:pStyle w:val="TextBody"/>
                        <w:spacing w:before="0" w:after="283"/>
                        <w:rPr/>
                      </w:pPr>
                      <w:r>
                        <w:rPr/>
                      </w:r>
                    </w:p>
                  </w:txbxContent>
                </v:textbox>
              </v:rect>
            </w:pict>
          </mc:Fallback>
        </mc:AlternateContent>
      </w:r>
    </w:p>
    <w:p>
      <w:pPr>
        <w:pStyle w:val="TextBody"/>
        <w:spacing w:lineRule="auto" w:line="319" w:before="0" w:after="0"/>
        <w:jc w:val="both"/>
        <w:rPr>
          <w:rFonts w:ascii="Arial;sans-serif" w:hAnsi="Arial;sans-serif"/>
          <w:b w:val="false"/>
          <w:color w:val="000000"/>
          <w:sz w:val="22"/>
        </w:rPr>
      </w:pPr>
      <w:r>
        <w:rPr>
          <w:rFonts w:ascii="Arial;sans-serif" w:hAnsi="Arial;sans-serif"/>
          <w:b w:val="false"/>
          <w:color w:val="000000"/>
          <w:sz w:val="22"/>
        </w:rPr>
        <w:t>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7(c)(ii); provided that the first payment shall include all amounts that would have been paid to Executive if payment had commenced on the date of Executive’s termination of employment.</w:t>
      </w:r>
    </w:p>
    <w:p>
      <w:pPr>
        <w:pStyle w:val="TextBody"/>
        <w:spacing w:lineRule="auto" w:line="319" w:before="202"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Confidentiality Agreement</w:t>
      </w:r>
      <w:r>
        <w:rPr>
          <w:rFonts w:ascii="Arial;sans-serif" w:hAnsi="Arial;sans-serif"/>
          <w:b w:val="false"/>
          <w:color w:val="000000"/>
          <w:sz w:val="22"/>
        </w:rPr>
        <w:t>. Executive’s receipt of any payments or benefits under Section 6 will be subject to Executive continuing to comply with the terms of the Confidentiality Agreement (as defined in Section 11(a) below).</w:t>
      </w:r>
    </w:p>
    <w:p>
      <w:pPr>
        <w:pStyle w:val="TextBody"/>
        <w:spacing w:lineRule="auto" w:line="240" w:before="200" w:after="283"/>
        <w:ind w:left="0" w:right="0" w:hanging="361"/>
        <w:rPr/>
      </w:pPr>
      <w:r>
        <w:rPr>
          <w:rFonts w:ascii="Arial;sans-serif" w:hAnsi="Arial;sans-serif"/>
          <w:b w:val="false"/>
          <w:color w:val="000000"/>
          <w:sz w:val="22"/>
        </w:rPr>
        <w:t>c.</w:t>
      </w:r>
      <w:r>
        <w:rPr>
          <w:rFonts w:ascii="Arial;sans-serif" w:hAnsi="Arial;sans-serif"/>
          <w:b/>
          <w:color w:val="000000"/>
          <w:sz w:val="22"/>
          <w:u w:val="single"/>
        </w:rPr>
        <w:t>Section 409A</w:t>
      </w:r>
      <w:r>
        <w:rPr>
          <w:rFonts w:ascii="Arial;sans-serif" w:hAnsi="Arial;sans-serif"/>
          <w:b w:val="false"/>
          <w:color w:val="000000"/>
          <w:sz w:val="22"/>
        </w:rPr>
        <w:t>.</w:t>
      </w:r>
    </w:p>
    <w:p>
      <w:pPr>
        <w:pStyle w:val="TextBody"/>
        <w:spacing w:before="9" w:after="283"/>
        <w:rPr/>
      </w:pPr>
      <w:r>
        <w:rPr/>
      </w:r>
    </w:p>
    <w:p>
      <w:pPr>
        <w:pStyle w:val="TextBody"/>
        <w:spacing w:lineRule="auto" w:line="319" w:before="1" w:after="283"/>
        <w:ind w:left="0" w:right="0" w:hanging="471"/>
        <w:jc w:val="both"/>
        <w:rPr/>
      </w:pPr>
      <w:r>
        <w:rPr>
          <w:rFonts w:ascii="Arial;sans-serif" w:hAnsi="Arial;sans-serif"/>
          <w:b w:val="false"/>
          <w:color w:val="000000"/>
          <w:sz w:val="22"/>
        </w:rPr>
        <w:t>i.Notwithstanding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sans-serif" w:hAnsi="Arial;sans-serif"/>
          <w:b/>
          <w:i/>
          <w:color w:val="000000"/>
          <w:sz w:val="22"/>
        </w:rPr>
        <w:t>Deferred Payments</w:t>
      </w:r>
      <w:r>
        <w:rPr>
          <w:color w:val="000000"/>
        </w:rPr>
        <w:t>”</w:t>
      </w:r>
      <w:r>
        <w:rPr>
          <w:rFonts w:ascii="Arial;sans-serif" w:hAnsi="Arial;sans-serif"/>
          <w:b w:val="false"/>
          <w:color w:val="000000"/>
          <w:sz w:val="22"/>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spacing w:lineRule="auto" w:line="319" w:before="201" w:after="283"/>
        <w:ind w:left="0" w:right="0" w:hanging="519"/>
        <w:jc w:val="both"/>
        <w:rPr/>
      </w:pPr>
      <w:r>
        <w:rPr>
          <w:rFonts w:ascii="Arial;sans-serif" w:hAnsi="Arial;sans-serif"/>
          <w:b w:val="false"/>
          <w:color w:val="000000"/>
          <w:sz w:val="22"/>
        </w:rPr>
        <w:t>ii.Notwithstanding anything to the contrary in this Agreement, if Executive is a “</w:t>
      </w:r>
      <w:r>
        <w:rPr>
          <w:rFonts w:ascii="Arial;sans-serif" w:hAnsi="Arial;sans-serif"/>
          <w:b/>
          <w:i/>
          <w:color w:val="000000"/>
          <w:sz w:val="22"/>
        </w:rPr>
        <w:t>specified employee</w:t>
      </w:r>
      <w:r>
        <w:rPr>
          <w:color w:val="000000"/>
        </w:rPr>
        <w:t xml:space="preserve">” </w:t>
      </w:r>
      <w:r>
        <w:rPr>
          <w:rFonts w:ascii="Arial;sans-serif" w:hAnsi="Arial;sans-serif"/>
          <w:b w:val="false"/>
          <w:color w:val="000000"/>
          <w:sz w:val="22"/>
        </w:rPr>
        <w:t>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r>
        <w:br w:type="page"/>
      </w:r>
    </w:p>
    <w:p>
      <w:pPr>
        <w:pStyle w:val="TextBody"/>
        <w:spacing w:before="0" w:after="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68350"/>
                <wp:effectExtent l="0" t="0" r="0" b="0"/>
                <wp:wrapNone/>
                <wp:docPr id="178" name="Frame176"/>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7</w:t>
                            </w:r>
                          </w:p>
                        </w:tc>
                      </w:tr>
                    </w:tbl>
                    <w:p>
                      <w:pPr>
                        <w:pStyle w:val="TextBody"/>
                        <w:spacing w:before="0" w:after="283"/>
                        <w:rPr/>
                      </w:pPr>
                      <w:r>
                        <w:rPr/>
                      </w:r>
                    </w:p>
                  </w:txbxContent>
                </v:textbox>
              </v:rect>
            </w:pict>
          </mc:Fallback>
        </mc:AlternateContent>
      </w:r>
    </w:p>
    <w:p>
      <w:pPr>
        <w:pStyle w:val="TextBody"/>
        <w:spacing w:lineRule="auto" w:line="319" w:before="202" w:after="283"/>
        <w:ind w:left="0" w:right="0" w:hanging="569"/>
        <w:jc w:val="both"/>
        <w:rPr>
          <w:rFonts w:ascii="Arial;sans-serif" w:hAnsi="Arial;sans-serif"/>
          <w:b w:val="false"/>
          <w:color w:val="000000"/>
          <w:sz w:val="22"/>
        </w:rPr>
      </w:pPr>
      <w:r>
        <w:rPr>
          <w:rFonts w:ascii="Arial;sans-serif" w:hAnsi="Arial;sans-serif"/>
          <w:b w:val="false"/>
          <w:color w:val="000000"/>
          <w:sz w:val="22"/>
        </w:rPr>
        <w:t>iii.Without limitation, any amount paid under this Agreement that satisfies the requirements of the “short-term deferral” rule set forth in Section 1.409A- 1(b)(4) of the Treasury Regulations is not intended to constitute Deferred Payments for purposes of clause (i) above.</w:t>
      </w:r>
    </w:p>
    <w:p>
      <w:pPr>
        <w:pStyle w:val="TextBody"/>
        <w:spacing w:lineRule="auto" w:line="319" w:before="200" w:after="283"/>
        <w:ind w:left="0" w:right="0" w:hanging="581"/>
        <w:jc w:val="both"/>
        <w:rPr>
          <w:rFonts w:ascii="Arial;sans-serif" w:hAnsi="Arial;sans-serif"/>
          <w:b w:val="false"/>
          <w:color w:val="000000"/>
          <w:sz w:val="22"/>
        </w:rPr>
      </w:pPr>
      <w:r>
        <w:rPr>
          <w:rFonts w:ascii="Arial;sans-serif" w:hAnsi="Arial;sans-serif"/>
          <w:b w:val="false"/>
          <w:color w:val="000000"/>
          <w:sz w:val="22"/>
        </w:rPr>
        <w:t>iv.Without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pStyle w:val="TextBody"/>
        <w:spacing w:lineRule="auto" w:line="319" w:before="200" w:after="283"/>
        <w:ind w:left="0" w:right="0" w:hanging="531"/>
        <w:jc w:val="both"/>
        <w:rPr>
          <w:rFonts w:ascii="Arial;sans-serif" w:hAnsi="Arial;sans-serif"/>
          <w:b w:val="false"/>
          <w:color w:val="000000"/>
          <w:sz w:val="22"/>
        </w:rPr>
      </w:pPr>
      <w:r>
        <w:rPr>
          <w:rFonts w:ascii="Arial;sans-serif" w:hAnsi="Arial;sans-serif"/>
          <w:b w:val="false"/>
          <w:color w:val="000000"/>
          <w:sz w:val="22"/>
        </w:rPr>
        <w:t>v.To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 kind benefits provided in any calendar year shall not in any way affect the expenses eligible for reimbursement or in-kind benefits to be provided, in any other calendar year.</w:t>
      </w:r>
    </w:p>
    <w:p>
      <w:pPr>
        <w:pStyle w:val="TextBody"/>
        <w:spacing w:lineRule="auto" w:line="319" w:before="201" w:after="283"/>
        <w:ind w:left="0" w:right="0" w:hanging="581"/>
        <w:jc w:val="both"/>
        <w:rPr>
          <w:rFonts w:ascii="Arial;sans-serif" w:hAnsi="Arial;sans-serif"/>
          <w:b w:val="false"/>
          <w:color w:val="000000"/>
          <w:sz w:val="22"/>
        </w:rPr>
      </w:pPr>
      <w:r>
        <w:rPr>
          <w:rFonts w:ascii="Arial;sans-serif" w:hAnsi="Arial;sans-serif"/>
          <w:b w:val="false"/>
          <w:color w:val="000000"/>
          <w:sz w:val="22"/>
        </w:rPr>
        <w:t>vi.The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pStyle w:val="TextBody"/>
        <w:spacing w:lineRule="auto" w:line="321" w:before="199" w:after="283"/>
        <w:ind w:left="0" w:right="0" w:hanging="360"/>
        <w:rPr/>
      </w:pPr>
      <w:r>
        <w:rPr>
          <w:rFonts w:ascii="Arial;sans-serif" w:hAnsi="Arial;sans-serif"/>
          <w:b w:val="false"/>
          <w:color w:val="000000"/>
          <w:sz w:val="22"/>
        </w:rPr>
        <w:t>8.</w:t>
      </w:r>
      <w:r>
        <w:rPr>
          <w:rFonts w:ascii="Arial;sans-serif" w:hAnsi="Arial;sans-serif"/>
          <w:b/>
          <w:color w:val="000000"/>
          <w:sz w:val="22"/>
          <w:u w:val="single"/>
        </w:rPr>
        <w:t>Definition of Terms</w:t>
      </w:r>
      <w:r>
        <w:rPr>
          <w:rFonts w:ascii="Arial;sans-serif" w:hAnsi="Arial;sans-serif"/>
          <w:b w:val="false"/>
          <w:color w:val="000000"/>
          <w:sz w:val="22"/>
        </w:rPr>
        <w:t>. The following terms referred to in this Agreement will have the following meanings:</w:t>
      </w:r>
    </w:p>
    <w:p>
      <w:pPr>
        <w:pStyle w:val="TextBody"/>
        <w:spacing w:lineRule="auto" w:line="240" w:before="196" w:after="283"/>
        <w:ind w:left="0" w:right="0" w:hanging="361"/>
        <w:rPr/>
      </w:pPr>
      <w:r>
        <w:rPr>
          <w:rFonts w:ascii="Arial;sans-serif" w:hAnsi="Arial;sans-serif"/>
          <w:b w:val="false"/>
          <w:color w:val="000000"/>
          <w:sz w:val="22"/>
        </w:rPr>
        <w:t>a.</w:t>
      </w:r>
      <w:r>
        <w:rPr>
          <w:rFonts w:ascii="Arial;sans-serif" w:hAnsi="Arial;sans-serif"/>
          <w:b/>
          <w:color w:val="000000"/>
          <w:sz w:val="22"/>
          <w:u w:val="single"/>
        </w:rPr>
        <w:t>Cause</w:t>
      </w:r>
      <w:r>
        <w:rPr>
          <w:rFonts w:ascii="Arial;sans-serif" w:hAnsi="Arial;sans-serif"/>
          <w:b w:val="false"/>
          <w:color w:val="000000"/>
          <w:sz w:val="22"/>
        </w:rPr>
        <w:t>. “Cause” means:</w:t>
      </w:r>
    </w:p>
    <w:p>
      <w:pPr>
        <w:pStyle w:val="TextBody"/>
        <w:spacing w:before="9" w:after="283"/>
        <w:rPr/>
      </w:pPr>
      <w:r>
        <w:rPr/>
      </w:r>
    </w:p>
    <w:p>
      <w:pPr>
        <w:pStyle w:val="TextBody"/>
        <w:spacing w:lineRule="auto" w:line="319" w:before="0" w:after="0"/>
        <w:ind w:left="0" w:right="0" w:hanging="471"/>
        <w:jc w:val="both"/>
        <w:rPr>
          <w:rFonts w:ascii="Arial;sans-serif" w:hAnsi="Arial;sans-serif"/>
          <w:b w:val="false"/>
          <w:color w:val="000000"/>
          <w:sz w:val="22"/>
        </w:rPr>
      </w:pPr>
      <w:r>
        <w:rPr>
          <w:rFonts w:ascii="Arial;sans-serif" w:hAnsi="Arial;sans-serif"/>
          <w:b w:val="false"/>
          <w:color w:val="000000"/>
          <w:sz w:val="22"/>
        </w:rPr>
        <w:t>i.Executive’s gross negligence or willful misconduct in the performance of his or her duties and responsibilities to the Company or Executive’s violation of any written Company policy;</w:t>
      </w:r>
    </w:p>
    <w:p>
      <w:pPr>
        <w:pStyle w:val="TextBody"/>
        <w:spacing w:lineRule="auto" w:line="319" w:before="200" w:after="283"/>
        <w:ind w:left="0" w:right="0" w:hanging="519"/>
        <w:jc w:val="both"/>
        <w:rPr>
          <w:rFonts w:ascii="Arial;sans-serif" w:hAnsi="Arial;sans-serif"/>
          <w:b w:val="false"/>
          <w:color w:val="000000"/>
          <w:sz w:val="22"/>
        </w:rPr>
      </w:pPr>
      <w:r>
        <w:rPr>
          <w:rFonts w:ascii="Arial;sans-serif" w:hAnsi="Arial;sans-serif"/>
          <w:b w:val="false"/>
          <w:color w:val="000000"/>
          <w:sz w:val="22"/>
        </w:rPr>
        <w:t>ii.Executive’s commission of any act of fraud, theft, embezzlement, financial dishonesty, misappropriation from the Company or any other willful misconduct that has caused or is reasonably expected to result in injury to the Company;</w:t>
      </w:r>
      <w:r>
        <w:br w:type="page"/>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68350"/>
                <wp:effectExtent l="0" t="0" r="0" b="0"/>
                <wp:wrapNone/>
                <wp:docPr id="179" name="Frame177"/>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8</w:t>
                            </w:r>
                          </w:p>
                        </w:tc>
                      </w:tr>
                    </w:tbl>
                    <w:p>
                      <w:pPr>
                        <w:pStyle w:val="TextBody"/>
                        <w:spacing w:before="0" w:after="283"/>
                        <w:rPr/>
                      </w:pPr>
                      <w:r>
                        <w:rPr/>
                      </w:r>
                    </w:p>
                  </w:txbxContent>
                </v:textbox>
              </v:rect>
            </w:pict>
          </mc:Fallback>
        </mc:AlternateContent>
      </w:r>
    </w:p>
    <w:p>
      <w:pPr>
        <w:pStyle w:val="TextBody"/>
        <w:spacing w:lineRule="auto" w:line="316" w:before="202" w:after="283"/>
        <w:ind w:left="0" w:right="0" w:hanging="569"/>
        <w:jc w:val="both"/>
        <w:rPr>
          <w:rFonts w:ascii="Arial;sans-serif" w:hAnsi="Arial;sans-serif"/>
          <w:b w:val="false"/>
          <w:color w:val="000000"/>
          <w:sz w:val="22"/>
        </w:rPr>
      </w:pPr>
      <w:r>
        <w:rPr>
          <w:rFonts w:ascii="Arial;sans-serif" w:hAnsi="Arial;sans-serif"/>
          <w:b w:val="false"/>
          <w:color w:val="000000"/>
          <w:sz w:val="22"/>
        </w:rPr>
        <w:t>iii.Executive’s conviction of, or pleading guilty or nolo contendre to, any felony or a lesser crime involving dishonesty or moral turpitude;</w:t>
      </w:r>
    </w:p>
    <w:p>
      <w:pPr>
        <w:pStyle w:val="TextBody"/>
        <w:spacing w:lineRule="auto" w:line="319" w:before="203" w:after="283"/>
        <w:ind w:left="0" w:right="0" w:hanging="581"/>
        <w:jc w:val="both"/>
        <w:rPr>
          <w:rFonts w:ascii="Arial;sans-serif" w:hAnsi="Arial;sans-serif"/>
          <w:b w:val="false"/>
          <w:color w:val="000000"/>
          <w:sz w:val="22"/>
        </w:rPr>
      </w:pPr>
      <w:r>
        <w:rPr>
          <w:rFonts w:ascii="Arial;sans-serif" w:hAnsi="Arial;sans-serif"/>
          <w:b w:val="false"/>
          <w:color w:val="000000"/>
          <w:sz w:val="22"/>
        </w:rPr>
        <w:t>iv.Executive’s unlawful use (including being under the influence) or possession of illegal drugs on the premises of the Company or while performing Executive’s duties and responsibilities for the Company</w:t>
      </w:r>
    </w:p>
    <w:p>
      <w:pPr>
        <w:pStyle w:val="TextBody"/>
        <w:spacing w:lineRule="auto" w:line="319" w:before="200" w:after="283"/>
        <w:ind w:left="0" w:right="0" w:hanging="531"/>
        <w:jc w:val="both"/>
        <w:rPr>
          <w:rFonts w:ascii="Arial;sans-serif" w:hAnsi="Arial;sans-serif"/>
          <w:b w:val="false"/>
          <w:color w:val="000000"/>
          <w:sz w:val="22"/>
        </w:rPr>
      </w:pPr>
      <w:r>
        <w:rPr>
          <w:rFonts w:ascii="Arial;sans-serif" w:hAnsi="Arial;sans-serif"/>
          <w:b w:val="false"/>
          <w:color w:val="000000"/>
          <w:sz w:val="22"/>
        </w:rPr>
        <w:t>v.Executive’s unauthorized use or disclosure of any proprietary information or trade secrets of the Company or any other party to whom Executive owes an obligation of nondisclosure as a result of his or her relationship with the Company; or</w:t>
      </w:r>
    </w:p>
    <w:p>
      <w:pPr>
        <w:pStyle w:val="TextBody"/>
        <w:spacing w:lineRule="auto" w:line="319" w:before="200" w:after="283"/>
        <w:ind w:left="0" w:right="0" w:hanging="581"/>
        <w:jc w:val="both"/>
        <w:rPr>
          <w:rFonts w:ascii="Arial;sans-serif" w:hAnsi="Arial;sans-serif"/>
          <w:b w:val="false"/>
          <w:color w:val="000000"/>
          <w:sz w:val="22"/>
        </w:rPr>
      </w:pPr>
      <w:r>
        <w:rPr>
          <w:rFonts w:ascii="Arial;sans-serif" w:hAnsi="Arial;sans-serif"/>
          <w:b w:val="false"/>
          <w:color w:val="000000"/>
          <w:sz w:val="22"/>
        </w:rPr>
        <w:t>vi.Executive’s material breach of any of his or her obligations under any written agreement or covenant with the Company.</w:t>
      </w:r>
    </w:p>
    <w:p>
      <w:pPr>
        <w:pStyle w:val="TextBody"/>
        <w:spacing w:lineRule="auto" w:line="321" w:before="199" w:after="283"/>
        <w:ind w:left="0" w:right="0" w:hanging="360"/>
        <w:rPr/>
      </w:pPr>
      <w:r>
        <w:rPr>
          <w:rFonts w:ascii="Arial;sans-serif" w:hAnsi="Arial;sans-serif"/>
          <w:b w:val="false"/>
          <w:color w:val="000000"/>
          <w:sz w:val="22"/>
        </w:rPr>
        <w:t>b.</w:t>
      </w:r>
      <w:r>
        <w:rPr>
          <w:rFonts w:ascii="Arial;sans-serif" w:hAnsi="Arial;sans-serif"/>
          <w:b/>
          <w:color w:val="000000"/>
          <w:sz w:val="22"/>
          <w:u w:val="single"/>
        </w:rPr>
        <w:t>Change in Control</w:t>
      </w:r>
      <w:r>
        <w:rPr>
          <w:rFonts w:ascii="Arial;sans-serif" w:hAnsi="Arial;sans-serif"/>
          <w:b w:val="false"/>
          <w:color w:val="000000"/>
          <w:sz w:val="22"/>
        </w:rPr>
        <w:t>. “Change in Control” shall have the meaning ascribed to such term in the Equity Plan.</w:t>
      </w:r>
    </w:p>
    <w:p>
      <w:pPr>
        <w:pStyle w:val="TextBody"/>
        <w:spacing w:before="3" w:after="283"/>
        <w:rPr/>
      </w:pPr>
      <w:r>
        <w:rPr/>
      </w:r>
    </w:p>
    <w:p>
      <w:pPr>
        <w:pStyle w:val="TextBody"/>
        <w:spacing w:lineRule="auto" w:line="319" w:before="0" w:after="0"/>
        <w:ind w:left="0" w:right="0" w:hanging="360"/>
        <w:jc w:val="both"/>
        <w:rPr/>
      </w:pPr>
      <w:r>
        <w:rPr>
          <w:rFonts w:ascii="Arial;sans-serif" w:hAnsi="Arial;sans-serif"/>
          <w:b w:val="false"/>
          <w:color w:val="000000"/>
          <w:sz w:val="22"/>
        </w:rPr>
        <w:t>c.</w:t>
      </w:r>
      <w:r>
        <w:rPr>
          <w:rFonts w:ascii="Arial;sans-serif" w:hAnsi="Arial;sans-serif"/>
          <w:b/>
          <w:color w:val="000000"/>
          <w:sz w:val="22"/>
          <w:u w:val="single"/>
        </w:rPr>
        <w:t>Change in Control Protection Period</w:t>
      </w:r>
      <w:r>
        <w:rPr>
          <w:rFonts w:ascii="Arial;sans-serif" w:hAnsi="Arial;sans-serif"/>
          <w:b w:val="false"/>
          <w:color w:val="000000"/>
          <w:sz w:val="22"/>
        </w:rPr>
        <w:t>. “Change in Control Protection Period” means the period beginning one month prior to and ending twelve (12) months immediately following the consummation of a Change in Control.</w:t>
      </w:r>
    </w:p>
    <w:p>
      <w:pPr>
        <w:pStyle w:val="TextBody"/>
        <w:spacing w:lineRule="auto" w:line="240" w:before="200" w:after="283"/>
        <w:ind w:left="0" w:right="0" w:hanging="361"/>
        <w:rPr/>
      </w:pPr>
      <w:r>
        <w:rPr>
          <w:rFonts w:ascii="Arial;sans-serif" w:hAnsi="Arial;sans-serif"/>
          <w:b w:val="false"/>
          <w:color w:val="000000"/>
          <w:sz w:val="22"/>
        </w:rPr>
        <w:t>d.</w:t>
      </w:r>
      <w:r>
        <w:rPr>
          <w:rFonts w:ascii="Arial;sans-serif" w:hAnsi="Arial;sans-serif"/>
          <w:b/>
          <w:color w:val="000000"/>
          <w:sz w:val="22"/>
          <w:u w:val="single"/>
        </w:rPr>
        <w:t>Code</w:t>
      </w:r>
      <w:r>
        <w:rPr>
          <w:rFonts w:ascii="Arial;sans-serif" w:hAnsi="Arial;sans-serif"/>
          <w:b w:val="false"/>
          <w:color w:val="000000"/>
          <w:sz w:val="22"/>
        </w:rPr>
        <w:t>. “Code” means the Internal Revenue Code of 1986, as amended.</w:t>
      </w:r>
    </w:p>
    <w:p>
      <w:pPr>
        <w:pStyle w:val="TextBody"/>
        <w:spacing w:before="7" w:after="283"/>
        <w:rPr/>
      </w:pPr>
      <w:r>
        <w:rPr/>
      </w:r>
    </w:p>
    <w:p>
      <w:pPr>
        <w:pStyle w:val="TextBody"/>
        <w:spacing w:lineRule="auto" w:line="319" w:before="0" w:after="0"/>
        <w:ind w:left="0" w:right="0" w:hanging="360"/>
        <w:jc w:val="both"/>
        <w:rPr/>
      </w:pPr>
      <w:r>
        <w:rPr>
          <w:rFonts w:ascii="Arial;sans-serif" w:hAnsi="Arial;sans-serif"/>
          <w:b w:val="false"/>
          <w:color w:val="000000"/>
          <w:sz w:val="22"/>
        </w:rPr>
        <w:t>e.</w:t>
      </w:r>
      <w:r>
        <w:rPr>
          <w:rFonts w:ascii="Arial;sans-serif" w:hAnsi="Arial;sans-serif"/>
          <w:b/>
          <w:color w:val="000000"/>
          <w:sz w:val="22"/>
          <w:u w:val="single"/>
        </w:rPr>
        <w:t>Disability</w:t>
      </w:r>
      <w:r>
        <w:rPr>
          <w:rFonts w:ascii="Arial;sans-serif" w:hAnsi="Arial;sans-serif"/>
          <w:b w:val="false"/>
          <w:color w:val="000000"/>
          <w:sz w:val="22"/>
        </w:rPr>
        <w:t>. “Disability” or “Disabled” means that Executive is unable to engage in any substantial gainful activity by reason of any medically determinable physical or mental impairment which can be expected to result in death or which has lasted, or can be expected to last, for a continuous period of not less than one (1) year.</w:t>
      </w:r>
    </w:p>
    <w:p>
      <w:pPr>
        <w:pStyle w:val="TextBody"/>
        <w:spacing w:lineRule="auto" w:line="319" w:before="199" w:after="283"/>
        <w:ind w:left="0" w:right="0" w:hanging="360"/>
        <w:jc w:val="both"/>
        <w:rPr/>
      </w:pPr>
      <w:r>
        <w:rPr>
          <w:rFonts w:ascii="Arial;sans-serif" w:hAnsi="Arial;sans-serif"/>
          <w:b w:val="false"/>
          <w:color w:val="000000"/>
          <w:sz w:val="22"/>
        </w:rPr>
        <w:t>f.</w:t>
      </w:r>
      <w:r>
        <w:rPr>
          <w:rFonts w:ascii="Arial;sans-serif" w:hAnsi="Arial;sans-serif"/>
          <w:b/>
          <w:color w:val="000000"/>
          <w:sz w:val="22"/>
          <w:u w:val="single"/>
        </w:rPr>
        <w:t>Good Reason</w:t>
      </w:r>
      <w:r>
        <w:rPr>
          <w:rFonts w:ascii="Arial;sans-serif" w:hAnsi="Arial;sans-serif"/>
          <w:b w:val="false"/>
          <w:color w:val="000000"/>
          <w:sz w:val="22"/>
        </w:rPr>
        <w:t>. “Good Reason” means Executive’s resignation or termination of employment within thirty (30) days following the expiration of any cure period (discussed below) following the occurrence of one or more of the following without Executive’s consent:</w:t>
      </w:r>
    </w:p>
    <w:p>
      <w:pPr>
        <w:pStyle w:val="TextBody"/>
        <w:spacing w:lineRule="auto" w:line="319" w:before="205" w:after="283"/>
        <w:ind w:left="0" w:right="0" w:hanging="471"/>
        <w:jc w:val="both"/>
        <w:rPr>
          <w:rFonts w:ascii="Arial;sans-serif" w:hAnsi="Arial;sans-serif"/>
          <w:b w:val="false"/>
          <w:color w:val="000000"/>
          <w:sz w:val="22"/>
        </w:rPr>
      </w:pPr>
      <w:r>
        <w:rPr>
          <w:rFonts w:ascii="Arial;sans-serif" w:hAnsi="Arial;sans-serif"/>
          <w:b w:val="false"/>
          <w:color w:val="000000"/>
          <w:sz w:val="22"/>
        </w:rPr>
        <w:t>i.A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Chief Operating Officer of the Company remains as such following a Change in Control but is not made the Chief Operating Officer of the acquiring corporation) will not constitute Good Reason;</w:t>
      </w:r>
    </w:p>
    <w:p>
      <w:pPr>
        <w:pStyle w:val="TextBody"/>
        <w:spacing w:lineRule="auto" w:line="319" w:before="201" w:after="283"/>
        <w:ind w:left="0" w:right="0" w:hanging="519"/>
        <w:jc w:val="both"/>
        <w:rPr>
          <w:rFonts w:ascii="Arial;sans-serif" w:hAnsi="Arial;sans-serif"/>
          <w:b w:val="false"/>
          <w:color w:val="000000"/>
          <w:sz w:val="22"/>
        </w:rPr>
      </w:pPr>
      <w:r>
        <w:rPr>
          <w:rFonts w:ascii="Arial;sans-serif" w:hAnsi="Arial;sans-serif"/>
          <w:b w:val="false"/>
          <w:color w:val="000000"/>
          <w:sz w:val="22"/>
        </w:rPr>
        <w:t>ii.A material reduction in Executive’s Base Salary (except where there is a reduction applicable to all similarly situated executive officers generally); provided, that a reduction of less than ten percent (10%) will not be considered a material reduction in Base Salary;</w:t>
      </w:r>
    </w:p>
    <w:p>
      <w:pPr>
        <w:pStyle w:val="TextBody"/>
        <w:spacing w:lineRule="auto" w:line="319" w:before="199" w:after="283"/>
        <w:ind w:left="0" w:right="0" w:hanging="569"/>
        <w:jc w:val="both"/>
        <w:rPr>
          <w:rFonts w:ascii="Arial;sans-serif" w:hAnsi="Arial;sans-serif"/>
          <w:b w:val="false"/>
          <w:color w:val="000000"/>
          <w:sz w:val="22"/>
        </w:rPr>
      </w:pPr>
      <w:r>
        <w:rPr>
          <w:rFonts w:ascii="Arial;sans-serif" w:hAnsi="Arial;sans-serif"/>
          <w:b w:val="false"/>
          <w:color w:val="000000"/>
          <w:sz w:val="22"/>
        </w:rPr>
        <w:t xml:space="preserve">iii.A material change in the geographic location of Executive’s primary work facility or location; provided, that a relocation of less than fifty (50) miles </w:t>
      </w:r>
      <w:r>
        <w:br w:type="page"/>
      </w:r>
    </w:p>
    <w:p>
      <w:pPr>
        <w:pStyle w:val="TextBody"/>
        <w:spacing w:before="0" w:after="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68350"/>
                <wp:effectExtent l="0" t="0" r="0" b="0"/>
                <wp:wrapNone/>
                <wp:docPr id="180" name="Frame178"/>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9</w:t>
                            </w:r>
                          </w:p>
                        </w:tc>
                      </w:tr>
                    </w:tbl>
                    <w:p>
                      <w:pPr>
                        <w:pStyle w:val="TextBody"/>
                        <w:spacing w:before="0" w:after="283"/>
                        <w:rPr/>
                      </w:pPr>
                      <w:r>
                        <w:rPr/>
                      </w:r>
                    </w:p>
                  </w:txbxContent>
                </v:textbox>
              </v:rect>
            </w:pict>
          </mc:Fallback>
        </mc:AlternateContent>
      </w:r>
    </w:p>
    <w:p>
      <w:pPr>
        <w:pStyle w:val="TextBody"/>
        <w:spacing w:lineRule="auto" w:line="319" w:before="199" w:after="283"/>
        <w:jc w:val="both"/>
        <w:rPr>
          <w:rFonts w:ascii="Arial;sans-serif" w:hAnsi="Arial;sans-serif"/>
          <w:b w:val="false"/>
          <w:color w:val="000000"/>
          <w:sz w:val="22"/>
        </w:rPr>
      </w:pPr>
      <w:r>
        <w:rPr>
          <w:rFonts w:ascii="Arial;sans-serif" w:hAnsi="Arial;sans-serif"/>
          <w:b w:val="false"/>
          <w:color w:val="000000"/>
          <w:sz w:val="22"/>
        </w:rPr>
        <w:t>from Executive’s then-present work location will not be considered a material change in geographic location; or</w:t>
      </w:r>
    </w:p>
    <w:p>
      <w:pPr>
        <w:pStyle w:val="TextBody"/>
        <w:spacing w:lineRule="auto" w:line="319" w:before="200" w:after="283"/>
        <w:ind w:left="0" w:right="0" w:hanging="581"/>
        <w:jc w:val="both"/>
        <w:rPr>
          <w:rFonts w:ascii="Arial;sans-serif" w:hAnsi="Arial;sans-serif"/>
          <w:b w:val="false"/>
          <w:color w:val="000000"/>
          <w:sz w:val="22"/>
        </w:rPr>
      </w:pPr>
      <w:r>
        <w:rPr>
          <w:rFonts w:ascii="Arial;sans-serif" w:hAnsi="Arial;sans-serif"/>
          <w:b w:val="false"/>
          <w:color w:val="000000"/>
          <w:sz w:val="22"/>
        </w:rPr>
        <w:t>iv.A material breach by the Company of a material provision of this Agreement.</w:t>
      </w:r>
    </w:p>
    <w:p>
      <w:pPr>
        <w:pStyle w:val="TextBody"/>
        <w:spacing w:before="9" w:after="283"/>
        <w:rPr/>
      </w:pPr>
      <w:r>
        <w:rPr/>
      </w:r>
    </w:p>
    <w:p>
      <w:pPr>
        <w:pStyle w:val="TextBody"/>
        <w:spacing w:lineRule="auto" w:line="319" w:before="0" w:after="0"/>
        <w:jc w:val="both"/>
        <w:rPr>
          <w:rFonts w:ascii="Arial;sans-serif" w:hAnsi="Arial;sans-serif"/>
          <w:b w:val="false"/>
          <w:color w:val="000000"/>
          <w:sz w:val="22"/>
        </w:rPr>
      </w:pPr>
      <w:r>
        <w:rPr>
          <w:rFonts w:ascii="Arial;sans-serif" w:hAnsi="Arial;sans-serif"/>
          <w:b w:val="false"/>
          <w:color w:val="000000"/>
          <w:sz w:val="22"/>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pStyle w:val="TextBody"/>
        <w:spacing w:lineRule="auto" w:line="319" w:before="199" w:after="283"/>
        <w:ind w:left="0" w:right="0" w:hanging="360"/>
        <w:jc w:val="both"/>
        <w:rPr/>
      </w:pPr>
      <w:r>
        <w:rPr>
          <w:rFonts w:ascii="Arial;sans-serif" w:hAnsi="Arial;sans-serif"/>
          <w:b w:val="false"/>
          <w:color w:val="000000"/>
          <w:sz w:val="22"/>
        </w:rPr>
        <w:t>g.</w:t>
      </w:r>
      <w:r>
        <w:rPr>
          <w:rFonts w:ascii="Arial;sans-serif" w:hAnsi="Arial;sans-serif"/>
          <w:b/>
          <w:color w:val="000000"/>
          <w:sz w:val="22"/>
          <w:u w:val="single"/>
        </w:rPr>
        <w:t>Governmental Authority</w:t>
      </w:r>
      <w:r>
        <w:rPr>
          <w:rFonts w:ascii="Arial;sans-serif" w:hAnsi="Arial;sans-serif"/>
          <w:b w:val="false"/>
          <w:color w:val="000000"/>
          <w:sz w:val="22"/>
        </w:rPr>
        <w:t>. “Governmental Authority” means any federal, state, municipal, foreign or other government, governmental department, commission, board, bureau, agency or instrumentality, or any private or public court or tribunal.</w:t>
      </w:r>
    </w:p>
    <w:p>
      <w:pPr>
        <w:pStyle w:val="TextBody"/>
        <w:spacing w:before="11" w:after="283"/>
        <w:rPr/>
      </w:pPr>
      <w:r>
        <w:rPr/>
      </w:r>
    </w:p>
    <w:p>
      <w:pPr>
        <w:pStyle w:val="TextBody"/>
        <w:spacing w:lineRule="auto" w:line="319" w:before="0" w:after="0"/>
        <w:ind w:left="0" w:right="0" w:hanging="360"/>
        <w:jc w:val="both"/>
        <w:rPr/>
      </w:pPr>
      <w:r>
        <w:rPr>
          <w:rFonts w:ascii="Arial;sans-serif" w:hAnsi="Arial;sans-serif"/>
          <w:b w:val="false"/>
          <w:color w:val="000000"/>
          <w:sz w:val="22"/>
        </w:rPr>
        <w:t>h.</w:t>
      </w:r>
      <w:r>
        <w:rPr>
          <w:rFonts w:ascii="Arial;sans-serif" w:hAnsi="Arial;sans-serif"/>
          <w:b/>
          <w:color w:val="000000"/>
          <w:sz w:val="22"/>
          <w:u w:val="single"/>
        </w:rPr>
        <w:t>Person</w:t>
      </w:r>
      <w:r>
        <w:rPr>
          <w:rFonts w:ascii="Arial;sans-serif" w:hAnsi="Arial;sans-serif"/>
          <w:b w:val="false"/>
          <w:color w:val="000000"/>
          <w:sz w:val="22"/>
        </w:rPr>
        <w:t>. “Person”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pStyle w:val="TextBody"/>
        <w:spacing w:lineRule="auto" w:line="319" w:before="202" w:after="283"/>
        <w:ind w:left="0" w:right="0" w:hanging="360"/>
        <w:jc w:val="both"/>
        <w:rPr/>
      </w:pPr>
      <w:r>
        <w:rPr>
          <w:rFonts w:ascii="Arial;sans-serif" w:hAnsi="Arial;sans-serif"/>
          <w:b w:val="false"/>
          <w:color w:val="000000"/>
          <w:sz w:val="22"/>
        </w:rPr>
        <w:t>i.</w:t>
      </w:r>
      <w:r>
        <w:rPr>
          <w:rFonts w:ascii="Arial;sans-serif" w:hAnsi="Arial;sans-serif"/>
          <w:b/>
          <w:color w:val="000000"/>
          <w:sz w:val="22"/>
          <w:u w:val="single"/>
        </w:rPr>
        <w:t>Section 409A</w:t>
      </w:r>
      <w:r>
        <w:rPr>
          <w:rFonts w:ascii="Arial;sans-serif" w:hAnsi="Arial;sans-serif"/>
          <w:b w:val="false"/>
          <w:color w:val="000000"/>
          <w:sz w:val="22"/>
        </w:rPr>
        <w:t>. “Section 409A” means Section 409A of the Code, and the final regulations and any guidance promulgated thereunder or any state law equivalent.</w:t>
      </w:r>
    </w:p>
    <w:p>
      <w:pPr>
        <w:pStyle w:val="TextBody"/>
        <w:spacing w:lineRule="auto" w:line="240" w:before="198" w:after="283"/>
        <w:ind w:left="0" w:right="0" w:hanging="361"/>
        <w:jc w:val="both"/>
        <w:rPr/>
      </w:pPr>
      <w:r>
        <w:rPr>
          <w:rFonts w:ascii="Arial;sans-serif" w:hAnsi="Arial;sans-serif"/>
          <w:b w:val="false"/>
          <w:color w:val="000000"/>
          <w:sz w:val="22"/>
        </w:rPr>
        <w:t>j.</w:t>
      </w:r>
      <w:r>
        <w:rPr>
          <w:rFonts w:ascii="Arial;sans-serif" w:hAnsi="Arial;sans-serif"/>
          <w:b/>
          <w:color w:val="000000"/>
          <w:sz w:val="22"/>
          <w:u w:val="single"/>
        </w:rPr>
        <w:t>Section 409A Limit</w:t>
      </w:r>
      <w:r>
        <w:rPr>
          <w:rFonts w:ascii="Arial;sans-serif" w:hAnsi="Arial;sans-serif"/>
          <w:b w:val="false"/>
          <w:color w:val="000000"/>
          <w:sz w:val="22"/>
        </w:rPr>
        <w:t>. “Section 409A Limit” shall mean two (2) times the lesser of:</w:t>
      </w:r>
    </w:p>
    <w:p>
      <w:pPr>
        <w:pStyle w:val="TextBody"/>
        <w:spacing w:lineRule="auto" w:line="319" w:before="40" w:after="283"/>
        <w:jc w:val="both"/>
        <w:rPr>
          <w:rFonts w:ascii="Arial;sans-serif" w:hAnsi="Arial;sans-serif"/>
          <w:b w:val="false"/>
          <w:color w:val="000000"/>
          <w:sz w:val="22"/>
        </w:rPr>
      </w:pPr>
      <w:r>
        <w:rPr>
          <w:rFonts w:ascii="Arial;sans-serif" w:hAnsi="Arial;sans-serif"/>
          <w:b w:val="false"/>
          <w:color w:val="000000"/>
          <w:sz w:val="22"/>
        </w:rPr>
        <w:t>(i)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pStyle w:val="TextBody"/>
        <w:spacing w:lineRule="auto" w:line="240" w:before="198" w:after="283"/>
        <w:ind w:left="0" w:right="0" w:hanging="361"/>
        <w:rPr/>
      </w:pPr>
      <w:r>
        <w:rPr>
          <w:rFonts w:ascii="Arial;sans-serif" w:hAnsi="Arial;sans-serif"/>
          <w:b w:val="false"/>
          <w:color w:val="000000"/>
          <w:sz w:val="22"/>
        </w:rPr>
        <w:t>9.</w:t>
      </w:r>
      <w:r>
        <w:rPr>
          <w:rFonts w:ascii="Arial;sans-serif" w:hAnsi="Arial;sans-serif"/>
          <w:b/>
          <w:color w:val="000000"/>
          <w:sz w:val="22"/>
          <w:u w:val="single"/>
        </w:rPr>
        <w:t>Golden Parachute</w:t>
      </w:r>
      <w:r>
        <w:rPr>
          <w:rFonts w:ascii="Arial;sans-serif" w:hAnsi="Arial;sans-serif"/>
          <w:b w:val="false"/>
          <w:color w:val="000000"/>
          <w:sz w:val="22"/>
        </w:rPr>
        <w:t>.</w:t>
      </w:r>
    </w:p>
    <w:p>
      <w:pPr>
        <w:pStyle w:val="TextBody"/>
        <w:spacing w:before="10" w:after="283"/>
        <w:rPr/>
      </w:pPr>
      <w:r>
        <w:rPr/>
      </w:r>
    </w:p>
    <w:p>
      <w:pPr>
        <w:pStyle w:val="TextBody"/>
        <w:spacing w:lineRule="auto" w:line="319" w:before="94" w:after="283"/>
        <w:ind w:left="0" w:right="0" w:hanging="360"/>
        <w:jc w:val="both"/>
        <w:rPr/>
      </w:pPr>
      <w:r>
        <w:rPr>
          <w:rFonts w:ascii="Arial;sans-serif" w:hAnsi="Arial;sans-serif"/>
          <w:b w:val="false"/>
          <w:color w:val="000000"/>
          <w:sz w:val="22"/>
        </w:rPr>
        <w:t>a.Anything in this Agreement to the contrary notwithstanding, if any payment or benefit Executive would receive from the Company or otherwise (“</w:t>
      </w:r>
      <w:r>
        <w:rPr>
          <w:rFonts w:ascii="Arial;sans-serif" w:hAnsi="Arial;sans-serif"/>
          <w:b/>
          <w:i/>
          <w:color w:val="000000"/>
          <w:sz w:val="22"/>
        </w:rPr>
        <w:t>Payment</w:t>
      </w:r>
      <w:r>
        <w:rPr>
          <w:color w:val="000000"/>
        </w:rPr>
        <w:t>”</w:t>
      </w:r>
      <w:r>
        <w:rPr>
          <w:rFonts w:ascii="Arial;sans-serif" w:hAnsi="Arial;sans-serif"/>
          <w:b w:val="false"/>
          <w:color w:val="000000"/>
          <w:sz w:val="22"/>
        </w:rPr>
        <w:t>) would (i) constitute a “parachute payment” within the meaning of Section 280G of the Code; and (ii) but for this sentence, be subject to the excise tax imposed by Section 4999 of the Code (the “</w:t>
      </w:r>
      <w:r>
        <w:rPr>
          <w:rFonts w:ascii="Arial;sans-serif" w:hAnsi="Arial;sans-serif"/>
          <w:b/>
          <w:i/>
          <w:color w:val="000000"/>
          <w:sz w:val="22"/>
        </w:rPr>
        <w:t>Excise Tax</w:t>
      </w:r>
      <w:r>
        <w:rPr>
          <w:color w:val="000000"/>
        </w:rPr>
        <w:t>”</w:t>
      </w:r>
      <w:r>
        <w:rPr>
          <w:rFonts w:ascii="Arial;sans-serif" w:hAnsi="Arial;sans-serif"/>
          <w:b w:val="false"/>
          <w:color w:val="000000"/>
          <w:sz w:val="22"/>
        </w:rPr>
        <w:t>), then such Payment shall be equal to the Reduced Amount. The “</w:t>
      </w:r>
      <w:r>
        <w:rPr>
          <w:rFonts w:ascii="Arial;sans-serif" w:hAnsi="Arial;sans-serif"/>
          <w:b/>
          <w:i/>
          <w:color w:val="000000"/>
          <w:sz w:val="22"/>
        </w:rPr>
        <w:t>Reduced Amount</w:t>
      </w:r>
      <w:r>
        <w:rPr>
          <w:color w:val="000000"/>
        </w:rPr>
        <w:t xml:space="preserve">” </w:t>
      </w:r>
      <w:r>
        <w:rPr>
          <w:rFonts w:ascii="Arial;sans-serif" w:hAnsi="Arial;sans-serif"/>
          <w:b w:val="false"/>
          <w:color w:val="000000"/>
          <w:sz w:val="22"/>
        </w:rPr>
        <w:t xml:space="preserve">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w:t>
      </w:r>
      <w:r>
        <w:br w:type="page"/>
      </w:r>
    </w:p>
    <w:p>
      <w:pPr>
        <w:pStyle w:val="TextBody"/>
        <w:spacing w:before="0" w:after="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68350"/>
                <wp:effectExtent l="0" t="0" r="0" b="0"/>
                <wp:wrapNone/>
                <wp:docPr id="181" name="Frame179"/>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10</w:t>
                            </w:r>
                          </w:p>
                        </w:tc>
                      </w:tr>
                    </w:tbl>
                    <w:p>
                      <w:pPr>
                        <w:pStyle w:val="TextBody"/>
                        <w:spacing w:before="0" w:after="283"/>
                        <w:rPr/>
                      </w:pPr>
                      <w:r>
                        <w:rPr/>
                      </w:r>
                    </w:p>
                  </w:txbxContent>
                </v:textbox>
              </v:rect>
            </w:pict>
          </mc:Fallback>
        </mc:AlternateContent>
      </w:r>
    </w:p>
    <w:p>
      <w:pPr>
        <w:pStyle w:val="TextBody"/>
        <w:spacing w:lineRule="auto" w:line="319" w:before="94" w:after="283"/>
        <w:jc w:val="both"/>
        <w:rPr/>
      </w:pPr>
      <w:r>
        <w:rPr>
          <w:rFonts w:ascii="Arial;sans-serif" w:hAnsi="Arial;sans-serif"/>
          <w:b w:val="false"/>
          <w:color w:val="000000"/>
          <w:sz w:val="22"/>
        </w:rPr>
        <w:t>the optioned stock (“</w:t>
      </w:r>
      <w:r>
        <w:rPr>
          <w:rFonts w:ascii="Arial;sans-serif" w:hAnsi="Arial;sans-serif"/>
          <w:b/>
          <w:i/>
          <w:color w:val="000000"/>
          <w:sz w:val="22"/>
        </w:rPr>
        <w:t>Underwater Options</w:t>
      </w:r>
      <w:r>
        <w:rPr>
          <w:color w:val="000000"/>
        </w:rPr>
        <w:t>”</w:t>
      </w:r>
      <w:r>
        <w:rPr>
          <w:rFonts w:ascii="Arial;sans-serif" w:hAnsi="Arial;sans-serif"/>
          <w:b w:val="false"/>
          <w:color w:val="000000"/>
          <w:sz w:val="22"/>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 rata in the event payments or benefits are owed at the same time). “</w:t>
      </w:r>
      <w:r>
        <w:rPr>
          <w:rFonts w:ascii="Arial;sans-serif" w:hAnsi="Arial;sans-serif"/>
          <w:b/>
          <w:i/>
          <w:color w:val="000000"/>
          <w:sz w:val="22"/>
        </w:rPr>
        <w:t>Full Credit Payment</w:t>
      </w:r>
      <w:r>
        <w:rPr>
          <w:color w:val="000000"/>
        </w:rPr>
        <w:t xml:space="preserve">” </w:t>
      </w:r>
      <w:r>
        <w:rPr>
          <w:rFonts w:ascii="Arial;sans-serif" w:hAnsi="Arial;sans-serif"/>
          <w:b w:val="false"/>
          <w:color w:val="000000"/>
          <w:sz w:val="22"/>
        </w:rPr>
        <w:t>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sans-serif" w:hAnsi="Arial;sans-serif"/>
          <w:b/>
          <w:i/>
          <w:color w:val="000000"/>
          <w:sz w:val="22"/>
        </w:rPr>
        <w:t>Partial Credit Payment</w:t>
      </w:r>
      <w:r>
        <w:rPr>
          <w:color w:val="000000"/>
        </w:rPr>
        <w:t xml:space="preserve">” </w:t>
      </w:r>
      <w:r>
        <w:rPr>
          <w:rFonts w:ascii="Arial;sans-serif" w:hAnsi="Arial;sans-serif"/>
          <w:b w:val="false"/>
          <w:color w:val="000000"/>
          <w:sz w:val="22"/>
        </w:rPr>
        <w:t>means any payment, distribution or benefit that is not a Full Credit Payment.</w:t>
      </w:r>
    </w:p>
    <w:p>
      <w:pPr>
        <w:pStyle w:val="TextBody"/>
        <w:spacing w:lineRule="auto" w:line="319" w:before="201" w:after="283"/>
        <w:ind w:left="0" w:right="0" w:hanging="360"/>
        <w:jc w:val="both"/>
        <w:rPr/>
      </w:pPr>
      <w:r>
        <w:rPr>
          <w:rFonts w:ascii="Arial;sans-serif" w:hAnsi="Arial;sans-serif"/>
          <w:b w:val="false"/>
          <w:color w:val="000000"/>
          <w:sz w:val="22"/>
        </w:rPr>
        <w:t>b.A nationally recognized certified public accounting Company selected by the Company (the “</w:t>
      </w:r>
      <w:r>
        <w:rPr>
          <w:rFonts w:ascii="Arial;sans-serif" w:hAnsi="Arial;sans-serif"/>
          <w:b/>
          <w:i/>
          <w:color w:val="000000"/>
          <w:sz w:val="22"/>
        </w:rPr>
        <w:t>Accounting Company</w:t>
      </w:r>
      <w:r>
        <w:rPr>
          <w:color w:val="000000"/>
        </w:rPr>
        <w:t>”</w:t>
      </w:r>
      <w:r>
        <w:rPr>
          <w:rFonts w:ascii="Arial;sans-serif" w:hAnsi="Arial;sans-serif"/>
          <w:b w:val="false"/>
          <w:color w:val="000000"/>
          <w:sz w:val="22"/>
        </w:rPr>
        <w:t>) shall perform the foregoing calculations related to the Excise Tax. If a reduction is required pursuant to Section 9(a), the Accounting Company shall administer the ordering of the reduction as set forth in Section 9(a). The Company shall bear all expenses with respect to the determinations by such accounting Company required to be made hereunder.</w:t>
      </w:r>
    </w:p>
    <w:p>
      <w:pPr>
        <w:pStyle w:val="TextBody"/>
        <w:spacing w:lineRule="auto" w:line="319" w:before="202" w:after="283"/>
        <w:ind w:left="0" w:right="0" w:hanging="360"/>
        <w:jc w:val="both"/>
        <w:rPr>
          <w:rFonts w:ascii="Arial;sans-serif" w:hAnsi="Arial;sans-serif"/>
          <w:b w:val="false"/>
          <w:color w:val="000000"/>
          <w:sz w:val="22"/>
        </w:rPr>
      </w:pPr>
      <w:r>
        <w:rPr>
          <w:rFonts w:ascii="Arial;sans-serif" w:hAnsi="Arial;sans-serif"/>
          <w:b w:val="false"/>
          <w:color w:val="000000"/>
          <w:sz w:val="22"/>
        </w:rPr>
        <w:t>c.The Accounting Company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Company made hereunder shall be final, binding, and conclusive upon Executive and the Company.</w:t>
      </w:r>
    </w:p>
    <w:p>
      <w:pPr>
        <w:pStyle w:val="TextBody"/>
        <w:spacing w:lineRule="auto" w:line="319" w:before="198" w:after="283"/>
        <w:ind w:left="0" w:right="0" w:hanging="360"/>
        <w:jc w:val="both"/>
        <w:rPr/>
      </w:pPr>
      <w:r>
        <w:rPr>
          <w:rFonts w:ascii="Arial;sans-serif" w:hAnsi="Arial;sans-serif"/>
          <w:b w:val="false"/>
          <w:color w:val="000000"/>
          <w:sz w:val="22"/>
        </w:rPr>
        <w:t>10.</w:t>
      </w:r>
      <w:r>
        <w:rPr>
          <w:rFonts w:ascii="Arial;sans-serif" w:hAnsi="Arial;sans-serif"/>
          <w:b/>
          <w:color w:val="000000"/>
          <w:sz w:val="22"/>
          <w:u w:val="single"/>
        </w:rPr>
        <w:t>Arbitration</w:t>
      </w:r>
      <w:r>
        <w:rPr>
          <w:rFonts w:ascii="Arial;sans-serif" w:hAnsi="Arial;sans-serif"/>
          <w:b w:val="false"/>
          <w:color w:val="000000"/>
          <w:sz w:val="22"/>
        </w:rPr>
        <w:t>. To the fullest extent permitted by applicable law, Executive and the Company agree that any and all disputes, demands, claims, or controversies (“</w:t>
      </w:r>
      <w:r>
        <w:rPr>
          <w:rFonts w:ascii="Arial;sans-serif" w:hAnsi="Arial;sans-serif"/>
          <w:b/>
          <w:i/>
          <w:color w:val="000000"/>
          <w:sz w:val="22"/>
        </w:rPr>
        <w:t>claims</w:t>
      </w:r>
      <w:r>
        <w:rPr>
          <w:color w:val="000000"/>
        </w:rPr>
        <w:t>”</w:t>
      </w:r>
      <w:r>
        <w:rPr>
          <w:rFonts w:ascii="Arial;sans-serif" w:hAnsi="Arial;sans-serif"/>
          <w:b w:val="false"/>
          <w:color w:val="000000"/>
          <w:sz w:val="22"/>
        </w:rPr>
        <w:t xml:space="preserve">)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Texas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w:t>
      </w:r>
      <w:r>
        <w:br w:type="page"/>
      </w:r>
    </w:p>
    <w:p>
      <w:pPr>
        <w:pStyle w:val="TextBody"/>
        <w:spacing w:before="0" w:after="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68350"/>
                <wp:effectExtent l="0" t="0" r="0" b="0"/>
                <wp:wrapNone/>
                <wp:docPr id="182" name="Frame180"/>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11</w:t>
                            </w:r>
                          </w:p>
                        </w:tc>
                      </w:tr>
                    </w:tbl>
                    <w:p>
                      <w:pPr>
                        <w:pStyle w:val="TextBody"/>
                        <w:spacing w:before="0" w:after="283"/>
                        <w:rPr/>
                      </w:pPr>
                      <w:r>
                        <w:rPr/>
                      </w:r>
                    </w:p>
                  </w:txbxContent>
                </v:textbox>
              </v:rect>
            </w:pict>
          </mc:Fallback>
        </mc:AlternateContent>
      </w:r>
    </w:p>
    <w:p>
      <w:pPr>
        <w:pStyle w:val="TextBody"/>
        <w:spacing w:lineRule="auto" w:line="319" w:before="198" w:after="283"/>
        <w:jc w:val="both"/>
        <w:rPr/>
      </w:pPr>
      <w:r>
        <w:rPr>
          <w:rFonts w:ascii="Arial;sans-serif" w:hAnsi="Arial;sans-serif"/>
          <w:b w:val="false"/>
          <w:color w:val="000000"/>
          <w:sz w:val="22"/>
        </w:rPr>
        <w:t>applicable law (“</w:t>
      </w:r>
      <w:r>
        <w:rPr>
          <w:rFonts w:ascii="Arial;sans-serif" w:hAnsi="Arial;sans-serif"/>
          <w:b/>
          <w:i/>
          <w:color w:val="000000"/>
          <w:sz w:val="22"/>
        </w:rPr>
        <w:t>Class Waiver</w:t>
      </w:r>
      <w:r>
        <w:rPr>
          <w:color w:val="000000"/>
        </w:rPr>
        <w:t>”</w:t>
      </w:r>
      <w:r>
        <w:rPr>
          <w:rFonts w:ascii="Arial;sans-serif" w:hAnsi="Arial;sans-serif"/>
          <w:b w:val="false"/>
          <w:color w:val="000000"/>
          <w:sz w:val="22"/>
        </w:rPr>
        <w:t>). Any claim that all or part of the Class Waiver is invalid, unenforceable, or unconscionable may be determined only by a court. In no case may class, collective or representative claims proceed in arbitration on behalf of other employees.</w:t>
      </w:r>
    </w:p>
    <w:p>
      <w:pPr>
        <w:pStyle w:val="TextBody"/>
        <w:spacing w:before="0" w:after="0"/>
        <w:rPr/>
      </w:pPr>
      <w:r>
        <w:rPr/>
      </w:r>
    </w:p>
    <w:p>
      <w:pPr>
        <w:pStyle w:val="TextBody"/>
        <w:spacing w:lineRule="auto" w:line="319" w:before="1" w:after="283"/>
        <w:rPr>
          <w:rFonts w:ascii="Arial;sans-serif" w:hAnsi="Arial;sans-serif"/>
          <w:b w:val="false"/>
          <w:color w:val="000000"/>
          <w:sz w:val="22"/>
        </w:rPr>
      </w:pPr>
      <w:r>
        <w:rPr>
          <w:rFonts w:ascii="Arial;sans-serif" w:hAnsi="Arial;sans-serif"/>
          <w:b w:val="false"/>
          <w:color w:val="000000"/>
          <w:sz w:val="22"/>
        </w:rPr>
        <w:t>The parties agree that the arbitration shall be conducted by a single neutral arbitrator through JAMS in accordance with JAMS Employment Arbitration Rules and Procedures.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pStyle w:val="TextBody"/>
        <w:spacing w:lineRule="auto" w:line="319" w:before="198" w:after="283"/>
        <w:ind w:left="0" w:right="0" w:hanging="360"/>
        <w:rPr/>
      </w:pPr>
      <w:r>
        <w:rPr>
          <w:rFonts w:ascii="Arial;sans-serif" w:hAnsi="Arial;sans-serif"/>
          <w:b w:val="false"/>
          <w:color w:val="000000"/>
          <w:sz w:val="22"/>
        </w:rPr>
        <w:t>11.</w:t>
      </w:r>
      <w:r>
        <w:rPr>
          <w:rFonts w:ascii="Arial;sans-serif" w:hAnsi="Arial;sans-serif"/>
          <w:b/>
          <w:color w:val="000000"/>
          <w:sz w:val="22"/>
          <w:u w:val="single"/>
        </w:rPr>
        <w:t>Confidentiality Agreement</w:t>
      </w:r>
      <w:r>
        <w:rPr>
          <w:rFonts w:ascii="Arial;sans-serif" w:hAnsi="Arial;sans-serif"/>
          <w:b/>
          <w:color w:val="000000"/>
          <w:sz w:val="22"/>
        </w:rPr>
        <w:t xml:space="preserve">. </w:t>
      </w:r>
      <w:r>
        <w:rPr>
          <w:rFonts w:ascii="Arial;sans-serif" w:hAnsi="Arial;sans-serif"/>
          <w:b w:val="false"/>
          <w:color w:val="000000"/>
          <w:sz w:val="22"/>
        </w:rPr>
        <w:t>The Nondisclosure, Confidentiality, and Nonsolicitation Agreement entered into by and between Executive and the Company dated July 21, 2020 (the “</w:t>
      </w:r>
      <w:r>
        <w:rPr>
          <w:rFonts w:ascii="Arial;sans-serif" w:hAnsi="Arial;sans-serif"/>
          <w:b w:val="false"/>
          <w:color w:val="000000"/>
          <w:sz w:val="22"/>
          <w:u w:val="single"/>
        </w:rPr>
        <w:t>Confidentiality Agreement</w:t>
      </w:r>
      <w:r>
        <w:rPr>
          <w:color w:val="000000"/>
        </w:rPr>
        <w:t>”</w:t>
      </w:r>
      <w:r>
        <w:rPr>
          <w:rFonts w:ascii="Arial;sans-serif" w:hAnsi="Arial;sans-serif"/>
          <w:b w:val="false"/>
          <w:color w:val="000000"/>
          <w:sz w:val="22"/>
        </w:rPr>
        <w:t xml:space="preserve">), which is attached hereto as </w:t>
      </w:r>
      <w:r>
        <w:rPr>
          <w:rFonts w:ascii="Arial;sans-serif" w:hAnsi="Arial;sans-serif"/>
          <w:b w:val="false"/>
          <w:color w:val="000000"/>
          <w:sz w:val="22"/>
          <w:u w:val="single"/>
        </w:rPr>
        <w:t>Attachment B</w:t>
      </w:r>
      <w:r>
        <w:rPr>
          <w:rFonts w:ascii="Arial;sans-serif" w:hAnsi="Arial;sans-serif"/>
          <w:b w:val="false"/>
          <w:color w:val="000000"/>
          <w:sz w:val="22"/>
        </w:rPr>
        <w:t>, remains in full force and effect.</w:t>
      </w:r>
    </w:p>
    <w:p>
      <w:pPr>
        <w:pStyle w:val="TextBody"/>
        <w:spacing w:before="0" w:after="0"/>
        <w:rPr/>
      </w:pPr>
      <w:r>
        <w:rPr/>
      </w:r>
    </w:p>
    <w:p>
      <w:pPr>
        <w:pStyle w:val="TextBody"/>
        <w:spacing w:lineRule="auto" w:line="240" w:before="0" w:after="0"/>
        <w:ind w:left="0" w:right="0" w:hanging="360"/>
        <w:jc w:val="both"/>
        <w:rPr/>
      </w:pPr>
      <w:r>
        <w:rPr>
          <w:rFonts w:ascii="Arial;sans-serif" w:hAnsi="Arial;sans-serif"/>
          <w:b w:val="false"/>
          <w:color w:val="000000"/>
          <w:sz w:val="24"/>
        </w:rPr>
        <w:t>12.</w:t>
      </w:r>
      <w:r>
        <w:rPr>
          <w:rFonts w:ascii="Arial;sans-serif" w:hAnsi="Arial;sans-serif"/>
          <w:b/>
          <w:color w:val="000000"/>
          <w:sz w:val="22"/>
          <w:u w:val="single"/>
        </w:rPr>
        <w:t>Pre-Employment</w:t>
      </w:r>
      <w:r>
        <w:rPr>
          <w:color w:val="000000"/>
        </w:rPr>
        <w:t xml:space="preserve"> </w:t>
      </w:r>
      <w:r>
        <w:rPr>
          <w:rFonts w:ascii="Arial;sans-serif" w:hAnsi="Arial;sans-serif"/>
          <w:b/>
          <w:color w:val="000000"/>
          <w:sz w:val="22"/>
          <w:u w:val="single"/>
        </w:rPr>
        <w:t>Conditions</w:t>
      </w:r>
      <w:r>
        <w:rPr>
          <w:rFonts w:ascii="Arial;sans-serif" w:hAnsi="Arial;sans-serif"/>
          <w:b/>
          <w:color w:val="000000"/>
          <w:sz w:val="22"/>
        </w:rPr>
        <w:t>.</w:t>
      </w:r>
    </w:p>
    <w:p>
      <w:pPr>
        <w:pStyle w:val="TextBody"/>
        <w:spacing w:before="6" w:after="283"/>
        <w:rPr/>
      </w:pPr>
      <w:r>
        <w:rPr/>
      </w:r>
    </w:p>
    <w:p>
      <w:pPr>
        <w:pStyle w:val="TextBody"/>
        <w:spacing w:lineRule="auto" w:line="319" w:before="203" w:after="283"/>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Right to Work</w:t>
      </w:r>
      <w:r>
        <w:rPr>
          <w:rFonts w:ascii="Arial;sans-serif" w:hAnsi="Arial;sans-serif"/>
          <w:b w:val="false"/>
          <w:color w:val="000000"/>
          <w:sz w:val="22"/>
        </w:rPr>
        <w:t>. For purposes of federal immigration law, Executive will be required, if Executive has not already, to provide to the Company documentary evidence of Executive’s identity and eligibility for employment in the United States. Such documentation must be provided to the Company within three (3) business days of the Effective Date, or the Employment relationship with Executive may be terminated.</w:t>
      </w:r>
    </w:p>
    <w:p>
      <w:pPr>
        <w:pStyle w:val="TextBody"/>
        <w:spacing w:lineRule="auto" w:line="319" w:before="199"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Verification of Information</w:t>
      </w:r>
      <w:r>
        <w:rPr>
          <w:rFonts w:ascii="Arial;sans-serif" w:hAnsi="Arial;sans-serif"/>
          <w:b w:val="false"/>
          <w:color w:val="000000"/>
          <w:sz w:val="22"/>
        </w:rPr>
        <w:t>. This Agreement is also contingent upon the successful verification of the information Executive 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 Executive expressly releases the Company from any claim or cause of action arising out of the Company’s verification of such information.</w:t>
      </w:r>
    </w:p>
    <w:p>
      <w:pPr>
        <w:pStyle w:val="TextBody"/>
        <w:spacing w:before="0" w:after="0"/>
        <w:jc w:val="both"/>
        <w:rPr/>
      </w:pPr>
      <w:r>
        <w:rPr/>
      </w:r>
    </w:p>
    <w:p>
      <w:pPr>
        <w:pStyle w:val="TextBody"/>
        <w:spacing w:lineRule="auto" w:line="240" w:before="198" w:after="283"/>
        <w:ind w:left="0" w:right="0" w:hanging="361"/>
        <w:rPr/>
      </w:pPr>
      <w:r>
        <w:rPr>
          <w:rFonts w:ascii="Arial;sans-serif" w:hAnsi="Arial;sans-serif"/>
          <w:b w:val="false"/>
          <w:color w:val="000000"/>
          <w:sz w:val="22"/>
        </w:rPr>
        <w:t>13.</w:t>
      </w:r>
      <w:r>
        <w:rPr>
          <w:rFonts w:ascii="Arial;sans-serif" w:hAnsi="Arial;sans-serif"/>
          <w:b/>
          <w:color w:val="000000"/>
          <w:sz w:val="22"/>
          <w:u w:val="single"/>
        </w:rPr>
        <w:t>Successors</w:t>
      </w:r>
      <w:r>
        <w:rPr>
          <w:rFonts w:ascii="Arial;sans-serif" w:hAnsi="Arial;sans-serif"/>
          <w:b/>
          <w:color w:val="000000"/>
          <w:sz w:val="22"/>
        </w:rPr>
        <w:t>.</w:t>
      </w:r>
      <w:r>
        <w:br w:type="page"/>
      </w:r>
    </w:p>
    <w:p>
      <w:pPr>
        <w:pStyle w:val="TextBody"/>
        <w:spacing w:before="0" w:after="0"/>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68350"/>
                <wp:effectExtent l="0" t="0" r="0" b="0"/>
                <wp:wrapNone/>
                <wp:docPr id="183" name="Frame181"/>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12</w:t>
                            </w:r>
                          </w:p>
                        </w:tc>
                      </w:tr>
                    </w:tbl>
                    <w:p>
                      <w:pPr>
                        <w:pStyle w:val="TextBody"/>
                        <w:spacing w:before="0" w:after="283"/>
                        <w:rPr/>
                      </w:pPr>
                      <w:r>
                        <w:rPr/>
                      </w:r>
                    </w:p>
                  </w:txbxContent>
                </v:textbox>
              </v:rect>
            </w:pict>
          </mc:Fallback>
        </mc:AlternateContent>
      </w:r>
    </w:p>
    <w:p>
      <w:pPr>
        <w:pStyle w:val="TextBody"/>
        <w:spacing w:before="9" w:after="283"/>
        <w:rPr/>
      </w:pPr>
      <w:r>
        <w:rPr/>
      </w:r>
    </w:p>
    <w:p>
      <w:pPr>
        <w:pStyle w:val="TextBody"/>
        <w:spacing w:lineRule="auto" w:line="319" w:before="0" w:after="0"/>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Company’s Successors</w:t>
      </w:r>
      <w:r>
        <w:rPr>
          <w:rFonts w:ascii="Arial;sans-serif" w:hAnsi="Arial;sans-serif"/>
          <w:b/>
          <w:color w:val="000000"/>
          <w:sz w:val="22"/>
        </w:rPr>
        <w:t xml:space="preserve">. </w:t>
      </w:r>
      <w:r>
        <w:rPr>
          <w:rFonts w:ascii="Arial;sans-serif" w:hAnsi="Arial;sans-serif"/>
          <w:b w:val="false"/>
          <w:color w:val="000000"/>
          <w:sz w:val="22"/>
        </w:rPr>
        <w:t>This Agreement shall be binding upon any successor (whether direct or indirect and whether by purchase, lease, merger, consolidation, liquidation or otherwise) to all or substantially all of the Company’s business and/or assets. For all purposes under this Agreement, the term “</w:t>
      </w:r>
      <w:r>
        <w:rPr>
          <w:rFonts w:ascii="Arial;sans-serif" w:hAnsi="Arial;sans-serif"/>
          <w:b/>
          <w:i/>
          <w:color w:val="000000"/>
          <w:sz w:val="22"/>
        </w:rPr>
        <w:t>Company</w:t>
      </w:r>
      <w:r>
        <w:rPr>
          <w:color w:val="000000"/>
        </w:rPr>
        <w:t xml:space="preserve">” </w:t>
      </w:r>
      <w:r>
        <w:rPr>
          <w:rFonts w:ascii="Arial;sans-serif" w:hAnsi="Arial;sans-serif"/>
          <w:b w:val="false"/>
          <w:color w:val="000000"/>
          <w:sz w:val="22"/>
        </w:rPr>
        <w:t>shall include any successor to the Company’s business or assets that become bound by this Agreement or any affiliate of any such successor that employs Executive.</w:t>
      </w:r>
    </w:p>
    <w:p>
      <w:pPr>
        <w:pStyle w:val="TextBody"/>
        <w:spacing w:lineRule="auto" w:line="319" w:before="201"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Executive’s Successors</w:t>
      </w:r>
      <w:r>
        <w:rPr>
          <w:rFonts w:ascii="Arial;sans-serif" w:hAnsi="Arial;sans-serif"/>
          <w:b/>
          <w:color w:val="000000"/>
          <w:sz w:val="22"/>
        </w:rPr>
        <w:t xml:space="preserve">. </w:t>
      </w:r>
      <w:r>
        <w:rPr>
          <w:rFonts w:ascii="Arial;sans-serif" w:hAnsi="Arial;sans-serif"/>
          <w:b w:val="false"/>
          <w:color w:val="000000"/>
          <w:sz w:val="22"/>
        </w:rPr>
        <w:t>This Agreement and all of Executive’s rights hereunder shall inure to the benefit of, and be enforceable by, Executive’s personal or legal representatives, executors, administrators, successors, heirs, distributees, devisees and legatees.</w:t>
      </w:r>
    </w:p>
    <w:p>
      <w:pPr>
        <w:pStyle w:val="TextBody"/>
        <w:spacing w:lineRule="auto" w:line="319" w:before="200" w:after="283"/>
        <w:ind w:left="0" w:right="0" w:hanging="360"/>
        <w:jc w:val="both"/>
        <w:rPr/>
      </w:pPr>
      <w:r>
        <w:rPr>
          <w:rFonts w:ascii="Arial;sans-serif" w:hAnsi="Arial;sans-serif"/>
          <w:b w:val="false"/>
          <w:color w:val="000000"/>
          <w:sz w:val="22"/>
        </w:rPr>
        <w:t>14.</w:t>
      </w:r>
      <w:r>
        <w:rPr>
          <w:rFonts w:ascii="Arial;sans-serif" w:hAnsi="Arial;sans-serif"/>
          <w:b/>
          <w:color w:val="000000"/>
          <w:sz w:val="22"/>
          <w:u w:val="single"/>
        </w:rPr>
        <w:t>Notice Prior to Resignation</w:t>
      </w:r>
      <w:r>
        <w:rPr>
          <w:rFonts w:ascii="Arial;sans-serif" w:hAnsi="Arial;sans-serif"/>
          <w:b w:val="false"/>
          <w:color w:val="000000"/>
          <w:sz w:val="22"/>
        </w:rPr>
        <w:t>. Executive agrees that it is reasonable and necessary for the Company to protect its confidential and proprietary information and to ensure a smooth transition in the event that Executive’s employment is terminated. Thus, Executive agrees that, in the event Executive resigns from employment with the</w:t>
      </w:r>
    </w:p>
    <w:p>
      <w:pPr>
        <w:pStyle w:val="TextBody"/>
        <w:spacing w:lineRule="auto" w:line="333" w:before="1" w:after="283"/>
        <w:jc w:val="both"/>
        <w:rPr>
          <w:rFonts w:ascii="Arial;sans-serif" w:hAnsi="Arial;sans-serif"/>
          <w:b w:val="false"/>
          <w:color w:val="000000"/>
          <w:sz w:val="22"/>
        </w:rPr>
      </w:pPr>
      <w:r>
        <w:rPr>
          <w:rFonts w:ascii="Arial;sans-serif" w:hAnsi="Arial;sans-serif"/>
          <w:b w:val="false"/>
          <w:color w:val="000000"/>
          <w:sz w:val="22"/>
        </w:rPr>
        <w:t>Company for any reason, Executive will provide ninety (90) days advance written notice of Executive’s resignation to Executive’s immediate manager (the “Notice Period”).</w:t>
      </w:r>
    </w:p>
    <w:p>
      <w:pPr>
        <w:pStyle w:val="TextBody"/>
        <w:spacing w:before="10" w:after="283"/>
        <w:rPr/>
      </w:pPr>
      <w:r>
        <w:rPr/>
      </w:r>
    </w:p>
    <w:p>
      <w:pPr>
        <w:pStyle w:val="TextBody"/>
        <w:spacing w:lineRule="auto" w:line="333" w:before="0" w:after="0"/>
        <w:ind w:left="0" w:right="0" w:hanging="360"/>
        <w:jc w:val="both"/>
        <w:rPr>
          <w:rFonts w:ascii="Arial;sans-serif" w:hAnsi="Arial;sans-serif"/>
          <w:b w:val="false"/>
          <w:color w:val="000000"/>
          <w:sz w:val="22"/>
        </w:rPr>
      </w:pPr>
      <w:r>
        <w:rPr>
          <w:rFonts w:ascii="Arial;sans-serif" w:hAnsi="Arial;sans-serif"/>
          <w:b w:val="false"/>
          <w:color w:val="000000"/>
          <w:sz w:val="22"/>
        </w:rPr>
        <w:t>a.Subject to the terms of this Agreement, during the Notice Period, Executive (i) will remain an Executive of the Company; (ii) will undertake all such duties and responsibilities as may reasonably be assigned by the Company including, but not limited to, assisting the Company with the transition of Executive’s duties with the Company and maintaining the Company’s business, business relationships and goodwill; (iii) will comply with all Company policies, this Agreement, and any other agreement with the Company concerning Executive’s employment; and (iv) will not work, consult or provide services on a full or part time basis for another person, Company, entity or corporation on a paid or unpaid basis.</w:t>
      </w:r>
    </w:p>
    <w:p>
      <w:pPr>
        <w:pStyle w:val="TextBody"/>
        <w:spacing w:before="0" w:after="0"/>
        <w:rPr/>
      </w:pPr>
      <w:r>
        <w:rPr/>
      </w:r>
    </w:p>
    <w:p>
      <w:pPr>
        <w:pStyle w:val="TextBody"/>
        <w:spacing w:before="2" w:after="283"/>
        <w:rPr/>
      </w:pPr>
      <w:r>
        <w:rPr/>
      </w:r>
    </w:p>
    <w:p>
      <w:pPr>
        <w:pStyle w:val="TextBody"/>
        <w:spacing w:lineRule="auto" w:line="333" w:before="0" w:after="0"/>
        <w:ind w:left="0" w:right="0" w:hanging="360"/>
        <w:jc w:val="both"/>
        <w:rPr>
          <w:rFonts w:ascii="Arial;sans-serif" w:hAnsi="Arial;sans-serif"/>
          <w:b w:val="false"/>
          <w:color w:val="000000"/>
          <w:sz w:val="22"/>
        </w:rPr>
      </w:pPr>
      <w:r>
        <w:rPr>
          <w:rFonts w:ascii="Arial;sans-serif" w:hAnsi="Arial;sans-serif"/>
          <w:b w:val="false"/>
          <w:color w:val="000000"/>
          <w:sz w:val="22"/>
        </w:rPr>
        <w:t>b.Provided Executive remains employed during the Notice Period, Executive will (i) continue to receive Executive’s base salary; and (ii) remain eligible to participate in the Company’s benefit plans and programs in which Executive is participating at the time of Executive’s resignation, subject to the terms of those plans and programs. However, after Executive has provided notice, Executive will no longer be eligible to receive any commission, bonus, or other discretionary incentive payments or awards, even if the Notice Period includes the date on which a commission, bonus, or other discretionary incentive payment or award would have been paid to Executive had Executive not provided notice.</w:t>
      </w:r>
    </w:p>
    <w:p>
      <w:pPr>
        <w:pStyle w:val="TextBody"/>
        <w:spacing w:before="0" w:after="0"/>
        <w:ind w:left="0" w:right="0" w:hanging="360"/>
        <w:jc w:val="both"/>
        <w:rPr/>
      </w:pPr>
      <w:r>
        <w:rPr/>
      </w:r>
    </w:p>
    <w:p>
      <w:pPr>
        <w:pStyle w:val="TextBody"/>
        <w:spacing w:lineRule="auto" w:line="333" w:before="0" w:after="0"/>
        <w:ind w:left="0" w:right="0" w:hanging="360"/>
        <w:jc w:val="both"/>
        <w:rPr>
          <w:rFonts w:ascii="Arial;sans-serif" w:hAnsi="Arial;sans-serif"/>
          <w:b w:val="false"/>
          <w:color w:val="000000"/>
          <w:sz w:val="22"/>
        </w:rPr>
      </w:pPr>
      <w:r>
        <w:rPr>
          <w:rFonts w:ascii="Arial;sans-serif" w:hAnsi="Arial;sans-serif"/>
          <w:b w:val="false"/>
          <w:color w:val="000000"/>
          <w:sz w:val="22"/>
        </w:rPr>
        <w:t xml:space="preserve">c.Executive agrees that the Company, in its sole discretion, may reduce the Notice Period by accelerating the termination of Executive’s employment to an earlier date that the Company selects, and the payment of all compensation and benefits shall cease as of such earlier termination date. Executive further agrees that, during the Notice Period, the Company may elect, in its sole discretion, to: (i) withdraw any powers vested in, or duties assigned to, the Executive; (ii) </w:t>
      </w:r>
      <w:r>
        <w:br w:type="page"/>
      </w:r>
    </w:p>
    <w:p>
      <w:pPr>
        <w:pStyle w:val="TextBody"/>
        <w:spacing w:before="0" w:after="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68350"/>
                <wp:effectExtent l="0" t="0" r="0" b="0"/>
                <wp:wrapNone/>
                <wp:docPr id="184" name="Frame182"/>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13</w:t>
                            </w:r>
                          </w:p>
                        </w:tc>
                      </w:tr>
                    </w:tbl>
                    <w:p>
                      <w:pPr>
                        <w:pStyle w:val="TextBody"/>
                        <w:spacing w:before="0" w:after="283"/>
                        <w:rPr/>
                      </w:pPr>
                      <w:r>
                        <w:rPr/>
                      </w:r>
                    </w:p>
                  </w:txbxContent>
                </v:textbox>
              </v:rect>
            </w:pict>
          </mc:Fallback>
        </mc:AlternateContent>
      </w:r>
    </w:p>
    <w:p>
      <w:pPr>
        <w:pStyle w:val="TextBody"/>
        <w:spacing w:lineRule="auto" w:line="333" w:before="0" w:after="0"/>
        <w:jc w:val="both"/>
        <w:rPr>
          <w:rFonts w:ascii="Arial;sans-serif" w:hAnsi="Arial;sans-serif"/>
          <w:b w:val="false"/>
          <w:color w:val="000000"/>
          <w:sz w:val="22"/>
        </w:rPr>
      </w:pPr>
      <w:r>
        <w:rPr>
          <w:rFonts w:ascii="Arial;sans-serif" w:hAnsi="Arial;sans-serif"/>
          <w:b w:val="false"/>
          <w:color w:val="000000"/>
          <w:sz w:val="22"/>
        </w:rPr>
        <w:t>discontinue or limit the Executive’s access to information or the Company’s systems; and (iii) prohibit the Executive from further entry to its premises.</w:t>
      </w:r>
    </w:p>
    <w:p>
      <w:pPr>
        <w:pStyle w:val="TextBody"/>
        <w:spacing w:before="10" w:after="283"/>
        <w:rPr/>
      </w:pPr>
      <w:r>
        <w:rPr/>
      </w:r>
    </w:p>
    <w:p>
      <w:pPr>
        <w:pStyle w:val="TextBody"/>
        <w:spacing w:lineRule="auto" w:line="319" w:before="1" w:after="283"/>
        <w:jc w:val="both"/>
        <w:rPr>
          <w:rFonts w:ascii="Arial;sans-serif" w:hAnsi="Arial;sans-serif"/>
          <w:b w:val="false"/>
          <w:color w:val="000000"/>
          <w:sz w:val="22"/>
        </w:rPr>
      </w:pPr>
      <w:r>
        <w:rPr>
          <w:rFonts w:ascii="Arial;sans-serif" w:hAnsi="Arial;sans-serif"/>
          <w:b w:val="false"/>
          <w:color w:val="000000"/>
          <w:sz w:val="22"/>
        </w:rPr>
        <w:t>Executive agrees that this Paragraph does not confer any guarantee with respect to the continuation of Executive’s employment with the Company nor in any way limits the Company’s right to terminate Executive’s employment at-will</w:t>
      </w:r>
    </w:p>
    <w:p>
      <w:pPr>
        <w:pStyle w:val="TextBody"/>
        <w:spacing w:lineRule="auto" w:line="319" w:before="200" w:after="283"/>
        <w:ind w:left="0" w:right="0" w:hanging="360"/>
        <w:jc w:val="both"/>
        <w:rPr/>
      </w:pPr>
      <w:r>
        <w:rPr>
          <w:rFonts w:ascii="Arial;sans-serif" w:hAnsi="Arial;sans-serif"/>
          <w:b w:val="false"/>
          <w:color w:val="000000"/>
          <w:sz w:val="22"/>
        </w:rPr>
        <w:t>15.</w:t>
      </w:r>
      <w:r>
        <w:rPr>
          <w:rFonts w:ascii="Arial;sans-serif" w:hAnsi="Arial;sans-serif"/>
          <w:b/>
          <w:color w:val="000000"/>
          <w:sz w:val="22"/>
          <w:u w:val="single"/>
        </w:rPr>
        <w:t>Limitations on Publicity</w:t>
      </w:r>
      <w:r>
        <w:rPr>
          <w:rFonts w:ascii="Arial;sans-serif" w:hAnsi="Arial;sans-serif"/>
          <w:b w:val="false"/>
          <w:color w:val="000000"/>
          <w:sz w:val="22"/>
        </w:rPr>
        <w:t>. Except for actions in the course of employment for the benefit of the Company or as may be authorized by the Company in writing, Executive will not be involved in the preparation of any book, article, story, video or film about the Company, its business or activities, and Executive will not give interviews about those subjects.</w:t>
      </w:r>
    </w:p>
    <w:p>
      <w:pPr>
        <w:pStyle w:val="TextBody"/>
        <w:spacing w:lineRule="auto" w:line="240" w:before="200" w:after="283"/>
        <w:ind w:left="0" w:right="0" w:hanging="361"/>
        <w:rPr/>
      </w:pPr>
      <w:r>
        <w:rPr>
          <w:rFonts w:ascii="Arial;sans-serif" w:hAnsi="Arial;sans-serif"/>
          <w:b w:val="false"/>
          <w:color w:val="000000"/>
          <w:sz w:val="22"/>
        </w:rPr>
        <w:t>16.</w:t>
      </w:r>
      <w:r>
        <w:rPr>
          <w:rFonts w:ascii="Arial;sans-serif" w:hAnsi="Arial;sans-serif"/>
          <w:b/>
          <w:color w:val="000000"/>
          <w:sz w:val="22"/>
          <w:u w:val="single"/>
        </w:rPr>
        <w:t>Miscellaneous Provisions</w:t>
      </w:r>
      <w:r>
        <w:rPr>
          <w:rFonts w:ascii="Arial;sans-serif" w:hAnsi="Arial;sans-serif"/>
          <w:b/>
          <w:color w:val="000000"/>
          <w:sz w:val="22"/>
        </w:rPr>
        <w:t>.</w:t>
      </w:r>
    </w:p>
    <w:p>
      <w:pPr>
        <w:pStyle w:val="TextBody"/>
        <w:spacing w:before="6" w:after="283"/>
        <w:rPr/>
      </w:pPr>
      <w:r>
        <w:rPr/>
      </w:r>
    </w:p>
    <w:p>
      <w:pPr>
        <w:pStyle w:val="TextBody"/>
        <w:spacing w:lineRule="auto" w:line="319" w:before="0" w:after="0"/>
        <w:ind w:left="0" w:right="0" w:hanging="360"/>
        <w:jc w:val="both"/>
        <w:rPr/>
      </w:pPr>
      <w:r>
        <w:rPr>
          <w:rFonts w:ascii="Arial;sans-serif" w:hAnsi="Arial;sans-serif"/>
          <w:b w:val="false"/>
          <w:color w:val="000000"/>
          <w:sz w:val="22"/>
        </w:rPr>
        <w:t>a.</w:t>
      </w:r>
      <w:r>
        <w:rPr>
          <w:rFonts w:ascii="Arial;sans-serif" w:hAnsi="Arial;sans-serif"/>
          <w:b/>
          <w:color w:val="000000"/>
          <w:sz w:val="22"/>
          <w:u w:val="single"/>
        </w:rPr>
        <w:t>Indemnification</w:t>
      </w:r>
      <w:r>
        <w:rPr>
          <w:rFonts w:ascii="Arial;sans-serif" w:hAnsi="Arial;sans-serif"/>
          <w:b/>
          <w:color w:val="000000"/>
          <w:sz w:val="22"/>
        </w:rPr>
        <w:t xml:space="preserve">. </w:t>
      </w:r>
      <w:r>
        <w:rPr>
          <w:rFonts w:ascii="Arial;sans-serif" w:hAnsi="Arial;sans-serif"/>
          <w:b w:val="false"/>
          <w:color w:val="000000"/>
          <w:sz w:val="22"/>
        </w:rPr>
        <w:t>The Company shall indemnify Executive to the maximum extent permitted by applicable law 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pStyle w:val="TextBody"/>
        <w:spacing w:lineRule="auto" w:line="319" w:before="202" w:after="283"/>
        <w:ind w:left="0" w:right="0" w:hanging="360"/>
        <w:jc w:val="both"/>
        <w:rPr/>
      </w:pPr>
      <w:r>
        <w:rPr>
          <w:rFonts w:ascii="Arial;sans-serif" w:hAnsi="Arial;sans-serif"/>
          <w:b w:val="false"/>
          <w:color w:val="000000"/>
          <w:sz w:val="22"/>
        </w:rPr>
        <w:t>b.</w:t>
      </w:r>
      <w:r>
        <w:rPr>
          <w:rFonts w:ascii="Arial;sans-serif" w:hAnsi="Arial;sans-serif"/>
          <w:b/>
          <w:color w:val="000000"/>
          <w:sz w:val="22"/>
          <w:u w:val="single"/>
        </w:rPr>
        <w:t>Headings</w:t>
      </w:r>
      <w:r>
        <w:rPr>
          <w:rFonts w:ascii="Arial;sans-serif" w:hAnsi="Arial;sans-serif"/>
          <w:b w:val="false"/>
          <w:color w:val="000000"/>
          <w:sz w:val="22"/>
        </w:rPr>
        <w:t>. All captions and section headings used in this Agreement are for convenient reference only and do not form a part of this Agreement.</w:t>
      </w:r>
    </w:p>
    <w:p>
      <w:pPr>
        <w:pStyle w:val="TextBody"/>
        <w:spacing w:lineRule="auto" w:line="240" w:before="201" w:after="283"/>
        <w:ind w:left="0" w:right="0" w:hanging="361"/>
        <w:rPr/>
      </w:pPr>
      <w:r>
        <w:rPr>
          <w:rFonts w:ascii="Arial;sans-serif" w:hAnsi="Arial;sans-serif"/>
          <w:b w:val="false"/>
          <w:color w:val="000000"/>
          <w:sz w:val="22"/>
        </w:rPr>
        <w:t>c.</w:t>
      </w:r>
      <w:r>
        <w:rPr>
          <w:rFonts w:ascii="Arial;sans-serif" w:hAnsi="Arial;sans-serif"/>
          <w:b/>
          <w:color w:val="000000"/>
          <w:sz w:val="22"/>
          <w:u w:val="single"/>
        </w:rPr>
        <w:t>Notice</w:t>
      </w:r>
      <w:r>
        <w:rPr>
          <w:rFonts w:ascii="Arial;sans-serif" w:hAnsi="Arial;sans-serif"/>
          <w:b/>
          <w:color w:val="000000"/>
          <w:sz w:val="22"/>
        </w:rPr>
        <w:t>.</w:t>
      </w:r>
    </w:p>
    <w:p>
      <w:pPr>
        <w:pStyle w:val="TextBody"/>
        <w:spacing w:before="8" w:after="283"/>
        <w:rPr/>
      </w:pPr>
      <w:r>
        <w:rPr/>
      </w:r>
    </w:p>
    <w:p>
      <w:pPr>
        <w:pStyle w:val="TextBody"/>
        <w:spacing w:lineRule="auto" w:line="319" w:before="1" w:after="283"/>
        <w:ind w:left="0" w:right="0" w:hanging="471"/>
        <w:jc w:val="both"/>
        <w:rPr/>
      </w:pPr>
      <w:r>
        <w:rPr>
          <w:rFonts w:ascii="Arial;sans-serif" w:hAnsi="Arial;sans-serif"/>
          <w:b w:val="false"/>
          <w:color w:val="000000"/>
          <w:sz w:val="22"/>
        </w:rPr>
        <w:t>i.</w:t>
      </w:r>
      <w:r>
        <w:rPr>
          <w:rFonts w:ascii="Arial;sans-serif" w:hAnsi="Arial;sans-serif"/>
          <w:b w:val="false"/>
          <w:color w:val="000000"/>
          <w:sz w:val="22"/>
          <w:u w:val="single"/>
        </w:rPr>
        <w:t>General</w:t>
      </w:r>
      <w:r>
        <w:rPr>
          <w:rFonts w:ascii="Arial;sans-serif" w:hAnsi="Arial;sans-serif"/>
          <w:b w:val="false"/>
          <w:color w:val="000000"/>
          <w:sz w:val="22"/>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pStyle w:val="TextBody"/>
        <w:spacing w:lineRule="auto" w:line="319" w:before="200" w:after="283"/>
        <w:ind w:left="0" w:right="0" w:hanging="519"/>
        <w:jc w:val="both"/>
        <w:rPr/>
      </w:pPr>
      <w:r>
        <w:rPr>
          <w:rFonts w:ascii="Arial;sans-serif" w:hAnsi="Arial;sans-serif"/>
          <w:b w:val="false"/>
          <w:color w:val="000000"/>
          <w:sz w:val="22"/>
        </w:rPr>
        <w:t>ii.</w:t>
      </w:r>
      <w:r>
        <w:rPr>
          <w:rFonts w:ascii="Arial;sans-serif" w:hAnsi="Arial;sans-serif"/>
          <w:b w:val="false"/>
          <w:color w:val="000000"/>
          <w:sz w:val="22"/>
          <w:u w:val="single"/>
        </w:rPr>
        <w:t>Notice of Termination</w:t>
      </w:r>
      <w:r>
        <w:rPr>
          <w:rFonts w:ascii="Arial;sans-serif" w:hAnsi="Arial;sans-serif"/>
          <w:b w:val="false"/>
          <w:color w:val="000000"/>
          <w:sz w:val="22"/>
        </w:rPr>
        <w:t xml:space="preserve">. Any termination by the Company for Cause or by Executive for Good Reason will be communicated by a notice of termination to the other party hereto given in accordance with Section 15(b)(i)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t>
      </w:r>
      <w:r>
        <w:br w:type="page"/>
      </w:r>
    </w:p>
    <w:p>
      <w:pPr>
        <w:pStyle w:val="TextBody"/>
        <w:spacing w:before="0" w:after="0"/>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68350"/>
                <wp:effectExtent l="0" t="0" r="0" b="0"/>
                <wp:wrapNone/>
                <wp:docPr id="185" name="Frame183"/>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14</w:t>
                            </w:r>
                          </w:p>
                        </w:tc>
                      </w:tr>
                    </w:tbl>
                    <w:p>
                      <w:pPr>
                        <w:pStyle w:val="TextBody"/>
                        <w:spacing w:before="0" w:after="283"/>
                        <w:rPr/>
                      </w:pPr>
                      <w:r>
                        <w:rPr/>
                      </w:r>
                    </w:p>
                  </w:txbxContent>
                </v:textbox>
              </v:rect>
            </w:pict>
          </mc:Fallback>
        </mc:AlternateContent>
      </w:r>
    </w:p>
    <w:p>
      <w:pPr>
        <w:pStyle w:val="TextBody"/>
        <w:spacing w:lineRule="auto" w:line="319" w:before="200" w:after="283"/>
        <w:jc w:val="both"/>
        <w:rPr>
          <w:rFonts w:ascii="Arial;sans-serif" w:hAnsi="Arial;sans-serif"/>
          <w:b w:val="false"/>
          <w:color w:val="000000"/>
          <w:sz w:val="22"/>
        </w:rPr>
      </w:pPr>
      <w:r>
        <w:rPr>
          <w:rFonts w:ascii="Arial;sans-serif" w:hAnsi="Arial;sans-serif"/>
          <w:b w:val="false"/>
          <w:color w:val="000000"/>
          <w:sz w:val="22"/>
        </w:rPr>
        <w:t>without Good Reason will be communicated by Executive to the Company upon sixty (60) days advance written notice.</w:t>
      </w:r>
    </w:p>
    <w:p>
      <w:pPr>
        <w:pStyle w:val="TextBody"/>
        <w:spacing w:lineRule="auto" w:line="319" w:before="201" w:after="283"/>
        <w:ind w:left="0" w:right="0" w:hanging="360"/>
        <w:jc w:val="both"/>
        <w:rPr/>
      </w:pPr>
      <w:r>
        <w:rPr>
          <w:rFonts w:ascii="Arial;sans-serif" w:hAnsi="Arial;sans-serif"/>
          <w:b w:val="false"/>
          <w:color w:val="000000"/>
          <w:sz w:val="22"/>
        </w:rPr>
        <w:t>d.</w:t>
      </w:r>
      <w:r>
        <w:rPr>
          <w:rFonts w:ascii="Arial;sans-serif" w:hAnsi="Arial;sans-serif"/>
          <w:b/>
          <w:color w:val="000000"/>
          <w:sz w:val="22"/>
          <w:u w:val="single"/>
        </w:rPr>
        <w:t>Modifications and Waivers</w:t>
      </w:r>
      <w:r>
        <w:rPr>
          <w:rFonts w:ascii="Arial;sans-serif" w:hAnsi="Arial;sans-serif"/>
          <w:b/>
          <w:color w:val="000000"/>
          <w:sz w:val="22"/>
        </w:rPr>
        <w:t xml:space="preserve">. </w:t>
      </w:r>
      <w:r>
        <w:rPr>
          <w:rFonts w:ascii="Arial;sans-serif" w:hAnsi="Arial;sans-serif"/>
          <w:b w:val="false"/>
          <w:color w:val="000000"/>
          <w:sz w:val="22"/>
        </w:rPr>
        <w:t>No provision of this Agreement shall be modified, waived or discharged unless the modification, waiver or discharge is agreed to in writing and signed by Executive and by an authorized officer of the Company (other than Executive ).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spacing w:lineRule="auto" w:line="319" w:before="200" w:after="283"/>
        <w:ind w:left="0" w:right="0" w:hanging="360"/>
        <w:jc w:val="both"/>
        <w:rPr/>
      </w:pPr>
      <w:r>
        <w:rPr>
          <w:rFonts w:ascii="Arial;sans-serif" w:hAnsi="Arial;sans-serif"/>
          <w:b w:val="false"/>
          <w:color w:val="000000"/>
          <w:sz w:val="22"/>
        </w:rPr>
        <w:t>e.</w:t>
      </w:r>
      <w:r>
        <w:rPr>
          <w:rFonts w:ascii="Arial;sans-serif" w:hAnsi="Arial;sans-serif"/>
          <w:b/>
          <w:color w:val="000000"/>
          <w:sz w:val="22"/>
          <w:u w:val="single"/>
        </w:rPr>
        <w:t>Entire Agreement</w:t>
      </w:r>
      <w:r>
        <w:rPr>
          <w:rFonts w:ascii="Arial;sans-serif" w:hAnsi="Arial;sans-serif"/>
          <w:b/>
          <w:color w:val="000000"/>
          <w:sz w:val="22"/>
        </w:rPr>
        <w:t xml:space="preserve">. </w:t>
      </w:r>
      <w:r>
        <w:rPr>
          <w:rFonts w:ascii="Arial;sans-serif" w:hAnsi="Arial;sans-serif"/>
          <w:b w:val="false"/>
          <w:color w:val="000000"/>
          <w:sz w:val="22"/>
        </w:rPr>
        <w:t>This Agreement and the Confidentiality Agreement contain the entire understanding of the parties with respect to the subject matter hereof and supersede all other prior or contemporaneous discussions, understandings and agreements, whether oral or written, between them relating to the subject matter hereof.</w:t>
      </w:r>
    </w:p>
    <w:p>
      <w:pPr>
        <w:pStyle w:val="TextBody"/>
        <w:spacing w:lineRule="auto" w:line="319" w:before="200" w:after="283"/>
        <w:ind w:left="0" w:right="0" w:hanging="360"/>
        <w:jc w:val="both"/>
        <w:rPr/>
      </w:pPr>
      <w:r>
        <w:rPr>
          <w:rFonts w:ascii="Arial;sans-serif" w:hAnsi="Arial;sans-serif"/>
          <w:b w:val="false"/>
          <w:color w:val="000000"/>
          <w:sz w:val="22"/>
        </w:rPr>
        <w:t>f.</w:t>
      </w:r>
      <w:r>
        <w:rPr>
          <w:rFonts w:ascii="Arial;sans-serif" w:hAnsi="Arial;sans-serif"/>
          <w:b/>
          <w:color w:val="000000"/>
          <w:sz w:val="22"/>
          <w:u w:val="single"/>
        </w:rPr>
        <w:t>Withholding Taxes</w:t>
      </w:r>
      <w:r>
        <w:rPr>
          <w:rFonts w:ascii="Arial;sans-serif" w:hAnsi="Arial;sans-serif"/>
          <w:b/>
          <w:color w:val="000000"/>
          <w:sz w:val="22"/>
        </w:rPr>
        <w:t xml:space="preserve">. </w:t>
      </w:r>
      <w:r>
        <w:rPr>
          <w:rFonts w:ascii="Arial;sans-serif" w:hAnsi="Arial;sans-serif"/>
          <w:b w:val="false"/>
          <w:color w:val="000000"/>
          <w:sz w:val="22"/>
        </w:rPr>
        <w:t>All payments made under this Agreement shall be subject to reduction to reflect taxes or other deductions required to be withheld by law.</w:t>
      </w:r>
    </w:p>
    <w:p>
      <w:pPr>
        <w:pStyle w:val="TextBody"/>
        <w:spacing w:lineRule="auto" w:line="319" w:before="200" w:after="283"/>
        <w:ind w:left="0" w:right="0" w:hanging="360"/>
        <w:jc w:val="both"/>
        <w:rPr/>
      </w:pPr>
      <w:r>
        <w:rPr>
          <w:rFonts w:ascii="Arial;sans-serif" w:hAnsi="Arial;sans-serif"/>
          <w:b w:val="false"/>
          <w:color w:val="000000"/>
          <w:sz w:val="22"/>
        </w:rPr>
        <w:t>g.</w:t>
      </w:r>
      <w:r>
        <w:rPr>
          <w:rFonts w:ascii="Arial;sans-serif" w:hAnsi="Arial;sans-serif"/>
          <w:b/>
          <w:color w:val="000000"/>
          <w:sz w:val="22"/>
          <w:u w:val="single"/>
        </w:rPr>
        <w:t>Choice of Law and Severability</w:t>
      </w:r>
      <w:r>
        <w:rPr>
          <w:rFonts w:ascii="Arial;sans-serif" w:hAnsi="Arial;sans-serif"/>
          <w:b/>
          <w:color w:val="000000"/>
          <w:sz w:val="22"/>
        </w:rPr>
        <w:t xml:space="preserve">. </w:t>
      </w:r>
      <w:r>
        <w:rPr>
          <w:rFonts w:ascii="Arial;sans-serif" w:hAnsi="Arial;sans-serif"/>
          <w:b w:val="false"/>
          <w:color w:val="000000"/>
          <w:sz w:val="22"/>
        </w:rPr>
        <w:t>This Agreement shall be interpreted in accordance with the laws of the State of Texas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Arial;sans-serif" w:hAnsi="Arial;sans-serif"/>
          <w:b/>
          <w:i/>
          <w:color w:val="000000"/>
          <w:sz w:val="22"/>
        </w:rPr>
        <w:t>Law</w:t>
      </w:r>
      <w:r>
        <w:rPr>
          <w:color w:val="000000"/>
        </w:rPr>
        <w:t>”</w:t>
      </w:r>
      <w:r>
        <w:rPr>
          <w:rFonts w:ascii="Arial;sans-serif" w:hAnsi="Arial;sans-serif"/>
          <w:b w:val="false"/>
          <w:color w:val="000000"/>
          <w:sz w:val="22"/>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pStyle w:val="TextBody"/>
        <w:spacing w:lineRule="auto" w:line="319" w:before="200" w:after="283"/>
        <w:ind w:left="0" w:right="0" w:hanging="360"/>
        <w:jc w:val="both"/>
        <w:rPr/>
      </w:pPr>
      <w:r>
        <w:rPr>
          <w:rFonts w:ascii="Arial;sans-serif" w:hAnsi="Arial;sans-serif"/>
          <w:b w:val="false"/>
          <w:color w:val="000000"/>
          <w:sz w:val="22"/>
        </w:rPr>
        <w:t>h.</w:t>
      </w:r>
      <w:r>
        <w:rPr>
          <w:rFonts w:ascii="Arial;sans-serif" w:hAnsi="Arial;sans-serif"/>
          <w:b/>
          <w:color w:val="000000"/>
          <w:sz w:val="22"/>
          <w:u w:val="single"/>
        </w:rPr>
        <w:t>No Assignment</w:t>
      </w:r>
      <w:r>
        <w:rPr>
          <w:rFonts w:ascii="Arial;sans-serif" w:hAnsi="Arial;sans-serif"/>
          <w:b/>
          <w:color w:val="000000"/>
          <w:sz w:val="22"/>
        </w:rPr>
        <w:t xml:space="preserve">. </w:t>
      </w:r>
      <w:r>
        <w:rPr>
          <w:rFonts w:ascii="Arial;sans-serif" w:hAnsi="Arial;sans-serif"/>
          <w:b w:val="false"/>
          <w:color w:val="000000"/>
          <w:sz w:val="22"/>
        </w:rPr>
        <w:t>This Agreement and all of Executive’s rights and obligations hereunder are personal to Executive 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pStyle w:val="TextBody"/>
        <w:spacing w:lineRule="auto" w:line="319" w:before="199" w:after="283"/>
        <w:ind w:left="0" w:right="0" w:hanging="360"/>
        <w:jc w:val="both"/>
        <w:rPr/>
      </w:pPr>
      <w:r>
        <w:rPr>
          <w:rFonts w:ascii="Arial;sans-serif" w:hAnsi="Arial;sans-serif"/>
          <w:b w:val="false"/>
          <w:color w:val="000000"/>
          <w:sz w:val="22"/>
        </w:rPr>
        <w:t>i.</w:t>
      </w:r>
      <w:r>
        <w:rPr>
          <w:rFonts w:ascii="Arial;sans-serif" w:hAnsi="Arial;sans-serif"/>
          <w:b/>
          <w:color w:val="000000"/>
          <w:sz w:val="22"/>
          <w:u w:val="single"/>
        </w:rPr>
        <w:t>Acknowledgment</w:t>
      </w:r>
      <w:r>
        <w:rPr>
          <w:rFonts w:ascii="Arial;sans-serif" w:hAnsi="Arial;sans-serif"/>
          <w:b w:val="false"/>
          <w:color w:val="000000"/>
          <w:sz w:val="22"/>
        </w:rPr>
        <w:t>. Executive acknowledges that Executive has had the opportunity to discuss this matter with and obtain advice from Executive’s personal attorney, has had sufficient time to, and has carefully read and fully understood all the provisions of this Agreement, and is knowingly and voluntarily entering into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68350"/>
                <wp:effectExtent l="0" t="0" r="0" b="0"/>
                <wp:wrapNone/>
                <wp:docPr id="186" name="Frame184"/>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15</w:t>
                            </w:r>
                          </w:p>
                        </w:tc>
                      </w:tr>
                    </w:tbl>
                    <w:p>
                      <w:pPr>
                        <w:pStyle w:val="TextBody"/>
                        <w:spacing w:before="0" w:after="283"/>
                        <w:rPr/>
                      </w:pPr>
                      <w:r>
                        <w:rPr/>
                      </w:r>
                    </w:p>
                  </w:txbxContent>
                </v:textbox>
              </v:rect>
            </w:pict>
          </mc:Fallback>
        </mc:AlternateContent>
      </w:r>
    </w:p>
    <w:p>
      <w:pPr>
        <w:pStyle w:val="TextBody"/>
        <w:spacing w:lineRule="auto" w:line="319" w:before="202" w:after="283"/>
        <w:ind w:left="0" w:right="0" w:hanging="360"/>
        <w:jc w:val="both"/>
        <w:rPr/>
      </w:pPr>
      <w:r>
        <w:rPr>
          <w:rFonts w:ascii="Arial;sans-serif" w:hAnsi="Arial;sans-serif"/>
          <w:b w:val="false"/>
          <w:color w:val="000000"/>
          <w:sz w:val="22"/>
        </w:rPr>
        <w:t>j.</w:t>
      </w:r>
      <w:r>
        <w:rPr>
          <w:rFonts w:ascii="Arial;sans-serif" w:hAnsi="Arial;sans-serif"/>
          <w:b/>
          <w:color w:val="000000"/>
          <w:sz w:val="22"/>
          <w:u w:val="single"/>
        </w:rPr>
        <w:t>Counterparts</w:t>
      </w:r>
      <w:r>
        <w:rPr>
          <w:rFonts w:ascii="Arial;sans-serif" w:hAnsi="Arial;sans-serif"/>
          <w:b/>
          <w:color w:val="000000"/>
          <w:sz w:val="22"/>
        </w:rPr>
        <w:t xml:space="preserve">. </w:t>
      </w:r>
      <w:r>
        <w:rPr>
          <w:rFonts w:ascii="Arial;sans-serif" w:hAnsi="Arial;sans-serif"/>
          <w:b w:val="false"/>
          <w:color w:val="000000"/>
          <w:sz w:val="22"/>
        </w:rPr>
        <w:t>This Agreement may be executed in two or more counterparts, each of which shall be deemed an original, but all of which together shall constitute one and the same instrument. Execution of a facsimile copy will have the same force and effect as execution of an original, and a facsimile signature will be deemed an original and valid signature.</w:t>
      </w:r>
    </w:p>
    <w:p>
      <w:pPr>
        <w:pStyle w:val="TextBody"/>
        <w:spacing w:lineRule="auto" w:line="319" w:before="199" w:after="283"/>
        <w:ind w:left="0" w:right="0" w:hanging="360"/>
        <w:jc w:val="both"/>
        <w:rPr/>
      </w:pPr>
      <w:r>
        <w:rPr>
          <w:rFonts w:ascii="Arial;sans-serif" w:hAnsi="Arial;sans-serif"/>
          <w:b w:val="false"/>
          <w:color w:val="000000"/>
          <w:sz w:val="22"/>
        </w:rPr>
        <w:t>k.</w:t>
      </w:r>
      <w:r>
        <w:rPr>
          <w:rFonts w:ascii="Arial;sans-serif" w:hAnsi="Arial;sans-serif"/>
          <w:b/>
          <w:color w:val="000000"/>
          <w:sz w:val="22"/>
          <w:u w:val="single"/>
        </w:rPr>
        <w:t>Electronic Delivery</w:t>
      </w:r>
      <w:r>
        <w:rPr>
          <w:rFonts w:ascii="Arial;sans-serif" w:hAnsi="Arial;sans-serif"/>
          <w:b/>
          <w:color w:val="000000"/>
          <w:sz w:val="22"/>
        </w:rPr>
        <w:t xml:space="preserve">. </w:t>
      </w:r>
      <w:r>
        <w:rPr>
          <w:rFonts w:ascii="Arial;sans-serif" w:hAnsi="Arial;sans-serif"/>
          <w:b w:val="false"/>
          <w:color w:val="000000"/>
          <w:sz w:val="22"/>
        </w:rPr>
        <w:t>The Company may, in its sole discretion, decide to deliver any documents or notices related 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pStyle w:val="TextBody"/>
        <w:spacing w:before="0" w:after="0"/>
        <w:rPr/>
      </w:pPr>
      <w:r>
        <w:rPr/>
      </w:r>
    </w:p>
    <w:p>
      <w:pPr>
        <w:pStyle w:val="TextBody"/>
        <w:spacing w:lineRule="auto" w:line="240" w:before="1" w:after="283"/>
        <w:jc w:val="center"/>
        <w:rPr>
          <w:rFonts w:ascii="Arial;sans-serif" w:hAnsi="Arial;sans-serif"/>
          <w:b w:val="false"/>
          <w:i/>
          <w:color w:val="000000"/>
          <w:sz w:val="22"/>
        </w:rPr>
      </w:pPr>
      <w:r>
        <w:rPr>
          <w:rFonts w:ascii="Arial;sans-serif" w:hAnsi="Arial;sans-serif"/>
          <w:b w:val="false"/>
          <w:i/>
          <w:color w:val="000000"/>
          <w:sz w:val="22"/>
        </w:rPr>
        <w:t>[Signature Page Follows]</w:t>
      </w:r>
    </w:p>
    <w:p>
      <w:pPr>
        <w:pStyle w:val="TextBody"/>
        <w:spacing w:before="1" w:after="283"/>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68350"/>
                <wp:effectExtent l="0" t="0" r="0" b="0"/>
                <wp:wrapNone/>
                <wp:docPr id="187" name="Frame185"/>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16</w:t>
                            </w:r>
                          </w:p>
                        </w:tc>
                      </w:tr>
                    </w:tbl>
                    <w:p>
                      <w:pPr>
                        <w:pStyle w:val="TextBody"/>
                        <w:spacing w:before="0" w:after="283"/>
                        <w:rPr/>
                      </w:pPr>
                      <w:r>
                        <w:rPr/>
                      </w:r>
                    </w:p>
                  </w:txbxContent>
                </v:textbox>
              </v:rect>
            </w:pict>
          </mc:Fallback>
        </mc:AlternateContent>
      </w:r>
    </w:p>
    <w:p>
      <w:pPr>
        <w:pStyle w:val="TextBody"/>
        <w:spacing w:lineRule="auto" w:line="319" w:before="94" w:after="283"/>
        <w:jc w:val="both"/>
        <w:rPr>
          <w:rFonts w:ascii="Arial;sans-serif" w:hAnsi="Arial;sans-serif"/>
          <w:b w:val="false"/>
          <w:color w:val="000000"/>
          <w:sz w:val="22"/>
        </w:rPr>
      </w:pPr>
      <w:r>
        <w:rPr>
          <w:rFonts w:ascii="Arial;sans-serif" w:hAnsi="Arial;sans-serif"/>
          <w:b w:val="false"/>
          <w:color w:val="000000"/>
          <w:sz w:val="22"/>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199" w:after="283"/>
        <w:rPr>
          <w:rFonts w:ascii="Calibri;sans-serif" w:hAnsi="Calibri;sans-serif"/>
          <w:b w:val="false"/>
          <w:color w:val="000000"/>
          <w:sz w:val="22"/>
        </w:rPr>
      </w:pPr>
      <w:r>
        <w:rPr>
          <w:rFonts w:ascii="Calibri;sans-serif" w:hAnsi="Calibri;sans-serif"/>
          <w:b w:val="false"/>
          <w:color w:val="000000"/>
          <w:sz w:val="22"/>
        </w:rPr>
        <w:t>Very truly yours,</w:t>
      </w:r>
    </w:p>
    <w:p>
      <w:pPr>
        <w:pStyle w:val="TextBody"/>
        <w:spacing w:before="0" w:after="0"/>
        <w:rPr/>
      </w:pPr>
      <w:r>
        <w:rPr/>
      </w:r>
    </w:p>
    <w:p>
      <w:pPr>
        <w:pStyle w:val="TextBody"/>
        <w:spacing w:before="0" w:after="0"/>
        <w:rPr/>
      </w:pPr>
      <w:r>
        <w:rPr/>
      </w:r>
    </w:p>
    <w:p>
      <w:pPr>
        <w:pStyle w:val="TextBody"/>
        <w:spacing w:lineRule="auto" w:line="240" w:before="0" w:after="0"/>
        <w:rPr/>
      </w:pPr>
      <w:r>
        <w:rPr>
          <w:rFonts w:ascii="Arial;sans-serif" w:hAnsi="Arial;sans-serif"/>
          <w:b w:val="false"/>
          <w:color w:val="000000"/>
          <w:sz w:val="22"/>
        </w:rPr>
        <w:t>By</w:t>
      </w:r>
      <w:r>
        <w:rPr>
          <w:rFonts w:ascii="Arial;sans-serif" w:hAnsi="Arial;sans-serif"/>
          <w:b w:val="false"/>
          <w:color w:val="000000"/>
          <w:sz w:val="20"/>
        </w:rPr>
        <w:t xml:space="preserve">: </w:t>
      </w:r>
      <w:r>
        <w:rPr>
          <w:rFonts w:ascii="Arial;sans-serif" w:hAnsi="Arial;sans-serif"/>
          <w:b w:val="false"/>
          <w:color w:val="000000"/>
          <w:sz w:val="22"/>
          <w:u w:val="single"/>
        </w:rPr>
        <w:t xml:space="preserve">/s/ Vivek Garipalli </w:t>
      </w:r>
    </w:p>
    <w:p>
      <w:pPr>
        <w:pStyle w:val="TextBody"/>
        <w:spacing w:lineRule="auto" w:line="240" w:before="0" w:after="0"/>
        <w:rPr>
          <w:rFonts w:ascii="Arial;sans-serif" w:hAnsi="Arial;sans-serif"/>
          <w:b w:val="false"/>
          <w:color w:val="000000"/>
          <w:sz w:val="22"/>
        </w:rPr>
      </w:pPr>
      <w:r>
        <w:rPr>
          <w:rFonts w:ascii="Arial;sans-serif" w:hAnsi="Arial;sans-serif"/>
          <w:b w:val="false"/>
          <w:color w:val="000000"/>
          <w:sz w:val="22"/>
        </w:rPr>
        <w:t>Vivek Garipalli, CEO &amp; Co-Founder</w:t>
      </w:r>
    </w:p>
    <w:p>
      <w:pPr>
        <w:pStyle w:val="TextBody"/>
        <w:spacing w:before="0" w:after="0"/>
        <w:rPr/>
      </w:pPr>
      <w:r>
        <w:rPr/>
      </w:r>
    </w:p>
    <w:p>
      <w:pPr>
        <w:pStyle w:val="TextBody"/>
        <w:spacing w:before="0" w:after="0"/>
        <w:rPr/>
      </w:pPr>
      <w:r>
        <w:rPr/>
      </w:r>
    </w:p>
    <w:p>
      <w:pPr>
        <w:pStyle w:val="TextBody"/>
        <w:spacing w:lineRule="auto" w:line="240" w:before="106" w:after="283"/>
        <w:rPr>
          <w:rFonts w:ascii="Calibri;sans-serif" w:hAnsi="Calibri;sans-serif"/>
          <w:b/>
          <w:color w:val="000000"/>
          <w:sz w:val="22"/>
        </w:rPr>
      </w:pPr>
      <w:r>
        <w:rPr>
          <w:rFonts w:ascii="Calibri;sans-serif" w:hAnsi="Calibri;sans-serif"/>
          <w:b/>
          <w:color w:val="000000"/>
          <w:sz w:val="22"/>
        </w:rPr>
        <w:t>Agreed to and Accepted by:</w:t>
      </w:r>
    </w:p>
    <w:p>
      <w:pPr>
        <w:pStyle w:val="TextBody"/>
        <w:spacing w:before="0" w:after="0"/>
        <w:rPr/>
      </w:pPr>
      <w:r>
        <w:rPr/>
      </w:r>
    </w:p>
    <w:p>
      <w:pPr>
        <w:pStyle w:val="TextBody"/>
        <w:spacing w:before="0" w:after="0"/>
        <w:rPr/>
      </w:pPr>
      <w:r>
        <w:rPr/>
      </w:r>
    </w:p>
    <w:p>
      <w:pPr>
        <w:pStyle w:val="TextBody"/>
        <w:spacing w:before="2" w:after="283"/>
        <w:rPr/>
      </w:pPr>
      <w:r>
        <w:rPr/>
      </w:r>
    </w:p>
    <w:p>
      <w:pPr>
        <w:pStyle w:val="TextBody"/>
        <w:spacing w:lineRule="auto" w:line="240" w:before="0" w:after="0"/>
        <w:rPr>
          <w:rFonts w:ascii="Arial;sans-serif" w:hAnsi="Arial;sans-serif"/>
          <w:b w:val="false"/>
          <w:color w:val="000000"/>
          <w:sz w:val="22"/>
          <w:u w:val="single"/>
        </w:rPr>
      </w:pPr>
      <w:r>
        <w:rPr>
          <w:rFonts w:ascii="Arial;sans-serif" w:hAnsi="Arial;sans-serif"/>
          <w:b w:val="false"/>
          <w:color w:val="000000"/>
          <w:sz w:val="22"/>
          <w:u w:val="single"/>
        </w:rPr>
        <w:t xml:space="preserve">/s/ Jamie Reynoso </w:t>
      </w:r>
    </w:p>
    <w:p>
      <w:pPr>
        <w:pStyle w:val="TextBody"/>
        <w:spacing w:lineRule="auto" w:line="240" w:before="105" w:after="283"/>
        <w:rPr>
          <w:rFonts w:ascii="Calibri;sans-serif" w:hAnsi="Calibri;sans-serif"/>
          <w:b w:val="false"/>
          <w:color w:val="000000"/>
          <w:sz w:val="22"/>
        </w:rPr>
      </w:pPr>
      <w:r>
        <w:rPr>
          <w:rFonts w:ascii="Calibri;sans-serif" w:hAnsi="Calibri;sans-serif"/>
          <w:b w:val="false"/>
          <w:color w:val="000000"/>
          <w:sz w:val="22"/>
        </w:rPr>
        <w:t>Jamie Reynoso</w:t>
      </w:r>
    </w:p>
    <w:p>
      <w:pPr>
        <w:pStyle w:val="TextBody"/>
        <w:spacing w:lineRule="auto" w:line="240" w:before="149" w:after="283"/>
        <w:rPr>
          <w:rFonts w:ascii="Arial;sans-serif" w:hAnsi="Arial;sans-serif"/>
          <w:b w:val="false"/>
          <w:color w:val="000000"/>
          <w:sz w:val="18"/>
          <w:highlight w:val="black"/>
        </w:rPr>
      </w:pPr>
      <w:r>
        <w:rPr>
          <w:rFonts w:ascii="Arial;sans-serif" w:hAnsi="Arial;sans-serif"/>
          <w:b w:val="false"/>
          <w:color w:val="000000"/>
          <w:sz w:val="18"/>
          <w:highlight w:val="black"/>
        </w:rPr>
        <w:t>10002 Durango Path Ln</w:t>
      </w:r>
    </w:p>
    <w:p>
      <w:pPr>
        <w:pStyle w:val="TextBody"/>
        <w:spacing w:lineRule="auto" w:line="240" w:before="102" w:after="283"/>
        <w:rPr>
          <w:rFonts w:ascii="Arial;sans-serif" w:hAnsi="Arial;sans-serif"/>
          <w:b w:val="false"/>
          <w:color w:val="000000"/>
          <w:sz w:val="18"/>
          <w:highlight w:val="black"/>
        </w:rPr>
      </w:pPr>
      <w:r>
        <w:rPr>
          <w:rFonts w:ascii="Arial;sans-serif" w:hAnsi="Arial;sans-serif"/>
          <w:b w:val="false"/>
          <w:color w:val="000000"/>
          <w:sz w:val="18"/>
          <w:highlight w:val="black"/>
        </w:rPr>
        <w:t>Cypress, TX 77433</w:t>
      </w:r>
    </w:p>
    <w:p>
      <w:pPr>
        <w:pStyle w:val="TextBody"/>
        <w:spacing w:lineRule="auto" w:line="290" w:before="0" w:after="0"/>
        <w:rPr>
          <w:color w:val="000000"/>
          <w:u w:val="single"/>
        </w:rPr>
      </w:pPr>
      <w:r>
        <w:rPr>
          <w:color w:val="000000"/>
          <w:u w:val="single"/>
        </w:rPr>
        <w:t>    </w:t>
      </w:r>
    </w:p>
    <w:p>
      <w:pPr>
        <w:pStyle w:val="TextBody"/>
        <w:spacing w:lineRule="auto" w:line="240" w:before="41" w:after="283"/>
        <w:rPr>
          <w:rFonts w:ascii="Calibri;sans-serif" w:hAnsi="Calibri;sans-serif"/>
          <w:b w:val="false"/>
          <w:color w:val="000000"/>
          <w:sz w:val="22"/>
        </w:rPr>
      </w:pPr>
      <w:r>
        <w:rPr>
          <w:rFonts w:ascii="Calibri;sans-serif" w:hAnsi="Calibri;sans-serif"/>
          <w:b w:val="false"/>
          <w:color w:val="000000"/>
          <w:sz w:val="22"/>
        </w:rPr>
        <w:t>Address</w:t>
      </w:r>
    </w:p>
    <w:p>
      <w:pPr>
        <w:pStyle w:val="TextBody"/>
        <w:spacing w:before="10" w:after="283"/>
        <w:rPr/>
      </w:pPr>
      <w:r>
        <w:rPr/>
      </w:r>
    </w:p>
    <w:p>
      <w:pPr>
        <w:pStyle w:val="TextBody"/>
        <w:spacing w:lineRule="auto" w:line="240" w:before="0" w:after="0"/>
        <w:rPr/>
      </w:pPr>
      <w:r>
        <w:rPr>
          <w:rFonts w:ascii="Calibri;sans-serif" w:hAnsi="Calibri;sans-serif"/>
          <w:b w:val="false"/>
          <w:color w:val="000000"/>
          <w:sz w:val="22"/>
        </w:rPr>
        <w:t xml:space="preserve">Date: </w:t>
      </w:r>
      <w:r>
        <w:rPr>
          <w:rFonts w:ascii="Arial;sans-serif" w:hAnsi="Arial;sans-serif"/>
          <w:b w:val="false"/>
          <w:color w:val="000000"/>
          <w:sz w:val="18"/>
        </w:rPr>
        <w:t>12/29/2021</w:t>
      </w:r>
      <w:r>
        <w:rPr>
          <w:color w:val="000000"/>
        </w:rPr>
        <w:t xml:space="preserve"> </w:t>
      </w:r>
    </w:p>
    <w:p>
      <w:pPr>
        <w:pStyle w:val="TextBody"/>
        <w:spacing w:lineRule="auto" w:line="290" w:before="0" w:after="0"/>
        <w:rPr>
          <w:color w:val="000000"/>
          <w:u w:val="single"/>
        </w:rPr>
      </w:pPr>
      <w:r>
        <w:rPr>
          <w:color w:val="000000"/>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68350"/>
                <wp:effectExtent l="0" t="0" r="0" b="0"/>
                <wp:wrapNone/>
                <wp:docPr id="188" name="Frame186"/>
                <a:graphic xmlns:a="http://schemas.openxmlformats.org/drawingml/2006/main">
                  <a:graphicData uri="http://schemas.microsoft.com/office/word/2010/wordprocessingShape">
                    <wps:wsp>
                      <wps:cNvSpPr txBox="1"/>
                      <wps:spPr>
                        <a:xfrm>
                          <a:off x="0" y="0"/>
                          <a:ext cx="6480175" cy="768350"/>
                        </a:xfrm>
                        <a:prstGeom prst="rect"/>
                      </wps:spPr>
                      <wps:txb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center"/>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3" w:after="283"/>
                              <w:jc w:val="center"/>
                              <w:rPr>
                                <w:rFonts w:ascii="Arial;sans-serif" w:hAnsi="Arial;sans-serif"/>
                                <w:b w:val="false"/>
                                <w:color w:val="000000"/>
                                <w:sz w:val="22"/>
                              </w:rPr>
                            </w:pPr>
                            <w:r>
                              <w:rPr>
                                <w:rFonts w:ascii="Arial;sans-serif" w:hAnsi="Arial;sans-serif"/>
                                <w:b w:val="false"/>
                                <w:color w:val="000000"/>
                                <w:sz w:val="22"/>
                              </w:rPr>
                              <w:t>17</w:t>
                            </w:r>
                          </w:p>
                        </w:tc>
                      </w:tr>
                    </w:tbl>
                    <w:p>
                      <w:pPr>
                        <w:pStyle w:val="TextBody"/>
                        <w:spacing w:before="0" w:after="283"/>
                        <w:rPr/>
                      </w:pPr>
                      <w:r>
                        <w:rPr/>
                      </w:r>
                    </w:p>
                  </w:txbxContent>
                </v:textbox>
              </v:rect>
            </w:pict>
          </mc:Fallback>
        </mc:AlternateContent>
      </w:r>
    </w:p>
    <w:p>
      <w:pPr>
        <w:pStyle w:val="TextBody"/>
        <w:spacing w:lineRule="auto" w:line="300" w:before="60" w:after="283"/>
        <w:ind w:left="0" w:right="0" w:hanging="1026"/>
        <w:jc w:val="center"/>
        <w:rPr>
          <w:rFonts w:ascii="Times New Roman;sans-serif" w:hAnsi="Times New Roman;sans-serif"/>
          <w:b/>
          <w:color w:val="000000"/>
          <w:sz w:val="22"/>
        </w:rPr>
      </w:pPr>
      <w:r>
        <w:rPr>
          <w:rFonts w:ascii="Times New Roman;sans-serif" w:hAnsi="Times New Roman;sans-serif"/>
          <w:b/>
          <w:color w:val="000000"/>
          <w:sz w:val="22"/>
        </w:rPr>
        <w:t>ATTACHMENT 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SEPARATION AGREEMENT AND RELEASE</w:t>
      </w:r>
    </w:p>
    <w:p>
      <w:pPr>
        <w:pStyle w:val="TextBody"/>
        <w:spacing w:before="10" w:after="283"/>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Confidential Separation and Release Agreement (“Agreement”) sets forth the agreement reached concerning the separation of [EMPLOYEE NAME] (herein referred to as “you,” “your” or similar words, as the context requires) from employment with [ENTITY NAME] and/or its affiliates (collectively, the “Company”).</w:t>
      </w:r>
    </w:p>
    <w:p>
      <w:pPr>
        <w:pStyle w:val="TextBody"/>
        <w:spacing w:before="6" w:after="283"/>
        <w:rPr/>
      </w:pPr>
      <w:r>
        <w:rPr/>
      </w:r>
    </w:p>
    <w:p>
      <w:pPr>
        <w:pStyle w:val="TextBody"/>
        <w:spacing w:lineRule="auto" w:line="240" w:before="1"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your employment with the Company is ending effective [DATE], (the “Separation Date”), and thereafter you no longer will be employed with the Company; and</w:t>
      </w:r>
    </w:p>
    <w:p>
      <w:pPr>
        <w:pStyle w:val="TextBody"/>
        <w:spacing w:before="6" w:after="283"/>
        <w:rPr/>
      </w:pPr>
      <w:r>
        <w:rPr/>
      </w:r>
    </w:p>
    <w:p>
      <w:pPr>
        <w:pStyle w:val="TextBody"/>
        <w:spacing w:lineRule="auto" w:line="266" w:before="0" w:after="0"/>
        <w:ind w:left="0" w:right="0" w:firstLine="709"/>
        <w:rPr>
          <w:rFonts w:ascii="Times New Roman;sans-serif" w:hAnsi="Times New Roman;sans-serif"/>
          <w:b w:val="false"/>
          <w:color w:val="000000"/>
          <w:sz w:val="24"/>
        </w:rPr>
      </w:pPr>
      <w:r>
        <w:rPr>
          <w:rFonts w:ascii="Times New Roman;sans-serif" w:hAnsi="Times New Roman;sans-serif"/>
          <w:b w:val="false"/>
          <w:color w:val="000000"/>
          <w:sz w:val="24"/>
        </w:rPr>
        <w:t>WHEREAS, you and the Company desire to end your employment relationship amicably, and settle, compromise and resolve any and all claims and disputes, whether known or unknown, which you may have against the Company at any time up to and including the date you sign this Agreement;</w:t>
      </w:r>
    </w:p>
    <w:p>
      <w:pPr>
        <w:pStyle w:val="TextBody"/>
        <w:spacing w:before="10" w:after="283"/>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contained in this Agreement, you and the Company agree as follows:</w:t>
      </w:r>
    </w:p>
    <w:p>
      <w:pPr>
        <w:pStyle w:val="TextBody"/>
        <w:spacing w:before="5" w:after="283"/>
        <w:rPr/>
      </w:pPr>
      <w:r>
        <w:rPr/>
      </w:r>
    </w:p>
    <w:p>
      <w:pPr>
        <w:pStyle w:val="TextBody"/>
        <w:spacing w:lineRule="auto" w:line="266"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Consideration for Execution of this Agreement.</w:t>
      </w:r>
      <w:r>
        <w:rPr>
          <w:color w:val="000000"/>
        </w:rPr>
        <w:t xml:space="preserve"> </w:t>
      </w:r>
      <w:r>
        <w:rPr>
          <w:rFonts w:ascii="Times New Roman;sans-serif" w:hAnsi="Times New Roman;sans-serif"/>
          <w:b w:val="false"/>
          <w:color w:val="000000"/>
          <w:sz w:val="24"/>
        </w:rPr>
        <w:t>As consideration for your promises and obligations under this Agreement, the Company will provide you with the following consideration to which you are not otherwise entitled, provided you sign this Agreement within twenty one (21) days of receipt but not before your actual Separation Date:</w:t>
      </w:r>
    </w:p>
    <w:p>
      <w:pPr>
        <w:pStyle w:val="TextBody"/>
        <w:spacing w:before="0" w:after="0"/>
        <w:rPr/>
      </w:pPr>
      <w:r>
        <w:rPr/>
      </w:r>
    </w:p>
    <w:p>
      <w:pPr>
        <w:pStyle w:val="TextBody"/>
        <w:spacing w:lineRule="auto" w:line="266"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Severance Payment</w:t>
      </w:r>
      <w:r>
        <w:rPr>
          <w:rFonts w:ascii="Times New Roman;sans-serif" w:hAnsi="Times New Roman;sans-serif"/>
          <w:b w:val="false"/>
          <w:color w:val="000000"/>
          <w:sz w:val="24"/>
        </w:rPr>
        <w:t>. The Company will pay you an amount equivalent to [ ] ([ ]) weeks of your regular base salary, in the gross amount of [ ] ($[ ]), less applicable taxes and withholdings (the “Severance Payment”). The Severance Payment will be paid in a one-time, lump sum payment and payable upon the next regularly scheduled Company payroll date after your signed Agreement is received by the Company.</w:t>
      </w:r>
    </w:p>
    <w:p>
      <w:pPr>
        <w:pStyle w:val="TextBody"/>
        <w:spacing w:before="10" w:after="283"/>
        <w:rPr/>
      </w:pPr>
      <w:r>
        <w:rPr/>
      </w:r>
    </w:p>
    <w:p>
      <w:pPr>
        <w:pStyle w:val="TextBody"/>
        <w:spacing w:lineRule="auto" w:line="264" w:before="0" w:after="0"/>
        <w:rPr>
          <w:rFonts w:ascii="Times New Roman;sans-serif" w:hAnsi="Times New Roman;sans-serif"/>
          <w:b w:val="false"/>
          <w:color w:val="000000"/>
          <w:sz w:val="24"/>
        </w:rPr>
      </w:pPr>
      <w:r>
        <w:rPr>
          <w:rFonts w:ascii="Times New Roman;sans-serif" w:hAnsi="Times New Roman;sans-serif"/>
          <w:b w:val="false"/>
          <w:color w:val="000000"/>
          <w:sz w:val="24"/>
        </w:rPr>
        <w:t>You acknowledge and agree that you would not be otherwise entitled to any of the above consideration but for your signing this Agreement and adhering to its terms and conditions.</w:t>
      </w:r>
    </w:p>
    <w:p>
      <w:pPr>
        <w:pStyle w:val="TextBody"/>
        <w:spacing w:before="10" w:after="283"/>
        <w:rPr/>
      </w:pPr>
      <w:r>
        <w:rPr/>
      </w:r>
    </w:p>
    <w:p>
      <w:pPr>
        <w:pStyle w:val="TextBody"/>
        <w:spacing w:lineRule="auto" w:line="266" w:before="0" w:after="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General Release of Claims.</w:t>
      </w:r>
      <w:r>
        <w:rPr>
          <w:color w:val="000000"/>
        </w:rPr>
        <w:t xml:space="preserve"> </w:t>
      </w:r>
      <w:r>
        <w:rPr>
          <w:rFonts w:ascii="Times New Roman;sans-serif" w:hAnsi="Times New Roman;sans-serif"/>
          <w:b w:val="false"/>
          <w:color w:val="000000"/>
          <w:sz w:val="24"/>
        </w:rPr>
        <w:t xml:space="preserve">You agree to release and forever discharge the Company, the Company’s affiliates, subsidiaries, parents, predecessors, successors and assigns, and the officers, directors, shareholders, agents, employees, counsel and insurers of each of them (together, the “Released Parties”) from any and all claims you may have or have had against any of the Released Parties arising prior to or on the dates you execute this Agreement, including without limitation any and all claims arising out of your employment with the Company and/or the termination of that employment. You understand and agree that this release is intended to waive all claims of every kind and nature, whether known or unknown, actual or contingent, asserted or unasserted, arising under common law, statutory law or otherwise. This release includes any and all causes of actions or claims you have had, now have, or may have up to the dates you execute this Agreement including, without limitation, any claims arising pursuant to the Age Discrimination in Employment Act (“ADEA”), Title VII of the Civil Rights Act, the Family and Medical Leave Act, and the Americans with Disabilities Act, and common, federal,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189"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6" w:before="79" w:after="283"/>
        <w:rPr>
          <w:rFonts w:ascii="Times New Roman;sans-serif" w:hAnsi="Times New Roman;sans-serif"/>
          <w:b w:val="false"/>
          <w:color w:val="000000"/>
          <w:sz w:val="24"/>
        </w:rPr>
      </w:pPr>
      <w:r>
        <w:rPr>
          <w:rFonts w:ascii="Times New Roman;sans-serif" w:hAnsi="Times New Roman;sans-serif"/>
          <w:b w:val="false"/>
          <w:color w:val="000000"/>
          <w:sz w:val="24"/>
        </w:rPr>
        <w:t>state, and local laws, regulations, rules, and ordinances. You also waive any claim to reinstatement or re-employment with the Company following your Separation Date.</w:t>
      </w:r>
    </w:p>
    <w:p>
      <w:pPr>
        <w:pStyle w:val="TextBody"/>
        <w:spacing w:before="5" w:after="283"/>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You expressly acknowledge and represent that you have received all wages, benefits, compensation, reimbursements, vacation and paid time off, or any other remuneration to which you were entitled as an employee of the Company and are not currently aware of any facts or circumstances constituting a claim or cause of action you could bring for violation of the Fair Labor Standards Act (“FLSA”) or any other federal, state or local constitution, statute, rule, regulation, or common law that applies to your employment relationship. You expressly acknowledge and represent that no one has interfered with your ability to report possible violations of any law and it is Released Parties’ policy to encourage such reporting. You further acknowledge and represent that you have not suffered any on-the-job injury for which you have not already filed a claim, and the end of your employment is not related to any such injury.</w:t>
      </w:r>
    </w:p>
    <w:p>
      <w:pPr>
        <w:pStyle w:val="TextBody"/>
        <w:spacing w:before="1" w:after="283"/>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 claim of any sort is exempt from the above release, except claims that the law does not allow you to waive by signing this Agreement, such as claims for workers’ compensation benefits (but it does apply to, waive and affect claims of discrimination and/or retaliation on the basis of having made a workers’ compensation claim), claims for unemployment benefits, or your rights to any vested benefits to which you are entitled under the terms of the applicable employee benefit plan. For the purpose of implementing a full and complete release, you expressly acknowledge that the release given in this Agreement is intended to include, without limitation, claims that you did not know or suspect to exist in your favor at the time of the date of your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pStyle w:val="TextBody"/>
        <w:spacing w:before="1" w:after="283"/>
        <w:rPr/>
      </w:pPr>
      <w:r>
        <w:rPr/>
      </w:r>
    </w:p>
    <w:p>
      <w:pPr>
        <w:pStyle w:val="TextBody"/>
        <w:spacing w:lineRule="auto" w:line="268" w:before="0" w:after="0"/>
        <w:ind w:left="0" w:right="0" w:firstLine="709"/>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Older Workers’ Benefit Protection Act</w:t>
      </w:r>
      <w:r>
        <w:rPr>
          <w:rFonts w:ascii="Times New Roman;sans-serif" w:hAnsi="Times New Roman;sans-serif"/>
          <w:b w:val="false"/>
          <w:color w:val="000000"/>
          <w:sz w:val="24"/>
        </w:rPr>
        <w:t>. This Agreement is intended to satisfy the requirements of the Older Workers’ Benefit Protection Act, 29 U.S.C. sec. 626(f). You are advised to consult with an attorney before executing this Agreement.</w:t>
      </w:r>
    </w:p>
    <w:p>
      <w:pPr>
        <w:pStyle w:val="TextBody"/>
        <w:spacing w:before="11" w:after="283"/>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Acknowledgments/Time to Consider</w:t>
      </w:r>
      <w:r>
        <w:rPr>
          <w:rFonts w:ascii="Times New Roman;sans-serif" w:hAnsi="Times New Roman;sans-serif"/>
          <w:b w:val="false"/>
          <w:color w:val="000000"/>
          <w:sz w:val="24"/>
        </w:rPr>
        <w:t>. You acknowledge and agree that (a) you have read and understand the terms of this Agreement; (b) you have been advised in writing to consult with an attorney before executing this Agreement; (c) you have had the opportunity to obtain and consider such legal counsel as you deem necessary; (d) you have been given twenty-one (21) days to consider whether or not to enter into this Agreement (although you may elect not to use the full 21- day period at your option); and (e) by signing this Agreement, you acknowledge that you do so freely, knowingly, and voluntarily.</w:t>
      </w:r>
    </w:p>
    <w:p>
      <w:pPr>
        <w:pStyle w:val="TextBody"/>
        <w:spacing w:before="6" w:after="283"/>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Revocation/Effective Date</w:t>
      </w:r>
      <w:r>
        <w:rPr>
          <w:rFonts w:ascii="Times New Roman;sans-serif" w:hAnsi="Times New Roman;sans-serif"/>
          <w:b w:val="false"/>
          <w:color w:val="000000"/>
          <w:sz w:val="24"/>
        </w:rPr>
        <w:t>. This Agreement shall not become effective or enforceable until the eighth day after you sign this Agreement. In other words, you may revoke your acceptance of this Agreement within seven (7) days after the date you sign it. Your revocation must be in writing and sent via email to the Company’s Chief People Officer, Rachel Fish, at email address rachel.fish@cloverhealth.com by the end of the seventh day in order to be effective. If you do not revoke acceptance within the seven (7) day period, your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190" name="Frame1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78" w:after="283"/>
        <w:rPr>
          <w:rFonts w:ascii="Times New Roman;sans-serif" w:hAnsi="Times New Roman;sans-serif"/>
          <w:b w:val="false"/>
          <w:color w:val="000000"/>
          <w:sz w:val="24"/>
        </w:rPr>
      </w:pPr>
      <w:r>
        <w:rPr>
          <w:rFonts w:ascii="Times New Roman;sans-serif" w:hAnsi="Times New Roman;sans-serif"/>
          <w:b w:val="false"/>
          <w:color w:val="000000"/>
          <w:sz w:val="24"/>
        </w:rPr>
        <w:t>acceptance of this Agreement shall become binding and enforceable on the eighth day after you signed it (“Effective Date”).</w:t>
      </w:r>
    </w:p>
    <w:p>
      <w:pPr>
        <w:pStyle w:val="TextBody"/>
        <w:spacing w:before="0" w:after="0"/>
        <w:rPr/>
      </w:pPr>
      <w:r>
        <w:rPr/>
      </w:r>
    </w:p>
    <w:p>
      <w:pPr>
        <w:pStyle w:val="TextBody"/>
        <w:spacing w:lineRule="auto" w:line="268" w:before="0" w:after="0"/>
        <w:ind w:left="0" w:right="0" w:hanging="3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Preserved Rights</w:t>
      </w:r>
      <w:r>
        <w:rPr>
          <w:rFonts w:ascii="Times New Roman;sans-serif" w:hAnsi="Times New Roman;sans-serif"/>
          <w:b w:val="false"/>
          <w:color w:val="000000"/>
          <w:sz w:val="24"/>
        </w:rPr>
        <w:t>. This Agreement does not waive or release any rights or claims that you may have under the Age Discrimination in Employment Act that arise after dates that you execute this Agreement. In addition, this Agreement does not prohibit you from challenging the validity of this Agreement’s waiver and release of claims under the Age Discrimination in Employment Act of 1967, as amended.</w:t>
      </w:r>
    </w:p>
    <w:p>
      <w:pPr>
        <w:pStyle w:val="TextBody"/>
        <w:spacing w:before="9" w:after="283"/>
        <w:rPr/>
      </w:pPr>
      <w:r>
        <w:rPr/>
      </w:r>
    </w:p>
    <w:p>
      <w:pPr>
        <w:pStyle w:val="TextBody"/>
        <w:spacing w:lineRule="auto" w:line="268" w:before="1" w:after="283"/>
        <w:ind w:left="0" w:right="0" w:firstLine="709"/>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Restrictive Covenants.</w:t>
      </w:r>
      <w:r>
        <w:rPr>
          <w:color w:val="000000"/>
        </w:rPr>
        <w:t xml:space="preserve"> </w:t>
      </w:r>
      <w:r>
        <w:rPr>
          <w:rFonts w:ascii="Times New Roman;sans-serif" w:hAnsi="Times New Roman;sans-serif"/>
          <w:b w:val="false"/>
          <w:color w:val="000000"/>
          <w:sz w:val="24"/>
        </w:rPr>
        <w:t>You agree and acknowledge that, notwithstanding anything stated in this Agreement, you shall remain bound by the terms of any other agreement relating to noncompetition, non-solicitation, confidentiality, intellectual property, or inventions that you executed prior to commencing employment with the Company, or during your employment with the Company, and any Company policies concerning non-competition, non- solicitation, confidentiality, intellectual property, or inventions that were in force at the time of your separation.</w:t>
      </w:r>
    </w:p>
    <w:p>
      <w:pPr>
        <w:pStyle w:val="TextBody"/>
        <w:spacing w:before="2" w:after="283"/>
        <w:rPr/>
      </w:pPr>
      <w:r>
        <w:rPr/>
      </w:r>
    </w:p>
    <w:p>
      <w:pPr>
        <w:pStyle w:val="TextBody"/>
        <w:spacing w:lineRule="auto" w:line="288" w:before="1"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Non-Litigation Covenant</w:t>
      </w:r>
      <w:r>
        <w:rPr>
          <w:rFonts w:ascii="Times New Roman;sans-serif" w:hAnsi="Times New Roman;sans-serif"/>
          <w:b/>
          <w:color w:val="000000"/>
          <w:sz w:val="24"/>
        </w:rPr>
        <w:t xml:space="preserve">. </w:t>
      </w:r>
      <w:r>
        <w:rPr>
          <w:rFonts w:ascii="Times New Roman;sans-serif" w:hAnsi="Times New Roman;sans-serif"/>
          <w:b w:val="false"/>
          <w:color w:val="000000"/>
          <w:sz w:val="24"/>
        </w:rPr>
        <w:t>You further agree not to sue Company or any Releasee with regard to any claim released in Section 2 of this Agreement. You understand that the provisions of this Agreement shall not be construed as preventing you from filing a charge with or cooperating or participating in any investigation or proceeding conducted by any governmental agency, only to the extent you are permitted to do so by law, notwithstanding any provisions of any agreement to the contrary. Both parties acknowledge that this Agreement does not limit your right to communicate with governmental agencies, including filing or participating in an investigative proceeding. Such communication, whether initiated by you or an agency, is not limited by this Agreement. However, you expressly release, waive, and disclaim any right to personal compensation or other benefit, including cost and attorneys’ fees, that may otherwise inure to you as a result of you filing any such charge with a government agency. You understand that the provisions of this paragraph mean that you cannot bring a personal, collective or class action lawsuit or arbitration in any forum against the Releasees for any reason for claims you may have as of the date of this Agreement.</w:t>
      </w:r>
    </w:p>
    <w:p>
      <w:pPr>
        <w:pStyle w:val="TextBody"/>
        <w:spacing w:before="10" w:after="283"/>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 xml:space="preserve">Waiver of Relator Recovery. </w:t>
      </w:r>
      <w:r>
        <w:rPr>
          <w:rFonts w:ascii="Times New Roman;sans-serif" w:hAnsi="Times New Roman;sans-serif"/>
          <w:b w:val="false"/>
          <w:color w:val="000000"/>
          <w:sz w:val="24"/>
        </w:rPr>
        <w:t xml:space="preserve">To the fullest extent permitted by law, you further agree to release, waive, and forever discharge your right to any portion of any settlement, judgment, or other recovery as a Relator under the </w:t>
      </w:r>
      <w:r>
        <w:rPr>
          <w:rFonts w:ascii="Times New Roman;sans-serif" w:hAnsi="Times New Roman;sans-serif"/>
          <w:b w:val="false"/>
          <w:i/>
          <w:color w:val="000000"/>
          <w:sz w:val="24"/>
        </w:rPr>
        <w:t xml:space="preserve">qui tam </w:t>
      </w:r>
      <w:r>
        <w:rPr>
          <w:rFonts w:ascii="Times New Roman;sans-serif" w:hAnsi="Times New Roman;sans-serif"/>
          <w:b w:val="false"/>
          <w:color w:val="000000"/>
          <w:sz w:val="24"/>
        </w:rPr>
        <w:t>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 or in part) from the beginning of time until the present, including but not limited to, any right to receive expenses, attorneys’ fees, and costs under 31 U.S.C. § 3730(d) or analogous state laws.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191" name="Frame1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78" w:after="283"/>
        <w:ind w:left="0" w:right="0" w:firstLine="71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You acknowledge that during your employment you have learned Confidential Information relating to the business conducted and to be conducted by the Company. You agree that you have not and will not disclose or use or authorize any third party to disclose or use any such Confidential Information, without prior written approval of the Company. As used in this Agreement, “Confidential Information” means all information belonging to the Company or provided to the Company by a customer that is not known generally to the public or the Company’s competitors and includes all trade secrets, client lists and information related to client files, know-how, show-how, technical, operating, financial, and other business information and materials. Confidential Information shall not, however, include any general know-how or skills that you possess whether obtained through your employment at the Company or elsewhere. Confidential Information also does not include information that (i) is publicly known or becomes publicly known through no fault of yours, or (ii) is generally or readily obtainable by the public. You understand that your obligations related to Confidential Information are in addition to, and not in lieu of, your obligations with regard to the protection of the Company’s trade secrets under the law governing misappropriation of the Company’s trade secrets, and any other agreements you may have with the Company of similar subject matter.</w:t>
      </w:r>
    </w:p>
    <w:p>
      <w:pPr>
        <w:pStyle w:val="TextBody"/>
        <w:spacing w:before="10" w:after="283"/>
        <w:rPr/>
      </w:pPr>
      <w:r>
        <w:rPr/>
      </w:r>
    </w:p>
    <w:p>
      <w:pPr>
        <w:pStyle w:val="TextBody"/>
        <w:spacing w:lineRule="auto" w:line="240" w:before="0" w:after="0"/>
        <w:ind w:left="0" w:right="0" w:firstLine="735"/>
        <w:rPr>
          <w:rFonts w:ascii="Times New Roman;sans-serif" w:hAnsi="Times New Roman;sans-serif"/>
          <w:b w:val="false"/>
          <w:color w:val="000000"/>
          <w:sz w:val="24"/>
        </w:rPr>
      </w:pPr>
      <w:r>
        <w:rPr>
          <w:rFonts w:ascii="Times New Roman;sans-serif" w:hAnsi="Times New Roman;sans-serif"/>
          <w:b w:val="false"/>
          <w:color w:val="000000"/>
          <w:sz w:val="24"/>
        </w:rPr>
        <w:t>You may not be held criminally or civilly liable under any Federal or State trade secret law for the disclosure of a trade secret that is made: (a) in confidence to a Federal, State, or local government official, either directly or indirectly, or to an attorney, and provided that such disclosure is solely for the purpose of reporting or investigating a suspected violation of the law; or (b) in a complaint or other document filed in a lawsuit or other proceeding, provided that such filing is made under seal. Additionally, in the event you file a lawsuit against the Company for retaliation by the Company against you for reporting a suspected violation of law, you understand that you have the right to provide trade secret information to your attorney and use the trade secret information in the court proceeding, although you must file any document containing the trade secret under seal and you may not disclose the trade secret, except pursuant to court order.</w:t>
      </w:r>
    </w:p>
    <w:p>
      <w:pPr>
        <w:pStyle w:val="TextBody"/>
        <w:spacing w:before="10" w:after="283"/>
        <w:rPr/>
      </w:pPr>
      <w:r>
        <w:rPr/>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By signing this Agreement, you represent and warrant that you will not and have not disclosed any Confidential Information to a third party, or, except as permitted, consistent with Company policy, with respect to your personal mobile device(s) used for business purposes, sent/downloaded any Confidential Information to your personal email account(s), personal computer(s), personal mobile device(s), and/or external and removable thumb or flash drives. Insofar as you have printed any Confidential Information or sent/downloaded any Confidential Information on your personal mobile device(s), you represent and warrant that you have shredded and/or deleted all such information upon termination of your employment.</w:t>
      </w:r>
    </w:p>
    <w:p>
      <w:pPr>
        <w:pStyle w:val="TextBody"/>
        <w:spacing w:before="11" w:after="283"/>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PROTECTED RIGHTS: Nothing in this Agreement is intended to waive claims: (i) for vested rights under ERISA-covered employee benefit plans as applicable on the date you sign this Agreement; (ii) that may arise after the parties sign this Agreement; or (iii) which cannot be released by private agreement. In addition, nothing in this Agreement including but not limited to the release of claims, cooperation, non-disparagement, covenant not to sue, acknowledgements and representations, shall be construed to waive your right to testify in an administrative, legislative, or judicial proceeding concerning alleged criminal conduct on the part of the Company, or on the part of the agents or employees of the Company, when you have been required or requested to attend such a proceeding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rPr>
          <w:rFonts w:ascii="Times New Roman;sans-serif" w:hAnsi="Times New Roman;sans-serif"/>
          <w:b/>
          <w:color w:val="000000"/>
          <w:sz w:val="24"/>
        </w:rPr>
      </w:pPr>
      <w:r>
        <w:rPr>
          <w:rFonts w:ascii="Times New Roman;sans-serif" w:hAnsi="Times New Roman;sans-serif"/>
          <w:b/>
          <w:color w:val="000000"/>
          <w:sz w:val="24"/>
        </w:rPr>
        <w:t>pursuant to a court order, subpoena, or written request from an administrative agency or the legislature, or shall prevent you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(NLRA) to engage in joint activity with other employee, although by signing this release you are waiving rights to individual relief based on claims asserted in such a charge or complaint, or asserted by any third-party on your behalf, except where such a waiver of individual relief is prohibited.</w:t>
      </w:r>
    </w:p>
    <w:p>
      <w:pPr>
        <w:pStyle w:val="TextBody"/>
        <w:spacing w:before="0" w:after="0"/>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pStyle w:val="TextBody"/>
        <w:spacing w:before="10" w:after="283"/>
        <w:rPr/>
      </w:pPr>
      <w:r>
        <w:rPr/>
      </w:r>
    </w:p>
    <w:p>
      <w:pPr>
        <w:pStyle w:val="TextBody"/>
        <w:spacing w:lineRule="auto" w:line="268" w:before="0" w:after="0"/>
        <w:ind w:left="0" w:right="0" w:firstLine="71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Recognition of Wrongdoing.</w:t>
      </w:r>
      <w:r>
        <w:rPr>
          <w:color w:val="000000"/>
        </w:rPr>
        <w:t xml:space="preserve"> </w:t>
      </w:r>
      <w:r>
        <w:rPr>
          <w:rFonts w:ascii="Times New Roman;sans-serif" w:hAnsi="Times New Roman;sans-serif"/>
          <w:b w:val="false"/>
          <w:color w:val="000000"/>
          <w:sz w:val="24"/>
        </w:rPr>
        <w:t>The signing of this Agreement and payment of the consideration described in it do not represent any admission of wrongdoing or violation of any statute, agreement, or common law by the Company. You represent that, as of the date(s) you sign this Agreement, you are not aware of and have not engaged in any activity that would constitute wrongful conduct including, but not limited to, fraud, misrepresentation, violation of any federal, state or local law or regulation, or any conduct contrary to existing policies of the Company. You further represent that you have complied with any existing obligations up through the date(s) of your signing this Agreement.</w:t>
      </w:r>
    </w:p>
    <w:p>
      <w:pPr>
        <w:pStyle w:val="TextBody"/>
        <w:spacing w:before="3" w:after="283"/>
        <w:rPr/>
      </w:pPr>
      <w:r>
        <w:rPr/>
      </w:r>
    </w:p>
    <w:p>
      <w:pPr>
        <w:pStyle w:val="TextBody"/>
        <w:spacing w:lineRule="auto" w:line="268" w:before="1" w:after="283"/>
        <w:ind w:left="0" w:right="0" w:firstLine="71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Confidentiality of Agreement</w:t>
      </w:r>
      <w:r>
        <w:rPr>
          <w:rFonts w:ascii="Times New Roman;sans-serif" w:hAnsi="Times New Roman;sans-serif"/>
          <w:b w:val="false"/>
          <w:color w:val="000000"/>
          <w:sz w:val="24"/>
        </w:rPr>
        <w:t>. You agree that the terms and conditions of this Agreement are intended to remain strictly confidential between you and the Company. You have not and will not communicate this Agreement’s terms to any third party (including fellow employees), whether verbally or in writing, by any means, including by social media such as Twitter, Facebook, and the like. Any disclosure by you will cause the Company irreparable harm that money cannot undo. Accordingly, violation of this section will entitle the Company to temporary and permanent injunctive relief. You further agree that have not and you will not disclose the terms of this Agreement to any other person, excluding your attorney(s), accountant(s), and lender(s), and your spouse, if any, to the extent needed for legal advice, income tax reporting purposes, or other financial purposes, or as otherwise required by law. You agree that, to the extent you make any permissible disclosures to your spouse, you will instruct your spouse to keep the information strictly confidential, and you further agree that you will be in breach of this Agreement if they make any further disclosure of such information beyond the disclosures permitted in this paragraph.</w:t>
      </w:r>
    </w:p>
    <w:p>
      <w:pPr>
        <w:pStyle w:val="TextBody"/>
        <w:spacing w:before="10" w:after="283"/>
        <w:rPr/>
      </w:pPr>
      <w:r>
        <w:rPr/>
      </w:r>
    </w:p>
    <w:p>
      <w:pPr>
        <w:pStyle w:val="TextBody"/>
        <w:spacing w:lineRule="auto" w:line="268" w:before="0" w:after="0"/>
        <w:ind w:left="0" w:right="0" w:firstLine="71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Non-Disparagement.</w:t>
      </w:r>
      <w:r>
        <w:rPr>
          <w:color w:val="000000"/>
        </w:rPr>
        <w:t xml:space="preserve"> </w:t>
      </w:r>
      <w:r>
        <w:rPr>
          <w:rFonts w:ascii="Times New Roman;sans-serif" w:hAnsi="Times New Roman;sans-serif"/>
          <w:b w:val="false"/>
          <w:color w:val="000000"/>
          <w:sz w:val="24"/>
        </w:rPr>
        <w:t>You agree that you will not knowingly make any disparaging and/or defamatory statements about the Company’s current or former customers, contractors, vendors or employees to the media or to any other person, including on social media. A disparaging statement is any communication that, if publicized, would cause or tend to cause the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193"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78"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recipient of the communication to question the business condition, integrity, competence, good character, or product quality of the person or entity to whom the communication relates. You also agree not to knowingly make any defamatory statements about the Company to the media or to any other person, including on social media. However, nothing in this Agreement shall prohibit you from providing truthful disclosures to an appropriate government agency, arbitrator or court related to alleged violations of law. To the extent you are covered by Section 7 of the NLRA because you are an employee who is not in a supervisor or management role, nothing in this Agreement shall be construed to prohibit you from using information that you acquire regarding the wages, benefits, or other terms and conditions of employment at the Company for any purpose protected under the NLRA.</w:t>
      </w:r>
    </w:p>
    <w:p>
      <w:pPr>
        <w:pStyle w:val="TextBody"/>
        <w:spacing w:lineRule="auto" w:line="268" w:before="225" w:after="283"/>
        <w:ind w:left="0" w:right="0" w:firstLine="71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Pending Claims.</w:t>
      </w:r>
      <w:r>
        <w:rPr>
          <w:color w:val="000000"/>
        </w:rPr>
        <w:t xml:space="preserve"> </w:t>
      </w:r>
      <w:r>
        <w:rPr>
          <w:rFonts w:ascii="Times New Roman;sans-serif" w:hAnsi="Times New Roman;sans-serif"/>
          <w:b w:val="false"/>
          <w:color w:val="000000"/>
          <w:sz w:val="24"/>
        </w:rPr>
        <w:t>You represent and warrant that you have no charges, lawsuits, or actions pending in your name against any of the Released Parties relating to any claim that has been released in this Agreement. You also represent and warrant that you have not assigned or transferred to any third party any right or claim against any of the Released Parties that you have released in this Agreement.</w:t>
      </w:r>
    </w:p>
    <w:p>
      <w:pPr>
        <w:pStyle w:val="TextBody"/>
        <w:spacing w:lineRule="auto" w:line="268" w:before="230" w:after="283"/>
        <w:ind w:left="0" w:right="0" w:firstLine="71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Return of Materials.</w:t>
      </w:r>
      <w:r>
        <w:rPr>
          <w:color w:val="000000"/>
        </w:rPr>
        <w:t xml:space="preserve"> </w:t>
      </w:r>
      <w:r>
        <w:rPr>
          <w:rFonts w:ascii="Times New Roman;sans-serif" w:hAnsi="Times New Roman;sans-serif"/>
          <w:b w:val="false"/>
          <w:color w:val="000000"/>
          <w:sz w:val="24"/>
        </w:rPr>
        <w:t>No later than the Separation Date, you represent that you have returned to the Company, and have not retained in any form or format, all Company documents and other Company property that you had in your possession at any time. You also represent that, no later than the Separation Date, you have returned all Company laptops, iPads, iPhones, credit cards, entry cards, identification badges and keys, and all other Company equipment that you had in your possession at any time. You also represent that you have used good faith, reasonable efforts to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containing Confidential Information of the Company.</w:t>
      </w:r>
    </w:p>
    <w:p>
      <w:pPr>
        <w:pStyle w:val="TextBody"/>
        <w:spacing w:before="0" w:after="0"/>
        <w:rPr/>
      </w:pPr>
      <w:r>
        <w:rPr/>
      </w:r>
    </w:p>
    <w:p>
      <w:pPr>
        <w:pStyle w:val="TextBody"/>
        <w:spacing w:lineRule="auto" w:line="268" w:before="1" w:after="283"/>
        <w:ind w:left="0" w:right="0" w:firstLine="71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Remedies for Breach</w:t>
      </w:r>
      <w:r>
        <w:rPr>
          <w:rFonts w:ascii="Times New Roman;sans-serif" w:hAnsi="Times New Roman;sans-serif"/>
          <w:b w:val="false"/>
          <w:color w:val="000000"/>
          <w:sz w:val="24"/>
        </w:rPr>
        <w:t>. If the Company determines that you have violated, breached, or are about to breach any provision of this Agreement, or if you bring an action against the Company in violation of this Agreement, or if you bring an action asking that the Agreement be declared invalid, void, or unenforceable (except for any protected claims under the ADEA), the Company may immediately cease any payments pursuant to this Agreement, and you shall be required to reimburse the Company for all amounts paid to you under this Agreement, except for $1,000 of the payment made under Section 1(a) of the Agreement. Any and all such disputes between you and the Company shall be resolved by binding arbitration in accordance with the Company’s arbitration policy that you agreed to as a condition of employment with the Company. Nothing in this Section shall be construed as prohibiting the Company from pursuing any remedies available to it for breach of the Agreement, including injunctive relief and the recovery of any damages that it is able to prove. By your signature below, you represent that as of the date that you execute this Agreement, you have not breached any obligations or covenants contained in this Agreement. Further, except in the case of a legal action by you challenging or seeking a determination in good faith of the validity of the ADEA waiver, if either party to this agreement brings an action to enforce its rights under this Agreement, the prevailing party will be entitled to recover its costs and expenses, including the costs of mediation, arbitration, litigation, court fees, and reasonable attorneys’ fees incurred in connection with such action.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94"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78" w:after="283"/>
        <w:ind w:left="0" w:right="0" w:firstLine="71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Controlling Law; Jurisdiction and Venue.</w:t>
      </w:r>
      <w:r>
        <w:rPr>
          <w:color w:val="000000"/>
        </w:rPr>
        <w:t xml:space="preserve"> </w:t>
      </w:r>
      <w:r>
        <w:rPr>
          <w:rFonts w:ascii="Times New Roman;sans-serif" w:hAnsi="Times New Roman;sans-serif"/>
          <w:b w:val="false"/>
          <w:color w:val="000000"/>
          <w:sz w:val="24"/>
        </w:rPr>
        <w:t>This Agreement shall be construed in accordance with and governed by the laws of the State of your employment, without reference to principles of conflict of laws that would require application of the law of another jurisdiction. The Company and you irrevocably consent solely to the jurisdiction of the federal and state courts in the State of your employment for the resolution of any disputes arising under or respect to this Agreement.</w:t>
      </w:r>
    </w:p>
    <w:p>
      <w:pPr>
        <w:pStyle w:val="TextBody"/>
        <w:spacing w:before="6" w:after="283"/>
        <w:rPr/>
      </w:pPr>
      <w:r>
        <w:rPr/>
      </w:r>
    </w:p>
    <w:p>
      <w:pPr>
        <w:pStyle w:val="TextBody"/>
        <w:spacing w:lineRule="auto" w:line="268" w:before="0" w:after="0"/>
        <w:ind w:left="0" w:right="0" w:firstLine="709"/>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Entire Agreement.</w:t>
      </w:r>
      <w:r>
        <w:rPr>
          <w:color w:val="000000"/>
        </w:rPr>
        <w:t xml:space="preserve"> </w:t>
      </w:r>
      <w:r>
        <w:rPr>
          <w:rFonts w:ascii="Times New Roman;sans-serif" w:hAnsi="Times New Roman;sans-serif"/>
          <w:b w:val="false"/>
          <w:color w:val="000000"/>
          <w:sz w:val="24"/>
        </w:rPr>
        <w:t>This Agreement, and any restrictive covenant and arbitration agreements and policies referenced in Sections 4 (Restrictive Covenants) and 11 (Remedies for Breach) of this Agreement, together (i) constitute the entire agreement between the Company and you regarding the separation of your employment, (ii) survive the termination of your employment, and (iii) supersede and cancel all prior and contemporaneous written and oral agreements, if any, except as specifically provided herein. You affirm that, by entering into this Agreement, you are not relying upon any other oral or written promise or statement made by anyone at any time on behalf of the Company. This Agreement may not be changed or altered, except by a writing signed by the Company and you. This Agreement may be executed, including execution by facsimile or electronically transmitted signature, in multiple counterparts, each of which will be deemed an original, and all of which together will be deemed to be one and the same instrument.</w:t>
      </w:r>
    </w:p>
    <w:p>
      <w:pPr>
        <w:pStyle w:val="TextBody"/>
        <w:spacing w:before="1" w:after="283"/>
        <w:rPr/>
      </w:pPr>
      <w:r>
        <w:rPr/>
      </w:r>
    </w:p>
    <w:p>
      <w:pPr>
        <w:pStyle w:val="TextBody"/>
        <w:spacing w:lineRule="auto" w:line="268" w:before="0" w:after="0"/>
        <w:ind w:left="0" w:right="0" w:firstLine="71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pStyle w:val="TextBody"/>
        <w:spacing w:lineRule="auto" w:line="266" w:before="232" w:after="283"/>
        <w:ind w:left="0" w:right="0" w:firstLine="71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Representation.</w:t>
      </w:r>
      <w:r>
        <w:rPr>
          <w:color w:val="000000"/>
        </w:rPr>
        <w:t xml:space="preserve"> </w:t>
      </w:r>
      <w:r>
        <w:rPr>
          <w:rFonts w:ascii="Times New Roman;sans-serif" w:hAnsi="Times New Roman;sans-serif"/>
          <w:b w:val="false"/>
          <w:color w:val="000000"/>
          <w:sz w:val="24"/>
        </w:rPr>
        <w:t>You agree that no promise or inducement has been offered except as set forth in this Agreement, and that you are signing this Agreement without reliance upon any statement or representation by the Company or any representative or agent of the Company except as set forth in this Agreement.</w:t>
      </w:r>
    </w:p>
    <w:p>
      <w:pPr>
        <w:pStyle w:val="TextBody"/>
        <w:spacing w:before="1" w:after="283"/>
        <w:rPr/>
      </w:pPr>
      <w:r>
        <w:rPr/>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I HAVE CAREFULLY READ AND FULLY UNDERSTAND AND VOLUNTARILY AGREE TO ALL THE TERMS OF THIS CONFIDENTIAL SEPARATION AGREEMENT AND RELEASE IN EXCHANGE FOR THE ADDITIONAL BENEFITS TO WHICH I WOULD OTHERWISE NOT BE ENTITLED.</w:t>
      </w:r>
    </w:p>
    <w:p>
      <w:pPr>
        <w:pStyle w:val="TextBody"/>
        <w:spacing w:before="0" w:after="0"/>
        <w:rPr/>
      </w:pPr>
      <w:r>
        <w:rPr/>
      </w:r>
    </w:p>
    <w:p>
      <w:pPr>
        <w:pStyle w:val="TextBody"/>
        <w:spacing w:before="2"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Dated:</w:t>
      </w:r>
    </w:p>
    <w:p>
      <w:pPr>
        <w:pStyle w:val="TextBody"/>
        <w:spacing w:before="5"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AGREED TO AND ACCEPTED:    </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22"/>
        </w:rPr>
      </w:pPr>
      <w:r>
        <w:rPr>
          <w:rFonts w:ascii="Arial;sans-serif" w:hAnsi="Arial;sans-serif"/>
          <w:b w:val="false"/>
          <w:color w:val="000000"/>
          <w:sz w:val="22"/>
        </w:rPr>
        <w:t>________________________________    CLOVER HEALTH INVESTMENTS, CORP.</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Employee Name</w:t>
      </w:r>
    </w:p>
    <w:p>
      <w:pPr>
        <w:pStyle w:val="TextBody"/>
        <w:spacing w:before="0" w:after="0"/>
        <w:rPr/>
      </w:pPr>
      <w:r>
        <w:rPr/>
      </w:r>
    </w:p>
    <w:p>
      <w:pPr>
        <w:pStyle w:val="TextBody"/>
        <w:spacing w:before="0" w:after="0"/>
        <w:ind w:left="0" w:right="0" w:firstLine="720"/>
        <w:rPr/>
      </w:pPr>
      <w:r>
        <w:rPr/>
      </w:r>
    </w:p>
    <w:p>
      <w:pPr>
        <w:pStyle w:val="TextBody"/>
        <w:spacing w:lineRule="auto" w:line="240" w:before="0" w:after="0"/>
        <w:ind w:left="0" w:right="0" w:firstLine="720"/>
        <w:rPr>
          <w:rFonts w:ascii="Arial;sans-serif" w:hAnsi="Arial;sans-serif"/>
          <w:b w:val="false"/>
          <w:color w:val="000000"/>
          <w:sz w:val="22"/>
        </w:rPr>
      </w:pPr>
      <w:r>
        <w:rPr>
          <w:rFonts w:ascii="Arial;sans-serif" w:hAnsi="Arial;sans-serif"/>
          <w:b w:val="false"/>
          <w:color w:val="000000"/>
          <w:sz w:val="22"/>
        </w:rPr>
        <w:t>________________________________    By: __________________________________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Signature     Signature</w:t>
      </w:r>
    </w:p>
    <w:p>
      <w:pPr>
        <w:pStyle w:val="TextBody"/>
        <w:spacing w:before="0" w:after="0"/>
        <w:rPr/>
      </w:pPr>
      <w:r>
        <w:rPr/>
      </w:r>
    </w:p>
    <w:p>
      <w:pPr>
        <w:pStyle w:val="TextBody"/>
        <w:spacing w:lineRule="auto" w:line="240" w:before="0" w:after="0"/>
        <w:ind w:left="0" w:right="0" w:firstLine="720"/>
        <w:rPr>
          <w:rFonts w:ascii="Arial;sans-serif" w:hAnsi="Arial;sans-serif"/>
          <w:b w:val="false"/>
          <w:color w:val="000000"/>
          <w:sz w:val="22"/>
        </w:rPr>
      </w:pPr>
      <w:r>
        <w:rPr>
          <w:rFonts w:ascii="Arial;sans-serif" w:hAnsi="Arial;sans-serif"/>
          <w:b w:val="false"/>
          <w:color w:val="000000"/>
          <w:sz w:val="22"/>
        </w:rPr>
        <w:t>__________________________________</w:t>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spacing w:before="0" w:after="0"/>
        <w:rPr/>
      </w:pPr>
      <w:r>
        <w:rPr/>
      </w:r>
    </w:p>
    <w:p>
      <w:pPr>
        <w:pStyle w:val="TextBody"/>
        <w:spacing w:lineRule="auto" w:line="240" w:before="0" w:after="0"/>
        <w:rPr>
          <w:rFonts w:ascii="Arial;sans-serif" w:hAnsi="Arial;sans-serif"/>
          <w:b w:val="false"/>
          <w:color w:val="000000"/>
          <w:sz w:val="22"/>
        </w:rPr>
      </w:pPr>
      <w:r>
        <w:rPr>
          <w:rFonts w:ascii="Arial;sans-serif" w:hAnsi="Arial;sans-serif"/>
          <w:b w:val="false"/>
          <w:color w:val="000000"/>
          <w:sz w:val="22"/>
        </w:rPr>
        <w:t>__________________________________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spacing w:lineRule="auto" w:line="585" w:before="0" w:after="0"/>
        <w:ind w:left="0" w:right="0" w:hanging="5040"/>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_______________________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195"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22" w:after="283"/>
        <w:jc w:val="center"/>
        <w:rPr>
          <w:rFonts w:ascii="Arial;sans-serif" w:hAnsi="Arial;sans-serif"/>
          <w:b/>
          <w:color w:val="000000"/>
          <w:sz w:val="22"/>
        </w:rPr>
      </w:pPr>
      <w:r>
        <w:rPr>
          <w:rFonts w:ascii="Arial;sans-serif" w:hAnsi="Arial;sans-serif"/>
          <w:b/>
          <w:color w:val="000000"/>
          <w:sz w:val="22"/>
        </w:rPr>
        <w:t>ATTACHMENT B</w:t>
      </w:r>
    </w:p>
    <w:p>
      <w:pPr>
        <w:pStyle w:val="TextBody"/>
        <w:spacing w:before="0" w:after="0"/>
        <w:jc w:val="center"/>
        <w:rPr/>
      </w:pPr>
      <w:r>
        <w:rPr/>
      </w:r>
    </w:p>
    <w:p>
      <w:pPr>
        <w:pStyle w:val="TextBody"/>
        <w:spacing w:lineRule="auto" w:line="240" w:before="0" w:after="0"/>
        <w:jc w:val="center"/>
        <w:rPr>
          <w:rFonts w:ascii="Calibri;sans-serif" w:hAnsi="Calibri;sans-serif"/>
          <w:b/>
          <w:color w:val="000000"/>
          <w:sz w:val="28"/>
        </w:rPr>
      </w:pPr>
      <w:r>
        <w:rPr>
          <w:rFonts w:ascii="Calibri;sans-serif" w:hAnsi="Calibri;sans-serif"/>
          <w:b/>
          <w:color w:val="000000"/>
          <w:sz w:val="28"/>
        </w:rPr>
        <w:t>Nondisclosure, Confidentiality, and Nonsolicitation Agreement</w:t>
      </w:r>
    </w:p>
    <w:p>
      <w:pPr>
        <w:pStyle w:val="TextBody"/>
        <w:spacing w:before="7" w:after="283"/>
        <w:rPr/>
      </w:pPr>
      <w:r>
        <w:rPr/>
      </w:r>
    </w:p>
    <w:p>
      <w:pPr>
        <w:pStyle w:val="TextBody"/>
        <w:spacing w:lineRule="auto" w:line="264" w:before="0" w:after="0"/>
        <w:ind w:left="0" w:right="0" w:firstLine="397"/>
        <w:jc w:val="both"/>
        <w:rPr>
          <w:rFonts w:ascii="Arial;sans-serif" w:hAnsi="Arial;sans-serif"/>
          <w:b w:val="false"/>
          <w:color w:val="000000"/>
          <w:sz w:val="23"/>
        </w:rPr>
      </w:pPr>
      <w:r>
        <w:rPr>
          <w:rFonts w:ascii="Arial;sans-serif" w:hAnsi="Arial;sans-serif"/>
          <w:b w:val="false"/>
          <w:color w:val="000000"/>
          <w:sz w:val="23"/>
        </w:rPr>
        <w:t>In consideration of my employment or the continuation of my employment by Clover Health or any of its successors, assigns, affiliates or subsidiary companies (each hereinafter referred to as the "Company"), I agree as follows:</w:t>
      </w:r>
    </w:p>
    <w:p>
      <w:pPr>
        <w:pStyle w:val="TextBody"/>
        <w:spacing w:before="4" w:after="283"/>
        <w:rPr/>
      </w:pPr>
      <w:r>
        <w:rPr/>
      </w:r>
    </w:p>
    <w:p>
      <w:pPr>
        <w:pStyle w:val="TextBody"/>
        <w:spacing w:lineRule="auto" w:line="240" w:before="0" w:after="0"/>
        <w:ind w:left="0" w:right="0" w:hanging="256"/>
        <w:rPr/>
      </w:pPr>
      <w:r>
        <w:rPr>
          <w:rFonts w:ascii="Arial;sans-serif" w:hAnsi="Arial;sans-serif"/>
          <w:b w:val="false"/>
          <w:color w:val="000000"/>
          <w:sz w:val="23"/>
        </w:rPr>
        <w:t>1.</w:t>
      </w:r>
      <w:r>
        <w:rPr>
          <w:rFonts w:ascii="Arial;sans-serif" w:hAnsi="Arial;sans-serif"/>
          <w:b w:val="false"/>
          <w:color w:val="000000"/>
          <w:sz w:val="23"/>
          <w:u w:val="single"/>
        </w:rPr>
        <w:t>TRADE SECRETS AND CONFIDENTIAL INFORMATION</w:t>
      </w:r>
      <w:r>
        <w:rPr>
          <w:rFonts w:ascii="Arial;sans-serif" w:hAnsi="Arial;sans-serif"/>
          <w:b w:val="false"/>
          <w:color w:val="000000"/>
          <w:sz w:val="23"/>
        </w:rPr>
        <w:t>.</w:t>
      </w:r>
    </w:p>
    <w:p>
      <w:pPr>
        <w:pStyle w:val="TextBody"/>
        <w:spacing w:before="8" w:after="283"/>
        <w:rPr/>
      </w:pPr>
      <w:r>
        <w:rPr/>
      </w:r>
    </w:p>
    <w:p>
      <w:pPr>
        <w:pStyle w:val="TextBody"/>
        <w:spacing w:lineRule="auto" w:line="266" w:before="101" w:after="283"/>
        <w:ind w:left="0" w:right="0" w:hanging="354"/>
        <w:jc w:val="both"/>
        <w:rPr/>
      </w:pPr>
      <w:r>
        <w:rPr>
          <w:rFonts w:ascii="Arial;sans-serif" w:hAnsi="Arial;sans-serif"/>
          <w:b w:val="false"/>
          <w:color w:val="000000"/>
          <w:sz w:val="23"/>
        </w:rPr>
        <w:t>a.</w:t>
      </w:r>
      <w:r>
        <w:rPr>
          <w:rFonts w:ascii="Arial;sans-serif" w:hAnsi="Arial;sans-serif"/>
          <w:b w:val="false"/>
          <w:color w:val="000000"/>
          <w:sz w:val="23"/>
          <w:u w:val="single"/>
        </w:rPr>
        <w:t>Confidentiality and Confidential Information.</w:t>
      </w:r>
      <w:r>
        <w:rPr>
          <w:color w:val="000000"/>
        </w:rPr>
        <w:t xml:space="preserve"> </w:t>
      </w:r>
      <w:r>
        <w:rPr>
          <w:rFonts w:ascii="Arial;sans-serif" w:hAnsi="Arial;sans-serif"/>
          <w:b w:val="false"/>
          <w:color w:val="000000"/>
          <w:sz w:val="23"/>
        </w:rPr>
        <w:t>I acknowledge that during the course of my employment, I will obtain, receive or gain access to certain valuable, proprietary or confidential information of the Company, its vendors, suppliers, customers, and its/their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w:t>
      </w:r>
    </w:p>
    <w:p>
      <w:pPr>
        <w:pStyle w:val="TextBody"/>
        <w:spacing w:before="5" w:after="283"/>
        <w:rPr/>
      </w:pPr>
      <w:r>
        <w:rPr/>
      </w:r>
    </w:p>
    <w:p>
      <w:pPr>
        <w:pStyle w:val="TextBody"/>
        <w:spacing w:lineRule="auto" w:line="264" w:before="0" w:after="0"/>
        <w:ind w:left="0" w:right="0" w:hanging="348"/>
        <w:jc w:val="both"/>
        <w:rPr/>
      </w:pPr>
      <w:r>
        <w:rPr>
          <w:rFonts w:ascii="Arial;sans-serif" w:hAnsi="Arial;sans-serif"/>
          <w:b w:val="false"/>
          <w:color w:val="000000"/>
          <w:sz w:val="23"/>
        </w:rPr>
        <w:t>b.</w:t>
      </w:r>
      <w:r>
        <w:rPr>
          <w:rFonts w:ascii="Arial;sans-serif" w:hAnsi="Arial;sans-serif"/>
          <w:b w:val="false"/>
          <w:color w:val="000000"/>
          <w:sz w:val="23"/>
          <w:u w:val="single"/>
        </w:rPr>
        <w:t xml:space="preserve">Confidentiality of Protected Health Information. </w:t>
      </w:r>
      <w:r>
        <w:rPr>
          <w:rFonts w:ascii="Arial;sans-serif" w:hAnsi="Arial;sans-serif"/>
          <w:b w:val="false"/>
          <w:color w:val="000000"/>
          <w:sz w:val="23"/>
        </w:rPr>
        <w:t>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pStyle w:val="TextBody"/>
        <w:spacing w:before="5" w:after="283"/>
        <w:rPr/>
      </w:pPr>
      <w:r>
        <w:rPr/>
      </w:r>
    </w:p>
    <w:p>
      <w:pPr>
        <w:pStyle w:val="TextBody"/>
        <w:spacing w:lineRule="auto" w:line="264" w:before="0" w:after="0"/>
        <w:ind w:left="0" w:right="0" w:hanging="354"/>
        <w:jc w:val="both"/>
        <w:rPr/>
      </w:pPr>
      <w:r>
        <w:rPr>
          <w:rFonts w:ascii="Arial;sans-serif" w:hAnsi="Arial;sans-serif"/>
          <w:b w:val="false"/>
          <w:color w:val="000000"/>
          <w:sz w:val="23"/>
        </w:rPr>
        <w:t>c.</w:t>
      </w:r>
      <w:r>
        <w:rPr>
          <w:rFonts w:ascii="Arial;sans-serif" w:hAnsi="Arial;sans-serif"/>
          <w:b w:val="false"/>
          <w:color w:val="000000"/>
          <w:sz w:val="23"/>
          <w:u w:val="single"/>
        </w:rPr>
        <w:t>Trade Secret Employee Notice Provision.</w:t>
      </w:r>
      <w:r>
        <w:rPr>
          <w:color w:val="000000"/>
        </w:rPr>
        <w:t xml:space="preserve"> </w:t>
      </w:r>
      <w:r>
        <w:rPr>
          <w:rFonts w:ascii="Arial;sans-serif" w:hAnsi="Arial;sans-serif"/>
          <w:b w:val="false"/>
          <w:color w:val="000000"/>
          <w:sz w:val="23"/>
        </w:rPr>
        <w:t>An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w:t>
      </w:r>
    </w:p>
    <w:p>
      <w:pPr>
        <w:pStyle w:val="TextBody"/>
        <w:spacing w:lineRule="auto" w:line="264" w:before="6" w:after="283"/>
        <w:ind w:left="0" w:right="0" w:firstLine="8"/>
        <w:jc w:val="both"/>
        <w:rPr>
          <w:rFonts w:ascii="Arial;sans-serif" w:hAnsi="Arial;sans-serif"/>
          <w:b w:val="false"/>
          <w:color w:val="000000"/>
          <w:sz w:val="23"/>
        </w:rPr>
      </w:pPr>
      <w:r>
        <w:rPr>
          <w:rFonts w:ascii="Arial;sans-serif" w:hAnsi="Arial;sans-serif"/>
          <w:b w:val="false"/>
          <w:color w:val="000000"/>
          <w:sz w:val="23"/>
        </w:rPr>
        <w:t>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196"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0" w:after="0"/>
        <w:ind w:left="0" w:right="0" w:hanging="354"/>
        <w:jc w:val="both"/>
        <w:rPr/>
      </w:pPr>
      <w:r>
        <w:rPr>
          <w:rFonts w:ascii="Arial;sans-serif" w:hAnsi="Arial;sans-serif"/>
          <w:b w:val="false"/>
          <w:color w:val="000000"/>
          <w:sz w:val="23"/>
        </w:rPr>
        <w:t>d.</w:t>
      </w:r>
      <w:r>
        <w:rPr>
          <w:rFonts w:ascii="Arial;sans-serif" w:hAnsi="Arial;sans-serif"/>
          <w:b w:val="false"/>
          <w:color w:val="000000"/>
          <w:sz w:val="23"/>
          <w:u w:val="single"/>
        </w:rPr>
        <w:t>Prevention of Unauthorized Release of Company Confidential Information</w:t>
      </w:r>
      <w:r>
        <w:rPr>
          <w:rFonts w:ascii="Arial;sans-serif" w:hAnsi="Arial;sans-serif"/>
          <w:b w:val="false"/>
          <w:color w:val="000000"/>
          <w:sz w:val="23"/>
        </w:rPr>
        <w:t>. I agree to take reasonable measures to prevent unauthorized persons or entities from having access to, obtaining or being furnished with any Company Confidential Information in my possession.</w:t>
      </w:r>
    </w:p>
    <w:p>
      <w:pPr>
        <w:pStyle w:val="TextBody"/>
        <w:spacing w:before="1" w:after="283"/>
        <w:rPr/>
      </w:pPr>
      <w:r>
        <w:rPr/>
      </w:r>
    </w:p>
    <w:p>
      <w:pPr>
        <w:pStyle w:val="TextBody"/>
        <w:spacing w:lineRule="auto" w:line="264" w:before="0" w:after="0"/>
        <w:ind w:left="0" w:right="0" w:hanging="354"/>
        <w:jc w:val="both"/>
        <w:rPr/>
      </w:pPr>
      <w:r>
        <w:rPr>
          <w:rFonts w:ascii="Arial;sans-serif" w:hAnsi="Arial;sans-serif"/>
          <w:b w:val="false"/>
          <w:color w:val="000000"/>
          <w:sz w:val="23"/>
        </w:rPr>
        <w:t>e.</w:t>
      </w:r>
      <w:r>
        <w:rPr>
          <w:rFonts w:ascii="Arial;sans-serif" w:hAnsi="Arial;sans-serif"/>
          <w:b w:val="false"/>
          <w:color w:val="000000"/>
          <w:sz w:val="23"/>
          <w:u w:val="single"/>
        </w:rPr>
        <w:t>Confidential Information of Third Parties.</w:t>
      </w:r>
      <w:r>
        <w:rPr>
          <w:color w:val="000000"/>
        </w:rPr>
        <w:t xml:space="preserve"> </w:t>
      </w:r>
      <w:r>
        <w:rPr>
          <w:rFonts w:ascii="Arial;sans-serif" w:hAnsi="Arial;sans-serif"/>
          <w:b w:val="false"/>
          <w:color w:val="000000"/>
          <w:sz w:val="23"/>
        </w:rPr>
        <w:t>I agree to preserve as confidential any information that I learn or obtain in connection with my employment from a third party or relating to a third party, such as a client or customer, that is not readily available to the public and to treat such information as though it were Company Confidential Information.</w:t>
      </w:r>
    </w:p>
    <w:p>
      <w:pPr>
        <w:pStyle w:val="TextBody"/>
        <w:spacing w:before="7" w:after="283"/>
        <w:rPr/>
      </w:pPr>
      <w:r>
        <w:rPr/>
      </w:r>
    </w:p>
    <w:p>
      <w:pPr>
        <w:pStyle w:val="TextBody"/>
        <w:spacing w:lineRule="auto" w:line="264" w:before="1" w:after="283"/>
        <w:ind w:left="0" w:right="0" w:hanging="360"/>
        <w:jc w:val="both"/>
        <w:rPr/>
      </w:pPr>
      <w:r>
        <w:rPr>
          <w:rFonts w:ascii="Arial;sans-serif" w:hAnsi="Arial;sans-serif"/>
          <w:b w:val="false"/>
          <w:color w:val="000000"/>
          <w:sz w:val="23"/>
        </w:rPr>
        <w:t>f.</w:t>
      </w:r>
      <w:r>
        <w:rPr>
          <w:rFonts w:ascii="Arial;sans-serif" w:hAnsi="Arial;sans-serif"/>
          <w:b w:val="false"/>
          <w:color w:val="000000"/>
          <w:sz w:val="23"/>
          <w:u w:val="single"/>
        </w:rPr>
        <w:t>Confidential Information of Former Employers.</w:t>
      </w:r>
      <w:r>
        <w:rPr>
          <w:color w:val="000000"/>
        </w:rPr>
        <w:t xml:space="preserve"> </w:t>
      </w:r>
      <w:r>
        <w:rPr>
          <w:rFonts w:ascii="Arial;sans-serif" w:hAnsi="Arial;sans-serif"/>
          <w:b w:val="false"/>
          <w:color w:val="000000"/>
          <w:sz w:val="23"/>
        </w:rPr>
        <w:t>I agree not to disclose to the Company and not to use in any way in connection with my employment therewith any proprietary confidential information or trade secrets of any kind, or any embodiments thereof, of any previous employer or other third party.</w:t>
      </w:r>
    </w:p>
    <w:p>
      <w:pPr>
        <w:pStyle w:val="TextBody"/>
        <w:spacing w:before="6" w:after="283"/>
        <w:rPr/>
      </w:pPr>
      <w:r>
        <w:rPr/>
      </w:r>
    </w:p>
    <w:p>
      <w:pPr>
        <w:pStyle w:val="TextBody"/>
        <w:spacing w:lineRule="auto" w:line="264" w:before="0" w:after="0"/>
        <w:ind w:left="0" w:right="0" w:hanging="360"/>
        <w:jc w:val="both"/>
        <w:rPr/>
      </w:pPr>
      <w:r>
        <w:rPr>
          <w:rFonts w:ascii="Arial;sans-serif" w:hAnsi="Arial;sans-serif"/>
          <w:b w:val="false"/>
          <w:color w:val="000000"/>
          <w:sz w:val="23"/>
        </w:rPr>
        <w:t>g.</w:t>
      </w:r>
      <w:r>
        <w:rPr>
          <w:rFonts w:ascii="Arial;sans-serif" w:hAnsi="Arial;sans-serif"/>
          <w:b w:val="false"/>
          <w:color w:val="000000"/>
          <w:sz w:val="23"/>
          <w:u w:val="single"/>
        </w:rPr>
        <w:t>Termination of Employment.</w:t>
      </w:r>
      <w:r>
        <w:rPr>
          <w:color w:val="000000"/>
        </w:rPr>
        <w:t xml:space="preserve"> </w:t>
      </w:r>
      <w:r>
        <w:rPr>
          <w:rFonts w:ascii="Arial;sans-serif" w:hAnsi="Arial;sans-serif"/>
          <w:b w:val="false"/>
          <w:color w:val="000000"/>
          <w:sz w:val="23"/>
        </w:rPr>
        <w:t>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pStyle w:val="TextBody"/>
        <w:spacing w:before="6" w:after="283"/>
        <w:rPr/>
      </w:pPr>
      <w:r>
        <w:rPr/>
      </w:r>
    </w:p>
    <w:p>
      <w:pPr>
        <w:pStyle w:val="TextBody"/>
        <w:spacing w:lineRule="auto" w:line="268" w:before="1" w:after="283"/>
        <w:ind w:left="0" w:right="0" w:hanging="347"/>
        <w:rPr/>
      </w:pPr>
      <w:r>
        <w:rPr>
          <w:rFonts w:ascii="Arial;sans-serif" w:hAnsi="Arial;sans-serif"/>
          <w:b w:val="false"/>
          <w:color w:val="000000"/>
          <w:sz w:val="23"/>
        </w:rPr>
        <w:t>h.</w:t>
      </w:r>
      <w:r>
        <w:rPr>
          <w:rFonts w:ascii="Arial;sans-serif" w:hAnsi="Arial;sans-serif"/>
          <w:b w:val="false"/>
          <w:color w:val="000000"/>
          <w:sz w:val="23"/>
          <w:u w:val="single"/>
        </w:rPr>
        <w:t>Exit Interview</w:t>
      </w:r>
      <w:r>
        <w:rPr>
          <w:rFonts w:ascii="Arial;sans-serif" w:hAnsi="Arial;sans-serif"/>
          <w:b w:val="false"/>
          <w:color w:val="000000"/>
          <w:sz w:val="23"/>
        </w:rPr>
        <w:t>.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pStyle w:val="TextBody"/>
        <w:spacing w:before="3" w:after="283"/>
        <w:rPr/>
      </w:pPr>
      <w:r>
        <w:rPr/>
      </w:r>
    </w:p>
    <w:p>
      <w:pPr>
        <w:pStyle w:val="TextBody"/>
        <w:spacing w:lineRule="auto" w:line="240" w:before="1" w:after="283"/>
        <w:ind w:left="0" w:right="0" w:hanging="256"/>
        <w:rPr/>
      </w:pPr>
      <w:r>
        <w:rPr>
          <w:rFonts w:ascii="Arial;sans-serif" w:hAnsi="Arial;sans-serif"/>
          <w:b w:val="false"/>
          <w:color w:val="000000"/>
          <w:sz w:val="23"/>
        </w:rPr>
        <w:t>2.</w:t>
      </w:r>
      <w:r>
        <w:rPr>
          <w:rFonts w:ascii="Arial;sans-serif" w:hAnsi="Arial;sans-serif"/>
          <w:b w:val="false"/>
          <w:color w:val="000000"/>
          <w:sz w:val="23"/>
          <w:u w:val="single"/>
        </w:rPr>
        <w:t>DUTY OF LOYALTY, NON-SOLICITATION, and NONDISPARAGEMENT</w:t>
      </w:r>
    </w:p>
    <w:p>
      <w:pPr>
        <w:pStyle w:val="TextBody"/>
        <w:spacing w:before="7" w:after="283"/>
        <w:rPr/>
      </w:pPr>
      <w:r>
        <w:rPr/>
      </w:r>
    </w:p>
    <w:p>
      <w:pPr>
        <w:pStyle w:val="TextBody"/>
        <w:spacing w:lineRule="auto" w:line="264" w:before="103" w:after="283"/>
        <w:ind w:left="0" w:right="0" w:hanging="353"/>
        <w:jc w:val="both"/>
        <w:rPr/>
      </w:pPr>
      <w:r>
        <w:rPr>
          <w:rFonts w:ascii="Arial;sans-serif" w:hAnsi="Arial;sans-serif"/>
          <w:b w:val="false"/>
          <w:color w:val="000000"/>
          <w:sz w:val="23"/>
        </w:rPr>
        <w:t>a.</w:t>
      </w:r>
      <w:r>
        <w:rPr>
          <w:rFonts w:ascii="Arial;sans-serif" w:hAnsi="Arial;sans-serif"/>
          <w:b w:val="false"/>
          <w:color w:val="000000"/>
          <w:sz w:val="23"/>
          <w:u w:val="single"/>
        </w:rPr>
        <w:t>Duty of Loyalty</w:t>
      </w:r>
      <w:r>
        <w:rPr>
          <w:rFonts w:ascii="Arial;sans-serif" w:hAnsi="Arial;sans-serif"/>
          <w:b w:val="false"/>
          <w:color w:val="000000"/>
          <w:sz w:val="23"/>
        </w:rPr>
        <w:t>. I agree that at all times during my employment with the Company, I will not, without the Company’s express written consent, engage in any employment or business activity that is competitive with or that would otherwise conflict with the business of the Company, nor will I engage in any other activities that may conflict with my obligations or duty of loyalty to the Company.</w:t>
      </w:r>
    </w:p>
    <w:p>
      <w:pPr>
        <w:pStyle w:val="TextBody"/>
        <w:spacing w:before="4" w:after="283"/>
        <w:rPr/>
      </w:pPr>
      <w:r>
        <w:rPr/>
      </w:r>
    </w:p>
    <w:p>
      <w:pPr>
        <w:pStyle w:val="TextBody"/>
        <w:spacing w:lineRule="auto" w:line="264" w:before="0" w:after="0"/>
        <w:ind w:left="0" w:right="0" w:hanging="354"/>
        <w:jc w:val="both"/>
        <w:rPr/>
      </w:pPr>
      <w:r>
        <w:rPr>
          <w:rFonts w:ascii="Arial;sans-serif" w:hAnsi="Arial;sans-serif"/>
          <w:b w:val="false"/>
          <w:color w:val="000000"/>
          <w:sz w:val="23"/>
        </w:rPr>
        <w:t>b.</w:t>
      </w:r>
      <w:r>
        <w:rPr>
          <w:rFonts w:ascii="Arial;sans-serif" w:hAnsi="Arial;sans-serif"/>
          <w:b w:val="false"/>
          <w:color w:val="000000"/>
          <w:sz w:val="23"/>
          <w:u w:val="single"/>
        </w:rPr>
        <w:t>Obligations to Prior Employers or Others</w:t>
      </w:r>
      <w:r>
        <w:rPr>
          <w:rFonts w:ascii="Arial;sans-serif" w:hAnsi="Arial;sans-serif"/>
          <w:b w:val="false"/>
          <w:color w:val="000000"/>
          <w:sz w:val="23"/>
        </w:rPr>
        <w:t>.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pStyle w:val="TextBody"/>
        <w:spacing w:before="2" w:after="283"/>
        <w:rPr/>
      </w:pPr>
      <w:r>
        <w:rPr/>
      </w:r>
    </w:p>
    <w:p>
      <w:pPr>
        <w:pStyle w:val="TextBody"/>
        <w:spacing w:lineRule="auto" w:line="240" w:before="0" w:after="0"/>
        <w:rPr>
          <w:rFonts w:ascii="Arial;sans-serif" w:hAnsi="Arial;sans-serif"/>
          <w:b w:val="false"/>
          <w:color w:val="000000"/>
          <w:sz w:val="23"/>
        </w:rPr>
      </w:pPr>
      <w:r>
        <w:rPr>
          <w:rFonts w:ascii="Arial;sans-serif" w:hAnsi="Arial;sans-serif"/>
          <w:b w:val="false"/>
          <w:color w:val="000000"/>
          <w:sz w:val="23"/>
        </w:rPr>
        <w:t>LIST ANY EXCEPTIONS.</w:t>
      </w:r>
    </w:p>
    <w:p>
      <w:pPr>
        <w:pStyle w:val="TextBody"/>
        <w:spacing w:before="10" w:after="283"/>
        <w:rPr/>
      </w:pPr>
      <w:r>
        <w:rPr/>
        <w:drawing>
          <wp:inline distT="0" distB="63500" distL="0" distR="0">
            <wp:extent cx="6248400" cy="14605"/>
            <wp:effectExtent l="0" t="0" r="0" b="0"/>
            <wp:docPr id="19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 descr=""/>
                    <pic:cNvPicPr>
                      <a:picLocks noChangeAspect="1" noChangeArrowheads="1"/>
                    </pic:cNvPicPr>
                  </pic:nvPicPr>
                  <pic:blipFill>
                    <a:blip r:embed="rId22"/>
                    <a:stretch>
                      <a:fillRect/>
                    </a:stretch>
                  </pic:blipFill>
                  <pic:spPr bwMode="auto">
                    <a:xfrm>
                      <a:off x="0" y="0"/>
                      <a:ext cx="6248400" cy="14605"/>
                    </a:xfrm>
                    <a:prstGeom prst="rect">
                      <a:avLst/>
                    </a:prstGeom>
                  </pic:spPr>
                </pic:pic>
              </a:graphicData>
            </a:graphic>
          </wp:inline>
        </w:drawing>
      </w:r>
    </w:p>
    <w:p>
      <w:pPr>
        <w:pStyle w:val="TextBody"/>
        <w:spacing w:before="10" w:after="283"/>
        <w:rPr/>
      </w:pPr>
      <w:r>
        <w:rPr/>
        <w:drawing>
          <wp:inline distT="0" distB="63500" distL="0" distR="0">
            <wp:extent cx="6248400" cy="14605"/>
            <wp:effectExtent l="0" t="0" r="0" b="0"/>
            <wp:docPr id="19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4" descr=""/>
                    <pic:cNvPicPr>
                      <a:picLocks noChangeAspect="1" noChangeArrowheads="1"/>
                    </pic:cNvPicPr>
                  </pic:nvPicPr>
                  <pic:blipFill>
                    <a:blip r:embed="rId23"/>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19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 descr=""/>
                    <pic:cNvPicPr>
                      <a:picLocks noChangeAspect="1" noChangeArrowheads="1"/>
                    </pic:cNvPicPr>
                  </pic:nvPicPr>
                  <pic:blipFill>
                    <a:blip r:embed="rId24"/>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0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 descr=""/>
                    <pic:cNvPicPr>
                      <a:picLocks noChangeAspect="1" noChangeArrowheads="1"/>
                    </pic:cNvPicPr>
                  </pic:nvPicPr>
                  <pic:blipFill>
                    <a:blip r:embed="rId25"/>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0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 descr=""/>
                    <pic:cNvPicPr>
                      <a:picLocks noChangeAspect="1" noChangeArrowheads="1"/>
                    </pic:cNvPicPr>
                  </pic:nvPicPr>
                  <pic:blipFill>
                    <a:blip r:embed="rId26"/>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0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8" descr=""/>
                    <pic:cNvPicPr>
                      <a:picLocks noChangeAspect="1" noChangeArrowheads="1"/>
                    </pic:cNvPicPr>
                  </pic:nvPicPr>
                  <pic:blipFill>
                    <a:blip r:embed="rId27"/>
                    <a:stretch>
                      <a:fillRect/>
                    </a:stretch>
                  </pic:blipFill>
                  <pic:spPr bwMode="auto">
                    <a:xfrm>
                      <a:off x="0" y="0"/>
                      <a:ext cx="6248400" cy="14605"/>
                    </a:xfrm>
                    <a:prstGeom prst="rect">
                      <a:avLst/>
                    </a:prstGeom>
                  </pic:spPr>
                </pic:pic>
              </a:graphicData>
            </a:graphic>
          </wp:inline>
        </w:drawing>
      </w:r>
    </w:p>
    <w:p>
      <w:pPr>
        <w:pStyle w:val="TextBody"/>
        <w:spacing w:before="10" w:after="283"/>
        <w:rPr/>
      </w:pPr>
      <w:r>
        <w:rPr/>
      </w:r>
    </w:p>
    <w:p>
      <w:pPr>
        <w:pStyle w:val="TextBody"/>
        <w:spacing w:before="5" w:after="283"/>
        <w:rPr/>
      </w:pPr>
      <w:r>
        <w:rPr/>
      </w:r>
    </w:p>
    <w:p>
      <w:pPr>
        <w:pStyle w:val="TextBody"/>
        <w:spacing w:before="4" w:after="283"/>
        <w:rPr/>
      </w:pPr>
      <w:r>
        <w:rPr/>
      </w:r>
    </w:p>
    <w:p>
      <w:pPr>
        <w:pStyle w:val="TextBody"/>
        <w:spacing w:before="5" w:after="283"/>
        <w:rPr/>
      </w:pPr>
      <w:r>
        <w:rPr/>
      </w:r>
    </w:p>
    <w:p>
      <w:pPr>
        <w:pStyle w:val="TextBody"/>
        <w:spacing w:before="5"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03"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4" w:before="104" w:after="283"/>
        <w:ind w:left="0" w:right="0" w:hanging="358"/>
        <w:jc w:val="both"/>
        <w:rPr/>
      </w:pPr>
      <w:r>
        <w:rPr>
          <w:rFonts w:ascii="Arial;sans-serif" w:hAnsi="Arial;sans-serif"/>
          <w:b w:val="false"/>
          <w:color w:val="000000"/>
          <w:sz w:val="23"/>
        </w:rPr>
        <w:t>c.</w:t>
      </w:r>
      <w:r>
        <w:rPr>
          <w:rFonts w:ascii="Arial;sans-serif" w:hAnsi="Arial;sans-serif"/>
          <w:b w:val="false"/>
          <w:color w:val="000000"/>
          <w:sz w:val="23"/>
          <w:u w:val="single"/>
        </w:rPr>
        <w:t>Solicitation of Employees</w:t>
      </w:r>
      <w:r>
        <w:rPr>
          <w:rFonts w:ascii="Arial;sans-serif" w:hAnsi="Arial;sans-serif"/>
          <w:b w:val="false"/>
          <w:color w:val="000000"/>
          <w:sz w:val="23"/>
        </w:rPr>
        <w:t>.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pStyle w:val="TextBody"/>
        <w:spacing w:before="0" w:after="0"/>
        <w:rPr/>
      </w:pPr>
      <w:r>
        <w:rPr/>
      </w:r>
    </w:p>
    <w:p>
      <w:pPr>
        <w:pStyle w:val="TextBody"/>
        <w:spacing w:lineRule="auto" w:line="264" w:before="1" w:after="283"/>
        <w:ind w:left="0" w:right="0" w:hanging="354"/>
        <w:jc w:val="both"/>
        <w:rPr/>
      </w:pPr>
      <w:r>
        <w:rPr>
          <w:rFonts w:ascii="Arial;sans-serif" w:hAnsi="Arial;sans-serif"/>
          <w:b w:val="false"/>
          <w:color w:val="000000"/>
          <w:sz w:val="23"/>
        </w:rPr>
        <w:t>d.</w:t>
      </w:r>
      <w:r>
        <w:rPr>
          <w:rFonts w:ascii="Arial;sans-serif" w:hAnsi="Arial;sans-serif"/>
          <w:b w:val="false"/>
          <w:color w:val="000000"/>
          <w:sz w:val="23"/>
          <w:u w:val="single"/>
        </w:rPr>
        <w:t>Solicitation of Customers</w:t>
      </w:r>
      <w:r>
        <w:rPr>
          <w:rFonts w:ascii="Arial;sans-serif" w:hAnsi="Arial;sans-serif"/>
          <w:b w:val="false"/>
          <w:color w:val="000000"/>
          <w:sz w:val="23"/>
        </w:rPr>
        <w:t>. During my employment with the Company, and after my employment ends (voluntary or otherwise), I covenant and agree that I shall not in any manner, directly or indirectly, on my own behalf or for the benefit of any other person or entity, use any trade secrets or proprietary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pStyle w:val="TextBody"/>
        <w:spacing w:before="3" w:after="283"/>
        <w:rPr/>
      </w:pPr>
      <w:r>
        <w:rPr/>
      </w:r>
    </w:p>
    <w:p>
      <w:pPr>
        <w:pStyle w:val="TextBody"/>
        <w:spacing w:lineRule="auto" w:line="264" w:before="0" w:after="0"/>
        <w:ind w:left="0" w:right="0" w:hanging="354"/>
        <w:jc w:val="both"/>
        <w:rPr/>
      </w:pPr>
      <w:r>
        <w:rPr>
          <w:rFonts w:ascii="Arial;sans-serif" w:hAnsi="Arial;sans-serif"/>
          <w:b w:val="false"/>
          <w:color w:val="000000"/>
          <w:sz w:val="23"/>
        </w:rPr>
        <w:t>e.</w:t>
      </w:r>
      <w:r>
        <w:rPr>
          <w:rFonts w:ascii="Arial;sans-serif" w:hAnsi="Arial;sans-serif"/>
          <w:b w:val="false"/>
          <w:color w:val="000000"/>
          <w:sz w:val="23"/>
          <w:u w:val="single"/>
        </w:rPr>
        <w:t>Nondisparagement</w:t>
      </w:r>
      <w:r>
        <w:rPr>
          <w:rFonts w:ascii="Arial;sans-serif" w:hAnsi="Arial;sans-serif"/>
          <w:b w:val="false"/>
          <w:color w:val="000000"/>
          <w:sz w:val="23"/>
        </w:rPr>
        <w:t>. I agree that I will not make any disparaging and/or defamatory statements about the Company’s current or former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I also agree not to make any defamatory statements about the Company to the media or to any other person, including on social media.</w:t>
      </w:r>
    </w:p>
    <w:p>
      <w:pPr>
        <w:pStyle w:val="TextBody"/>
        <w:spacing w:before="0" w:after="0"/>
        <w:rPr/>
      </w:pPr>
      <w:r>
        <w:rPr/>
      </w:r>
    </w:p>
    <w:p>
      <w:pPr>
        <w:pStyle w:val="TextBody"/>
        <w:spacing w:lineRule="auto" w:line="240" w:before="1" w:after="283"/>
        <w:ind w:left="0" w:right="0" w:hanging="257"/>
        <w:rPr/>
      </w:pPr>
      <w:r>
        <w:rPr>
          <w:rFonts w:ascii="Arial;sans-serif" w:hAnsi="Arial;sans-serif"/>
          <w:b w:val="false"/>
          <w:color w:val="000000"/>
          <w:sz w:val="23"/>
        </w:rPr>
        <w:t>3.</w:t>
      </w:r>
      <w:r>
        <w:rPr>
          <w:rFonts w:ascii="Arial;sans-serif" w:hAnsi="Arial;sans-serif"/>
          <w:b w:val="false"/>
          <w:color w:val="000000"/>
          <w:sz w:val="23"/>
          <w:u w:val="single"/>
        </w:rPr>
        <w:t>ASSIGNMENT OF INVENTIONS</w:t>
      </w:r>
      <w:r>
        <w:rPr>
          <w:rFonts w:ascii="Arial;sans-serif" w:hAnsi="Arial;sans-serif"/>
          <w:b w:val="false"/>
          <w:color w:val="000000"/>
          <w:sz w:val="23"/>
        </w:rPr>
        <w:t>.</w:t>
      </w:r>
    </w:p>
    <w:p>
      <w:pPr>
        <w:pStyle w:val="TextBody"/>
        <w:spacing w:before="2" w:after="283"/>
        <w:rPr/>
      </w:pPr>
      <w:r>
        <w:rPr/>
      </w:r>
    </w:p>
    <w:p>
      <w:pPr>
        <w:pStyle w:val="TextBody"/>
        <w:spacing w:lineRule="auto" w:line="266" w:before="101" w:after="283"/>
        <w:ind w:left="0" w:right="0" w:hanging="359"/>
        <w:jc w:val="both"/>
        <w:rPr/>
      </w:pPr>
      <w:r>
        <w:rPr>
          <w:rFonts w:ascii="Arial;sans-serif" w:hAnsi="Arial;sans-serif"/>
          <w:b w:val="false"/>
          <w:color w:val="000000"/>
          <w:sz w:val="23"/>
        </w:rPr>
        <w:t>a.</w:t>
      </w:r>
      <w:r>
        <w:rPr>
          <w:rFonts w:ascii="Arial;sans-serif" w:hAnsi="Arial;sans-serif"/>
          <w:b w:val="false"/>
          <w:color w:val="000000"/>
          <w:sz w:val="23"/>
          <w:u w:val="single"/>
        </w:rPr>
        <w:t>Inventions and Assignment</w:t>
      </w:r>
      <w:r>
        <w:rPr>
          <w:rFonts w:ascii="Arial;sans-serif" w:hAnsi="Arial;sans-serif"/>
          <w:b w:val="false"/>
          <w:color w:val="000000"/>
          <w:sz w:val="23"/>
        </w:rPr>
        <w:t>. In connection with your employment with the Company, you understand and agree that all Inventions, defined as and including discoveries, developments, designs, improvements, inventions, formulas, programs, computer software or code, processes, techniques, know-how, research, technical data and ideas (whether or not patentable or registrable under patent, copyright or similar statutes) that (i) that relate to the Company's business or potential business, (ii) that result from tasks assigned to me by the Company, or (iii) that are conceived or made with the use of the Company's time, facilities, materials or, resources, shall be the sole property of Company and its assigns, and Company shall be the sole owner of all Rights to said Inventions, said Rights being defined as and including patents, trademarks, service marks and copyrights, and other intellectual property rights pertaining to said Inventions or Confidential Information.</w:t>
      </w:r>
      <w:r>
        <w:rPr>
          <w:rFonts w:ascii="Arial;sans-serif" w:hAnsi="Arial;sans-serif"/>
          <w:b w:val="false"/>
          <w:color w:val="000000"/>
          <w:sz w:val="15"/>
        </w:rPr>
        <w:t>1</w:t>
      </w:r>
      <w:r>
        <w:rPr>
          <w:color w:val="000000"/>
        </w:rPr>
        <w:t xml:space="preserve"> </w:t>
      </w:r>
      <w:r>
        <w:rPr>
          <w:rFonts w:ascii="Arial;sans-serif" w:hAnsi="Arial;sans-serif"/>
          <w:b w:val="false"/>
          <w:color w:val="000000"/>
          <w:sz w:val="23"/>
        </w:rPr>
        <w:t>You further acknowledge and</w:t>
      </w:r>
    </w:p>
    <w:p>
      <w:pPr>
        <w:pStyle w:val="TextBody"/>
        <w:spacing w:before="5" w:after="283"/>
        <w:rPr/>
      </w:pPr>
      <w:r>
        <w:rPr/>
      </w:r>
    </w:p>
    <w:p>
      <w:pPr>
        <w:pStyle w:val="TextBody"/>
        <w:spacing w:lineRule="auto" w:line="268" w:before="1" w:after="283"/>
        <w:ind w:left="0" w:right="0" w:firstLine="9"/>
        <w:jc w:val="both"/>
        <w:rPr/>
      </w:pPr>
      <w:r>
        <w:rPr>
          <w:rFonts w:ascii="Arial;sans-serif" w:hAnsi="Arial;sans-serif"/>
          <w:b w:val="false"/>
          <w:color w:val="000000"/>
          <w:sz w:val="14"/>
        </w:rPr>
        <w:t xml:space="preserve">1 </w:t>
      </w:r>
      <w:r>
        <w:rPr>
          <w:rFonts w:ascii="Arial;sans-serif" w:hAnsi="Arial;sans-serif"/>
          <w:b w:val="false"/>
          <w:color w:val="000000"/>
          <w:sz w:val="19"/>
        </w:rPr>
        <w:t>For employees in Delaware, Illinois, Kansas, Minnesota, North Carolina, Utah, Washington, and any other state where the Company employs 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pStyle w:val="TextBody"/>
        <w:spacing w:before="5" w:after="283"/>
        <w:rPr/>
      </w:pPr>
      <w:r>
        <w:rPr/>
      </w:r>
    </w:p>
    <w:p>
      <w:pPr>
        <w:pStyle w:val="TextBody"/>
        <w:spacing w:lineRule="auto" w:line="266" w:before="0" w:after="0"/>
        <w:ind w:left="0" w:right="0" w:firstLine="15"/>
        <w:jc w:val="both"/>
        <w:rPr>
          <w:rFonts w:ascii="Arial;sans-serif" w:hAnsi="Arial;sans-serif"/>
          <w:b w:val="false"/>
          <w:color w:val="000000"/>
          <w:sz w:val="19"/>
        </w:rPr>
      </w:pPr>
      <w:r>
        <w:rPr>
          <w:rFonts w:ascii="Arial;sans-serif" w:hAnsi="Arial;sans-serif"/>
          <w:b w:val="false"/>
          <w:color w:val="000000"/>
          <w:sz w:val="19"/>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 relate to any work performed by you relating to a contract under which the Company has an obligation to assign title to the United States with respect to inventions resulting from work performed thereunder.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04"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6" w:before="101" w:after="283"/>
        <w:jc w:val="both"/>
        <w:rPr>
          <w:rFonts w:ascii="Arial;sans-serif" w:hAnsi="Arial;sans-serif"/>
          <w:b w:val="false"/>
          <w:color w:val="000000"/>
          <w:sz w:val="23"/>
        </w:rPr>
      </w:pPr>
      <w:r>
        <w:rPr>
          <w:rFonts w:ascii="Arial;sans-serif" w:hAnsi="Arial;sans-serif"/>
          <w:b w:val="false"/>
          <w:color w:val="000000"/>
          <w:sz w:val="23"/>
        </w:rPr>
        <w:t>agree that all original works of authorship are "works made for hire," as that term is defined in the United States Copyright Act and belong to the Company as an Invention under this policy. In the event that any original works or Inventions (i) that relate to the Company's business or potential business, (ii) that result from tasks assigned to me by the Company, or (iii) that are conceived or made with the use of the Company's time, facilities, materials or, resources shall be deemed to not constitute works made for hire, or in the event that you should otherwise, by operation of law, be deemed to retain any rights to any Inventions, you agree to assign to the Company, without further consideration, your entire right, title and interest in and to each and every such Invention and all Rights to said Inventions developed, created or discovered by you, whether working alone or jointly with others.</w:t>
      </w:r>
    </w:p>
    <w:p>
      <w:pPr>
        <w:pStyle w:val="TextBody"/>
        <w:spacing w:before="0" w:after="0"/>
        <w:rPr/>
      </w:pPr>
      <w:r>
        <w:rPr/>
      </w:r>
    </w:p>
    <w:p>
      <w:pPr>
        <w:pStyle w:val="TextBody"/>
        <w:spacing w:lineRule="auto" w:line="268" w:before="1" w:after="283"/>
        <w:ind w:left="0" w:right="0" w:hanging="348"/>
        <w:rPr/>
      </w:pPr>
      <w:r>
        <w:rPr>
          <w:rFonts w:ascii="Arial;sans-serif" w:hAnsi="Arial;sans-serif"/>
          <w:b w:val="false"/>
          <w:color w:val="000000"/>
          <w:sz w:val="23"/>
        </w:rPr>
        <w:t>b.</w:t>
      </w:r>
      <w:r>
        <w:rPr>
          <w:rFonts w:ascii="Arial;sans-serif" w:hAnsi="Arial;sans-serif"/>
          <w:b w:val="false"/>
          <w:color w:val="000000"/>
          <w:sz w:val="23"/>
          <w:u w:val="single"/>
        </w:rPr>
        <w:t xml:space="preserve">Assistance. </w:t>
      </w:r>
      <w:r>
        <w:rPr>
          <w:rFonts w:ascii="Arial;sans-serif" w:hAnsi="Arial;sans-serif"/>
          <w:b w:val="false"/>
          <w:color w:val="000000"/>
          <w:sz w:val="23"/>
        </w:rPr>
        <w:t>I agree to assist Company in every proper way (but at the Company's expense) to obtain and from time to time enforce the Rights identified above in any and all countries with respect to the Inventions, and I agree to execute all necessary documents for use in applying for, registering, obtaining, and enforcing the Rights and assignments as the Company may desire.</w:t>
      </w:r>
    </w:p>
    <w:p>
      <w:pPr>
        <w:pStyle w:val="TextBody"/>
        <w:spacing w:before="1" w:after="283"/>
        <w:rPr/>
      </w:pPr>
      <w:r>
        <w:rPr/>
      </w:r>
    </w:p>
    <w:p>
      <w:pPr>
        <w:pStyle w:val="TextBody"/>
        <w:spacing w:lineRule="auto" w:line="264" w:before="0" w:after="0"/>
        <w:ind w:left="0" w:right="0" w:hanging="358"/>
        <w:jc w:val="both"/>
        <w:rPr/>
      </w:pPr>
      <w:r>
        <w:rPr>
          <w:rFonts w:ascii="Arial;sans-serif" w:hAnsi="Arial;sans-serif"/>
          <w:b w:val="false"/>
          <w:color w:val="000000"/>
          <w:sz w:val="23"/>
        </w:rPr>
        <w:t>c.</w:t>
      </w:r>
      <w:r>
        <w:rPr>
          <w:rFonts w:ascii="Arial;sans-serif" w:hAnsi="Arial;sans-serif"/>
          <w:b w:val="false"/>
          <w:color w:val="000000"/>
          <w:sz w:val="23"/>
          <w:u w:val="single"/>
        </w:rPr>
        <w:t>Disclosure of Potential Inventions.</w:t>
      </w:r>
      <w:r>
        <w:rPr>
          <w:color w:val="000000"/>
        </w:rPr>
        <w:t xml:space="preserve"> </w:t>
      </w:r>
      <w:r>
        <w:rPr>
          <w:rFonts w:ascii="Arial;sans-serif" w:hAnsi="Arial;sans-serif"/>
          <w:b w:val="false"/>
          <w:color w:val="000000"/>
          <w:sz w:val="23"/>
        </w:rPr>
        <w:t>During the period of my employment and for one (1) year after termination of my employment with the Company (voluntary or otherwise), I will promptly disclose to the Company fully and in writing (to be held in confidence by Company unless deemed to be an Invention) all potential Inventions authored, conceived or reduced to practice by me, either alone or jointly with others, and all patent applications filed by me or on my behalf, so that the Company may determine its rights to any such potential Inventions.</w:t>
      </w:r>
    </w:p>
    <w:p>
      <w:pPr>
        <w:pStyle w:val="TextBody"/>
        <w:spacing w:before="9" w:after="283"/>
        <w:rPr/>
      </w:pPr>
      <w:r>
        <w:rPr/>
      </w:r>
    </w:p>
    <w:p>
      <w:pPr>
        <w:pStyle w:val="TextBody"/>
        <w:spacing w:lineRule="auto" w:line="266" w:before="1" w:after="283"/>
        <w:ind w:left="0" w:right="0" w:hanging="360"/>
        <w:rPr/>
      </w:pPr>
      <w:r>
        <w:rPr>
          <w:rFonts w:ascii="Arial;sans-serif" w:hAnsi="Arial;sans-serif"/>
          <w:b w:val="false"/>
          <w:color w:val="000000"/>
          <w:sz w:val="23"/>
        </w:rPr>
        <w:t>d.</w:t>
      </w:r>
      <w:r>
        <w:rPr>
          <w:rFonts w:ascii="Arial;sans-serif" w:hAnsi="Arial;sans-serif"/>
          <w:b w:val="false"/>
          <w:color w:val="000000"/>
          <w:sz w:val="23"/>
          <w:u w:val="single"/>
        </w:rPr>
        <w:t>Prior Inventions.</w:t>
      </w:r>
      <w:r>
        <w:rPr>
          <w:color w:val="000000"/>
        </w:rPr>
        <w:t xml:space="preserve"> </w:t>
      </w:r>
      <w:r>
        <w:rPr>
          <w:rFonts w:ascii="Arial;sans-serif" w:hAnsi="Arial;sans-serif"/>
          <w:b w:val="false"/>
          <w:color w:val="000000"/>
          <w:sz w:val="23"/>
        </w:rPr>
        <w:t>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pStyle w:val="TextBody"/>
        <w:spacing w:before="4" w:after="283"/>
        <w:rPr/>
      </w:pPr>
      <w:r>
        <w:rPr/>
      </w:r>
    </w:p>
    <w:p>
      <w:pPr>
        <w:pStyle w:val="TextBody"/>
        <w:spacing w:lineRule="auto" w:line="240" w:before="6" w:after="283"/>
        <w:rPr/>
      </w:pPr>
      <w:r>
        <w:rPr>
          <w:rFonts w:ascii="Arial;sans-serif" w:hAnsi="Arial;sans-serif"/>
          <w:b w:val="false"/>
          <w:color w:val="000000"/>
          <w:sz w:val="23"/>
        </w:rPr>
        <w:t>LIST    ANY    EXCLUSIONS.</w:t>
      </w:r>
      <w:r>
        <w:rPr/>
        <w:drawing>
          <wp:inline distT="0" distB="63500" distL="0" distR="0">
            <wp:extent cx="6248400" cy="14605"/>
            <wp:effectExtent l="0" t="0" r="0" b="0"/>
            <wp:docPr id="20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 descr=""/>
                    <pic:cNvPicPr>
                      <a:picLocks noChangeAspect="1" noChangeArrowheads="1"/>
                    </pic:cNvPicPr>
                  </pic:nvPicPr>
                  <pic:blipFill>
                    <a:blip r:embed="rId28"/>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0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 descr=""/>
                    <pic:cNvPicPr>
                      <a:picLocks noChangeAspect="1" noChangeArrowheads="1"/>
                    </pic:cNvPicPr>
                  </pic:nvPicPr>
                  <pic:blipFill>
                    <a:blip r:embed="rId29"/>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0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1" descr=""/>
                    <pic:cNvPicPr>
                      <a:picLocks noChangeAspect="1" noChangeArrowheads="1"/>
                    </pic:cNvPicPr>
                  </pic:nvPicPr>
                  <pic:blipFill>
                    <a:blip r:embed="rId30"/>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0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2" descr=""/>
                    <pic:cNvPicPr>
                      <a:picLocks noChangeAspect="1" noChangeArrowheads="1"/>
                    </pic:cNvPicPr>
                  </pic:nvPicPr>
                  <pic:blipFill>
                    <a:blip r:embed="rId31"/>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0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3" descr=""/>
                    <pic:cNvPicPr>
                      <a:picLocks noChangeAspect="1" noChangeArrowheads="1"/>
                    </pic:cNvPicPr>
                  </pic:nvPicPr>
                  <pic:blipFill>
                    <a:blip r:embed="rId32"/>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1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 descr=""/>
                    <pic:cNvPicPr>
                      <a:picLocks noChangeAspect="1" noChangeArrowheads="1"/>
                    </pic:cNvPicPr>
                  </pic:nvPicPr>
                  <pic:blipFill>
                    <a:blip r:embed="rId33"/>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1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 descr=""/>
                    <pic:cNvPicPr>
                      <a:picLocks noChangeAspect="1" noChangeArrowheads="1"/>
                    </pic:cNvPicPr>
                  </pic:nvPicPr>
                  <pic:blipFill>
                    <a:blip r:embed="rId34"/>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 descr=""/>
                    <pic:cNvPicPr>
                      <a:picLocks noChangeAspect="1" noChangeArrowheads="1"/>
                    </pic:cNvPicPr>
                  </pic:nvPicPr>
                  <pic:blipFill>
                    <a:blip r:embed="rId35"/>
                    <a:stretch>
                      <a:fillRect/>
                    </a:stretch>
                  </pic:blipFill>
                  <pic:spPr bwMode="auto">
                    <a:xfrm>
                      <a:off x="0" y="0"/>
                      <a:ext cx="6248400" cy="14605"/>
                    </a:xfrm>
                    <a:prstGeom prst="rect">
                      <a:avLst/>
                    </a:prstGeom>
                  </pic:spPr>
                </pic:pic>
              </a:graphicData>
            </a:graphic>
          </wp:inline>
        </w:drawing>
      </w:r>
    </w:p>
    <w:p>
      <w:pPr>
        <w:pStyle w:val="TextBody"/>
        <w:spacing w:lineRule="auto" w:line="240" w:before="93" w:after="283"/>
        <w:ind w:left="0" w:right="0" w:hanging="257"/>
        <w:rPr/>
      </w:pPr>
      <w:r>
        <w:rPr>
          <w:rFonts w:ascii="Arial;sans-serif" w:hAnsi="Arial;sans-serif"/>
          <w:b w:val="false"/>
          <w:color w:val="000000"/>
          <w:sz w:val="23"/>
        </w:rPr>
        <w:t>4.</w:t>
      </w:r>
      <w:r>
        <w:rPr>
          <w:rFonts w:ascii="Arial;sans-serif" w:hAnsi="Arial;sans-serif"/>
          <w:b w:val="false"/>
          <w:color w:val="000000"/>
          <w:sz w:val="23"/>
          <w:u w:val="single"/>
        </w:rPr>
        <w:t>GENERAL PROVISIONS</w:t>
      </w:r>
      <w:r>
        <w:rPr>
          <w:rFonts w:ascii="Arial;sans-serif" w:hAnsi="Arial;sans-serif"/>
          <w:b w:val="false"/>
          <w:color w:val="000000"/>
          <w:sz w:val="23"/>
        </w:rPr>
        <w:t>.</w:t>
      </w:r>
    </w:p>
    <w:p>
      <w:pPr>
        <w:pStyle w:val="TextBody"/>
        <w:spacing w:before="5" w:after="283"/>
        <w:rPr/>
      </w:pPr>
      <w:r>
        <w:rPr/>
      </w:r>
    </w:p>
    <w:p>
      <w:pPr>
        <w:pStyle w:val="TextBody"/>
        <w:spacing w:lineRule="auto" w:line="264" w:before="104" w:after="283"/>
        <w:ind w:left="0" w:right="0" w:hanging="358"/>
        <w:rPr>
          <w:rFonts w:ascii="Arial;sans-serif" w:hAnsi="Arial;sans-serif"/>
          <w:b w:val="false"/>
          <w:color w:val="000000"/>
          <w:sz w:val="23"/>
        </w:rPr>
      </w:pPr>
      <w:r>
        <w:rPr>
          <w:rFonts w:ascii="Arial;sans-serif" w:hAnsi="Arial;sans-serif"/>
          <w:b w:val="false"/>
          <w:color w:val="000000"/>
          <w:sz w:val="23"/>
        </w:rPr>
        <w:t>a.This Agreement will be binding upon my heirs, assigns, executors, administrators or other legal representatives and will be for the benefit of the Company and its successors and assigns.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6" w:before="81" w:after="283"/>
        <w:ind w:left="0" w:right="0" w:hanging="348"/>
        <w:jc w:val="both"/>
        <w:rPr>
          <w:rFonts w:ascii="Arial;sans-serif" w:hAnsi="Arial;sans-serif"/>
          <w:b w:val="false"/>
          <w:color w:val="000000"/>
          <w:sz w:val="23"/>
        </w:rPr>
      </w:pPr>
      <w:r>
        <w:rPr>
          <w:rFonts w:ascii="Arial;sans-serif" w:hAnsi="Arial;sans-serif"/>
          <w:b w:val="false"/>
          <w:color w:val="000000"/>
          <w:sz w:val="23"/>
        </w:rPr>
        <w:t>b.Except as otherwise may be modified herein, disputes under this Agreement shall be resolved pursuant to the Employee Grievance Process or Mutual Dispute Arbitration Policy/Mutual Agreement to Arbitrate.</w:t>
      </w:r>
    </w:p>
    <w:p>
      <w:pPr>
        <w:pStyle w:val="TextBody"/>
        <w:spacing w:before="5" w:after="283"/>
        <w:rPr/>
      </w:pPr>
      <w:r>
        <w:rPr/>
      </w:r>
    </w:p>
    <w:p>
      <w:pPr>
        <w:pStyle w:val="TextBody"/>
        <w:spacing w:lineRule="auto" w:line="264" w:before="0" w:after="0"/>
        <w:ind w:left="0" w:right="0" w:hanging="348"/>
        <w:jc w:val="both"/>
        <w:rPr>
          <w:rFonts w:ascii="Arial;sans-serif" w:hAnsi="Arial;sans-serif"/>
          <w:b w:val="false"/>
          <w:color w:val="000000"/>
          <w:sz w:val="23"/>
        </w:rPr>
      </w:pPr>
      <w:r>
        <w:rPr>
          <w:rFonts w:ascii="Arial;sans-serif" w:hAnsi="Arial;sans-serif"/>
          <w:b w:val="false"/>
          <w:color w:val="000000"/>
          <w:sz w:val="23"/>
        </w:rPr>
        <w:t>c.This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pStyle w:val="TextBody"/>
        <w:spacing w:before="1" w:after="283"/>
        <w:rPr/>
      </w:pPr>
      <w:r>
        <w:rPr/>
      </w:r>
    </w:p>
    <w:p>
      <w:pPr>
        <w:pStyle w:val="TextBody"/>
        <w:spacing w:lineRule="auto" w:line="264" w:before="0" w:after="0"/>
        <w:ind w:left="0" w:right="0" w:hanging="360"/>
        <w:jc w:val="both"/>
        <w:rPr>
          <w:rFonts w:ascii="Arial;sans-serif" w:hAnsi="Arial;sans-serif"/>
          <w:b w:val="false"/>
          <w:color w:val="000000"/>
          <w:sz w:val="23"/>
        </w:rPr>
      </w:pPr>
      <w:r>
        <w:rPr>
          <w:rFonts w:ascii="Arial;sans-serif" w:hAnsi="Arial;sans-serif"/>
          <w:b w:val="false"/>
          <w:color w:val="000000"/>
          <w:sz w:val="23"/>
        </w:rPr>
        <w:t>d.This agreement also does not prohibit employees from exercising any federal or state statutory “whistleblowing” rights to report certain conduct to government agencies or from complying with all requirements of the Gramm-Leach–Bliley Act.</w:t>
      </w:r>
    </w:p>
    <w:p>
      <w:pPr>
        <w:pStyle w:val="TextBody"/>
        <w:spacing w:before="6"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13"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1" w:after="283"/>
        <w:ind w:left="0" w:right="0" w:hanging="359"/>
        <w:jc w:val="both"/>
        <w:rPr>
          <w:rFonts w:ascii="Arial;sans-serif" w:hAnsi="Arial;sans-serif"/>
          <w:b w:val="false"/>
          <w:color w:val="000000"/>
          <w:sz w:val="23"/>
        </w:rPr>
      </w:pPr>
      <w:r>
        <w:rPr>
          <w:rFonts w:ascii="Arial;sans-serif" w:hAnsi="Arial;sans-serif"/>
          <w:b w:val="false"/>
          <w:color w:val="000000"/>
          <w:sz w:val="23"/>
        </w:rPr>
        <w:t>e.This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pStyle w:val="TextBody"/>
        <w:spacing w:before="2" w:after="283"/>
        <w:rPr/>
      </w:pPr>
      <w:r>
        <w:rPr/>
      </w:r>
    </w:p>
    <w:p>
      <w:pPr>
        <w:pStyle w:val="TextBody"/>
        <w:spacing w:lineRule="auto" w:line="264" w:before="0" w:after="0"/>
        <w:ind w:left="0" w:right="0" w:hanging="361"/>
        <w:jc w:val="both"/>
        <w:rPr>
          <w:rFonts w:ascii="Arial;sans-serif" w:hAnsi="Arial;sans-serif"/>
          <w:b w:val="false"/>
          <w:color w:val="000000"/>
          <w:sz w:val="23"/>
        </w:rPr>
      </w:pPr>
      <w:r>
        <w:rPr>
          <w:rFonts w:ascii="Arial;sans-serif" w:hAnsi="Arial;sans-serif"/>
          <w:b w:val="false"/>
          <w:color w:val="000000"/>
          <w:sz w:val="23"/>
        </w:rPr>
        <w:t>f.No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pStyle w:val="TextBody"/>
        <w:spacing w:before="8" w:after="283"/>
        <w:rPr/>
      </w:pPr>
      <w:r>
        <w:rPr/>
      </w:r>
    </w:p>
    <w:p>
      <w:pPr>
        <w:pStyle w:val="TextBody"/>
        <w:spacing w:lineRule="auto" w:line="264" w:before="0" w:after="0"/>
        <w:ind w:left="0" w:right="0" w:hanging="354"/>
        <w:jc w:val="both"/>
        <w:rPr>
          <w:rFonts w:ascii="Arial;sans-serif" w:hAnsi="Arial;sans-serif"/>
          <w:b w:val="false"/>
          <w:color w:val="000000"/>
          <w:sz w:val="23"/>
        </w:rPr>
      </w:pPr>
      <w:r>
        <w:rPr>
          <w:rFonts w:ascii="Arial;sans-serif" w:hAnsi="Arial;sans-serif"/>
          <w:b w:val="false"/>
          <w:color w:val="000000"/>
          <w:sz w:val="23"/>
        </w:rPr>
        <w:t>g.In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the employee works.</w:t>
      </w:r>
    </w:p>
    <w:p>
      <w:pPr>
        <w:pStyle w:val="TextBody"/>
        <w:spacing w:before="9" w:after="283"/>
        <w:rPr/>
      </w:pPr>
      <w:r>
        <w:rPr/>
      </w:r>
    </w:p>
    <w:p>
      <w:pPr>
        <w:pStyle w:val="TextBody"/>
        <w:spacing w:lineRule="auto" w:line="266" w:before="0" w:after="0"/>
        <w:ind w:left="0" w:right="0" w:hanging="352"/>
        <w:rPr>
          <w:rFonts w:ascii="Arial;sans-serif" w:hAnsi="Arial;sans-serif"/>
          <w:b w:val="false"/>
          <w:color w:val="000000"/>
          <w:sz w:val="23"/>
        </w:rPr>
      </w:pPr>
      <w:r>
        <w:rPr>
          <w:rFonts w:ascii="Arial;sans-serif" w:hAnsi="Arial;sans-serif"/>
          <w:b w:val="false"/>
          <w:color w:val="000000"/>
          <w:sz w:val="23"/>
        </w:rPr>
        <w:t>h.Wherever necessary to carry out the intent of the parties, the provisions of this Agreement shall survive the termination of my employment with the Company and shall continue in full force and effect.</w:t>
      </w:r>
    </w:p>
    <w:p>
      <w:pPr>
        <w:pStyle w:val="TextBody"/>
        <w:spacing w:before="6" w:after="283"/>
        <w:rPr/>
      </w:pPr>
      <w:r>
        <w:rPr/>
      </w:r>
    </w:p>
    <w:p>
      <w:pPr>
        <w:pStyle w:val="TextBody"/>
        <w:spacing w:lineRule="auto" w:line="264" w:before="0" w:after="0"/>
        <w:ind w:left="0" w:right="0" w:hanging="353"/>
        <w:jc w:val="both"/>
        <w:rPr>
          <w:rFonts w:ascii="Arial;sans-serif" w:hAnsi="Arial;sans-serif"/>
          <w:b w:val="false"/>
          <w:color w:val="000000"/>
          <w:sz w:val="23"/>
        </w:rPr>
      </w:pPr>
      <w:r>
        <w:rPr>
          <w:rFonts w:ascii="Arial;sans-serif" w:hAnsi="Arial;sans-serif"/>
          <w:b w:val="false"/>
          <w:color w:val="000000"/>
          <w:sz w:val="23"/>
        </w:rPr>
        <w:t>i.In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w:t>
      </w:r>
    </w:p>
    <w:p>
      <w:pPr>
        <w:pStyle w:val="TextBody"/>
        <w:spacing w:lineRule="auto" w:line="264" w:before="6" w:after="283"/>
        <w:ind w:left="0" w:right="0" w:firstLine="7"/>
        <w:rPr>
          <w:rFonts w:ascii="Arial;sans-serif" w:hAnsi="Arial;sans-serif"/>
          <w:b w:val="false"/>
          <w:color w:val="000000"/>
          <w:sz w:val="23"/>
        </w:rPr>
      </w:pPr>
      <w:r>
        <w:rPr>
          <w:rFonts w:ascii="Arial;sans-serif" w:hAnsi="Arial;sans-serif"/>
          <w:b w:val="false"/>
          <w:color w:val="000000"/>
          <w:sz w:val="23"/>
        </w:rPr>
        <w:t>illegal or unenforceable provision had never been contained herein and it shall not affect the other provisions of this Agreement, which shall remain in full force and effect.</w:t>
      </w:r>
    </w:p>
    <w:p>
      <w:pPr>
        <w:pStyle w:val="TextBody"/>
        <w:spacing w:before="5" w:after="283"/>
        <w:rPr/>
      </w:pPr>
      <w:r>
        <w:rPr/>
      </w:r>
    </w:p>
    <w:p>
      <w:pPr>
        <w:pStyle w:val="TextBody"/>
        <w:spacing w:lineRule="auto" w:line="264" w:before="0" w:after="0"/>
        <w:ind w:left="0" w:right="0" w:hanging="367"/>
        <w:jc w:val="both"/>
        <w:rPr>
          <w:rFonts w:ascii="Arial;sans-serif" w:hAnsi="Arial;sans-serif"/>
          <w:b w:val="false"/>
          <w:color w:val="000000"/>
          <w:sz w:val="23"/>
        </w:rPr>
      </w:pPr>
      <w:r>
        <w:rPr>
          <w:rFonts w:ascii="Arial;sans-serif" w:hAnsi="Arial;sans-serif"/>
          <w:b w:val="false"/>
          <w:color w:val="000000"/>
          <w:sz w:val="23"/>
        </w:rPr>
        <w:t>j.I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pStyle w:val="TextBody"/>
        <w:spacing w:before="9" w:after="283"/>
        <w:rPr/>
      </w:pPr>
      <w:r>
        <w:rPr/>
      </w:r>
    </w:p>
    <w:p>
      <w:pPr>
        <w:pStyle w:val="TextBody"/>
        <w:spacing w:lineRule="auto" w:line="266" w:before="0" w:after="0"/>
        <w:ind w:left="0" w:right="0" w:hanging="347"/>
        <w:rPr>
          <w:rFonts w:ascii="Arial;sans-serif" w:hAnsi="Arial;sans-serif"/>
          <w:b w:val="false"/>
          <w:color w:val="000000"/>
          <w:sz w:val="23"/>
        </w:rPr>
      </w:pPr>
      <w:r>
        <w:rPr>
          <w:rFonts w:ascii="Arial;sans-serif" w:hAnsi="Arial;sans-serif"/>
          <w:b w:val="false"/>
          <w:color w:val="000000"/>
          <w:sz w:val="23"/>
        </w:rPr>
        <w:t>k.This Agreement, including the attached Exhibits as referenced above, contains the entire understanding between myself and the Company with respect to the subject matter 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14"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0" w:after="0"/>
        <w:ind w:left="0" w:right="0" w:hanging="4"/>
        <w:jc w:val="both"/>
        <w:rPr>
          <w:rFonts w:ascii="Arial;sans-serif" w:hAnsi="Arial;sans-serif"/>
          <w:b w:val="false"/>
          <w:color w:val="000000"/>
          <w:sz w:val="23"/>
        </w:rPr>
      </w:pPr>
      <w:r>
        <w:rPr>
          <w:rFonts w:ascii="Arial;sans-serif" w:hAnsi="Arial;sans-serif"/>
          <w:b w:val="false"/>
          <w:color w:val="000000"/>
          <w:sz w:val="23"/>
        </w:rPr>
        <w:t>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pStyle w:val="TextBody"/>
        <w:spacing w:before="3" w:after="283"/>
        <w:rPr/>
      </w:pPr>
      <w:r>
        <w:rPr/>
      </w:r>
    </w:p>
    <w:p>
      <w:pPr>
        <w:pStyle w:val="TextBody"/>
        <w:spacing w:before="0" w:after="0"/>
        <w:rPr/>
      </w:pPr>
      <w:r>
        <w:rPr/>
      </w:r>
    </w:p>
    <w:p>
      <w:pPr>
        <w:pStyle w:val="TextBody"/>
        <w:spacing w:lineRule="auto" w:line="264" w:before="0" w:after="0"/>
        <w:ind w:left="0" w:right="0" w:firstLine="1129"/>
        <w:rPr>
          <w:rFonts w:ascii="Arial;sans-serif" w:hAnsi="Arial;sans-serif"/>
          <w:b w:val="false"/>
          <w:color w:val="000000"/>
          <w:sz w:val="23"/>
        </w:rPr>
      </w:pPr>
      <w:r>
        <w:rPr>
          <w:rFonts w:ascii="Arial;sans-serif" w:hAnsi="Arial;sans-serif"/>
          <w:b w:val="false"/>
          <w:color w:val="000000"/>
          <w:sz w:val="23"/>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 (e) the terms of this Agreement are fair, reasonable and are being agreed to voluntarily in exchange for my employment or continued employment by the Company</w:t>
      </w:r>
    </w:p>
    <w:p>
      <w:pPr>
        <w:pStyle w:val="TextBody"/>
        <w:spacing w:before="0" w:after="0"/>
        <w:rPr/>
      </w:pPr>
      <w:r>
        <w:rPr/>
      </w:r>
    </w:p>
    <w:p>
      <w:pPr>
        <w:pStyle w:val="TextBody"/>
        <w:spacing w:lineRule="auto" w:line="240" w:before="0" w:after="0"/>
        <w:rPr/>
      </w:pPr>
      <w:r>
        <w:rPr>
          <w:rFonts w:ascii="Arial;sans-serif" w:hAnsi="Arial;sans-serif"/>
          <w:b w:val="false"/>
          <w:color w:val="000000"/>
          <w:sz w:val="23"/>
        </w:rPr>
        <w:t xml:space="preserve">This Agreement is executed by me at </w:t>
      </w:r>
      <w:r>
        <w:rPr>
          <w:rFonts w:ascii="Arial;sans-serif" w:hAnsi="Arial;sans-serif"/>
          <w:b w:val="false"/>
          <w:color w:val="000000"/>
          <w:sz w:val="23"/>
          <w:highlight w:val="black"/>
        </w:rPr>
        <w:t>__________________</w:t>
      </w:r>
      <w:r>
        <w:rPr>
          <w:rFonts w:ascii="Arial;sans-serif" w:hAnsi="Arial;sans-serif"/>
          <w:b w:val="false"/>
          <w:color w:val="000000"/>
          <w:sz w:val="23"/>
        </w:rPr>
        <w:t>, in the State of Texas, as of this 21st day of July, 2020.</w:t>
      </w:r>
    </w:p>
    <w:p>
      <w:pPr>
        <w:pStyle w:val="TextBody"/>
        <w:spacing w:before="0" w:after="0"/>
        <w:rPr/>
      </w:pPr>
      <w:r>
        <w:rPr/>
      </w:r>
    </w:p>
    <w:p>
      <w:pPr>
        <w:pStyle w:val="TextBody"/>
        <w:spacing w:before="8" w:after="283"/>
        <w:rPr/>
      </w:pPr>
      <w:r>
        <w:rPr/>
      </w:r>
    </w:p>
    <w:p>
      <w:pPr>
        <w:pStyle w:val="TextBody"/>
        <w:spacing w:lineRule="auto" w:line="240" w:before="93" w:after="283"/>
        <w:rPr>
          <w:rFonts w:ascii="Arial;sans-serif" w:hAnsi="Arial;sans-serif"/>
          <w:b/>
          <w:color w:val="000000"/>
          <w:sz w:val="23"/>
        </w:rPr>
      </w:pPr>
      <w:r>
        <w:rPr>
          <w:rFonts w:ascii="Arial;sans-serif" w:hAnsi="Arial;sans-serif"/>
          <w:b/>
          <w:color w:val="000000"/>
          <w:sz w:val="23"/>
        </w:rPr>
        <w:t>EMPLOYEE:                             WITNESS:</w:t>
      </w:r>
    </w:p>
    <w:p>
      <w:pPr>
        <w:pStyle w:val="TextBody"/>
        <w:spacing w:before="0" w:after="0"/>
        <w:rPr/>
      </w:pPr>
      <w:r>
        <w:rPr/>
      </w:r>
    </w:p>
    <w:p>
      <w:pPr>
        <w:pStyle w:val="TextBody"/>
        <w:spacing w:lineRule="auto" w:line="240" w:before="0" w:after="0"/>
        <w:rPr/>
      </w:pPr>
      <w:r>
        <w:rPr>
          <w:rFonts w:ascii="Arial;sans-serif" w:hAnsi="Arial;sans-serif"/>
          <w:b w:val="false"/>
          <w:color w:val="000000"/>
          <w:sz w:val="22"/>
          <w:u w:val="single"/>
        </w:rPr>
        <w:t>Jamie Reynoso</w:t>
      </w:r>
      <w:r>
        <w:rPr>
          <w:color w:val="000000"/>
        </w:rPr>
        <w:t xml:space="preserve">                         </w:t>
      </w:r>
      <w:r>
        <w:rPr>
          <w:rFonts w:ascii="Arial;sans-serif" w:hAnsi="Arial;sans-serif"/>
          <w:b w:val="false"/>
          <w:color w:val="000000"/>
          <w:sz w:val="22"/>
          <w:u w:val="single"/>
        </w:rPr>
        <w:t>Megan Tilton</w:t>
      </w:r>
    </w:p>
    <w:p>
      <w:pPr>
        <w:pStyle w:val="TextBody"/>
        <w:spacing w:lineRule="auto" w:line="240" w:before="0" w:after="0"/>
        <w:rPr>
          <w:rFonts w:ascii="Arial;sans-serif" w:hAnsi="Arial;sans-serif"/>
          <w:b/>
          <w:color w:val="000000"/>
          <w:sz w:val="22"/>
        </w:rPr>
      </w:pPr>
      <w:r>
        <w:rPr>
          <w:rFonts w:ascii="Arial;sans-serif" w:hAnsi="Arial;sans-serif"/>
          <w:b/>
          <w:color w:val="000000"/>
          <w:sz w:val="22"/>
        </w:rPr>
        <w:t>Print Name                             Print Name</w:t>
      </w:r>
    </w:p>
    <w:p>
      <w:pPr>
        <w:pStyle w:val="TextBody"/>
        <w:spacing w:before="0" w:after="0"/>
        <w:rPr/>
      </w:pPr>
      <w:r>
        <w:rPr/>
      </w:r>
    </w:p>
    <w:p>
      <w:pPr>
        <w:pStyle w:val="TextBody"/>
        <w:spacing w:before="0" w:after="0"/>
        <w:rPr/>
      </w:pPr>
      <w:r>
        <w:rPr/>
      </w:r>
    </w:p>
    <w:p>
      <w:pPr>
        <w:pStyle w:val="TextBody"/>
        <w:spacing w:lineRule="auto" w:line="240" w:before="0" w:after="0"/>
        <w:rPr/>
      </w:pPr>
      <w:r>
        <w:rPr>
          <w:rFonts w:ascii="Arial;sans-serif" w:hAnsi="Arial;sans-serif"/>
          <w:b w:val="false"/>
          <w:color w:val="000000"/>
          <w:sz w:val="22"/>
          <w:u w:val="single"/>
        </w:rPr>
        <w:t>/s/Jamie Reynoso</w:t>
      </w:r>
      <w:r>
        <w:rPr>
          <w:color w:val="000000"/>
        </w:rPr>
        <w:t xml:space="preserve">                         </w:t>
      </w:r>
      <w:r>
        <w:rPr>
          <w:rFonts w:ascii="Arial;sans-serif" w:hAnsi="Arial;sans-serif"/>
          <w:b w:val="false"/>
          <w:color w:val="000000"/>
          <w:sz w:val="22"/>
          <w:u w:val="single"/>
        </w:rPr>
        <w:t>/s/Megan Tilton</w:t>
      </w:r>
    </w:p>
    <w:p>
      <w:pPr>
        <w:pStyle w:val="TextBody"/>
        <w:spacing w:lineRule="auto" w:line="240" w:before="0" w:after="0"/>
        <w:rPr>
          <w:rFonts w:ascii="Arial;sans-serif" w:hAnsi="Arial;sans-serif"/>
          <w:b/>
          <w:color w:val="000000"/>
          <w:sz w:val="22"/>
        </w:rPr>
      </w:pPr>
      <w:r>
        <w:rPr>
          <w:rFonts w:ascii="Arial;sans-serif" w:hAnsi="Arial;sans-serif"/>
          <w:b/>
          <w:color w:val="000000"/>
          <w:sz w:val="22"/>
        </w:rPr>
        <w:t>Signature                             Signature</w:t>
      </w:r>
    </w:p>
    <w:p>
      <w:pPr>
        <w:pStyle w:val="TextBody"/>
        <w:spacing w:before="5" w:after="283"/>
        <w:rPr/>
      </w:pPr>
      <w:r>
        <w:rPr/>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1"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15"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2" w:after="283"/>
        <w:jc w:val="center"/>
        <w:rPr>
          <w:rFonts w:ascii="Arial;sans-serif" w:hAnsi="Arial;sans-serif"/>
          <w:b/>
          <w:color w:val="000000"/>
          <w:sz w:val="23"/>
          <w:u w:val="single"/>
        </w:rPr>
      </w:pPr>
      <w:r>
        <w:rPr>
          <w:rFonts w:ascii="Arial;sans-serif" w:hAnsi="Arial;sans-serif"/>
          <w:b/>
          <w:color w:val="000000"/>
          <w:sz w:val="23"/>
          <w:u w:val="single"/>
        </w:rPr>
        <w:t>EXHIBIT A TERMINATION CERTIFICATE</w:t>
      </w:r>
    </w:p>
    <w:p>
      <w:pPr>
        <w:pStyle w:val="TextBody"/>
        <w:spacing w:before="9" w:after="283"/>
        <w:rPr/>
      </w:pPr>
      <w:r>
        <w:rPr/>
      </w:r>
    </w:p>
    <w:p>
      <w:pPr>
        <w:pStyle w:val="TextBody"/>
        <w:spacing w:lineRule="auto" w:line="264" w:before="104" w:after="283"/>
        <w:rPr>
          <w:rFonts w:ascii="Arial;sans-serif" w:hAnsi="Arial;sans-serif"/>
          <w:b w:val="false"/>
          <w:color w:val="000000"/>
          <w:sz w:val="23"/>
        </w:rPr>
      </w:pPr>
      <w:r>
        <w:rPr>
          <w:rFonts w:ascii="Arial;sans-serif" w:hAnsi="Arial;sans-serif"/>
          <w:b w:val="false"/>
          <w:color w:val="000000"/>
          <w:sz w:val="23"/>
        </w:rPr>
        <w:t>This is to confirm that I have reviewed the Employee Nondisclosure, Confidentiality, and Nonsolicitation Agreement (“Agreement”) signed by me on _________, 20__ and that I understand the terms of that Agreement and the continuing obligations I have under that Agreement. During the course of my employment with the Company, I have had access to information regarded by the Company as Confidential information as defined by the Agreement.</w:t>
      </w:r>
    </w:p>
    <w:p>
      <w:pPr>
        <w:pStyle w:val="TextBody"/>
        <w:spacing w:before="1" w:after="283"/>
        <w:rPr/>
      </w:pPr>
      <w:r>
        <w:rPr/>
      </w:r>
    </w:p>
    <w:p>
      <w:pPr>
        <w:pStyle w:val="TextBody"/>
        <w:spacing w:lineRule="auto" w:line="264" w:before="0" w:after="0"/>
        <w:jc w:val="both"/>
        <w:rPr>
          <w:rFonts w:ascii="Arial;sans-serif" w:hAnsi="Arial;sans-serif"/>
          <w:b w:val="false"/>
          <w:color w:val="000000"/>
          <w:sz w:val="23"/>
        </w:rPr>
      </w:pPr>
      <w:r>
        <w:rPr>
          <w:rFonts w:ascii="Arial;sans-serif" w:hAnsi="Arial;sans-serif"/>
          <w:b w:val="false"/>
          <w:color w:val="000000"/>
          <w:sz w:val="23"/>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pStyle w:val="TextBody"/>
        <w:spacing w:before="8" w:after="283"/>
        <w:rPr/>
      </w:pPr>
      <w:r>
        <w:rPr/>
      </w:r>
    </w:p>
    <w:p>
      <w:pPr>
        <w:pStyle w:val="TextBody"/>
        <w:spacing w:lineRule="auto" w:line="266" w:before="0" w:after="0"/>
        <w:jc w:val="both"/>
        <w:rPr/>
      </w:pPr>
      <w:r>
        <w:rPr>
          <w:rFonts w:ascii="Arial;sans-serif" w:hAnsi="Arial;sans-serif"/>
          <w:b w:val="false"/>
          <w:color w:val="000000"/>
          <w:sz w:val="23"/>
        </w:rPr>
        <w:t xml:space="preserve">I recognize that the unauthorized taking of any of the Company's tangible trade secrets is a crime under Section 499(c) of the California Penal Code, and that any unauthorized taking of the Company's trade secrets also may result in civil liability under California Civil Code Section 3426, </w:t>
      </w:r>
      <w:r>
        <w:rPr>
          <w:rFonts w:ascii="Arial;sans-serif" w:hAnsi="Arial;sans-serif"/>
          <w:b w:val="false"/>
          <w:color w:val="000000"/>
          <w:sz w:val="23"/>
          <w:u w:val="single"/>
        </w:rPr>
        <w:t>et seq</w:t>
      </w:r>
      <w:r>
        <w:rPr>
          <w:rFonts w:ascii="Arial;sans-serif" w:hAnsi="Arial;sans-serif"/>
          <w:b w:val="false"/>
          <w:color w:val="000000"/>
          <w:sz w:val="23"/>
        </w:rPr>
        <w:t>.</w:t>
      </w:r>
    </w:p>
    <w:p>
      <w:pPr>
        <w:pStyle w:val="TextBody"/>
        <w:spacing w:before="2" w:after="283"/>
        <w:rPr/>
      </w:pPr>
      <w:r>
        <w:rPr/>
      </w:r>
    </w:p>
    <w:p>
      <w:pPr>
        <w:pStyle w:val="TextBody"/>
        <w:spacing w:lineRule="auto" w:line="264" w:before="104" w:after="283"/>
        <w:jc w:val="both"/>
        <w:rPr>
          <w:rFonts w:ascii="Arial;sans-serif" w:hAnsi="Arial;sans-serif"/>
          <w:b w:val="false"/>
          <w:color w:val="000000"/>
          <w:sz w:val="23"/>
        </w:rPr>
      </w:pPr>
      <w:r>
        <w:rPr>
          <w:rFonts w:ascii="Arial;sans-serif" w:hAnsi="Arial;sans-serif"/>
          <w:b w:val="false"/>
          <w:color w:val="000000"/>
          <w:sz w:val="23"/>
        </w:rPr>
        <w:t>I further certify that I have complied with and will continue to comply with all of the terms of the Agreement signed by me with the Company, including the reporting of any inventions conceived or reduced to practice by me and covered by the Agreement.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pStyle w:val="TextBody"/>
        <w:spacing w:before="11" w:after="283"/>
        <w:rPr/>
      </w:pPr>
      <w:r>
        <w:rPr/>
      </w:r>
    </w:p>
    <w:p>
      <w:pPr>
        <w:pStyle w:val="TextBody"/>
        <w:spacing w:lineRule="auto" w:line="264" w:before="104" w:after="283"/>
        <w:jc w:val="both"/>
        <w:rPr>
          <w:rFonts w:ascii="Arial;sans-serif" w:hAnsi="Arial;sans-serif"/>
          <w:b w:val="false"/>
          <w:color w:val="000000"/>
          <w:sz w:val="23"/>
        </w:rPr>
      </w:pPr>
      <w:r>
        <w:rPr>
          <w:rFonts w:ascii="Arial;sans-serif" w:hAnsi="Arial;sans-serif"/>
          <w:b w:val="false"/>
          <w:color w:val="000000"/>
          <w:sz w:val="23"/>
        </w:rPr>
        <w:t>Upon termination of my employment with the Company, I will be employed by (name of new employer) in the (division/department) and will be working in connection with the projects (generally describe the projects):</w:t>
      </w:r>
    </w:p>
    <w:p>
      <w:pPr>
        <w:pStyle w:val="TextBody"/>
        <w:spacing w:before="0" w:after="0"/>
        <w:rPr/>
      </w:pPr>
      <w:r>
        <w:rPr/>
      </w:r>
    </w:p>
    <w:p>
      <w:pPr>
        <w:pStyle w:val="TextBody"/>
        <w:spacing w:before="1" w:after="283"/>
        <w:rPr/>
      </w:pPr>
      <w:r>
        <w:rPr/>
      </w:r>
    </w:p>
    <w:p>
      <w:pPr>
        <w:pStyle w:val="TextBody"/>
        <w:spacing w:lineRule="auto" w:line="264" w:before="1" w:after="283"/>
        <w:jc w:val="both"/>
        <w:rPr>
          <w:rFonts w:ascii="Arial;sans-serif" w:hAnsi="Arial;sans-serif"/>
          <w:b w:val="false"/>
          <w:color w:val="000000"/>
          <w:sz w:val="23"/>
        </w:rPr>
      </w:pPr>
      <w:r>
        <w:rPr>
          <w:rFonts w:ascii="Arial;sans-serif" w:hAnsi="Arial;sans-serif"/>
          <w:b w:val="false"/>
          <w:color w:val="000000"/>
          <w:sz w:val="23"/>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pStyle w:val="TextBody"/>
        <w:spacing w:before="0" w:after="0"/>
        <w:rPr/>
      </w:pPr>
      <w:r>
        <w:rPr/>
      </w:r>
    </w:p>
    <w:p>
      <w:pPr>
        <w:pStyle w:val="TextBody"/>
        <w:spacing w:lineRule="auto" w:line="264" w:before="0" w:after="0"/>
        <w:rPr>
          <w:rFonts w:ascii="Arial;sans-serif" w:hAnsi="Arial;sans-serif"/>
          <w:b w:val="false"/>
          <w:color w:val="000000"/>
          <w:sz w:val="23"/>
        </w:rPr>
      </w:pPr>
      <w:r>
        <w:rPr>
          <w:rFonts w:ascii="Arial;sans-serif" w:hAnsi="Arial;sans-serif"/>
          <w:b w:val="false"/>
          <w:color w:val="000000"/>
          <w:sz w:val="23"/>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16" name="Frame2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2" w:after="283"/>
        <w:rPr>
          <w:rFonts w:ascii="Arial;sans-serif" w:hAnsi="Arial;sans-serif"/>
          <w:b w:val="false"/>
          <w:color w:val="000000"/>
          <w:sz w:val="23"/>
        </w:rPr>
      </w:pPr>
      <w:r>
        <w:rPr>
          <w:rFonts w:ascii="Arial;sans-serif" w:hAnsi="Arial;sans-serif"/>
          <w:b w:val="false"/>
          <w:color w:val="000000"/>
          <w:sz w:val="23"/>
        </w:rPr>
        <w:t>This Agreement is executed by me at _____________________, in the State of ____________, as of this ___ day of ____________, 20__.</w:t>
      </w:r>
    </w:p>
    <w:p>
      <w:pPr>
        <w:pStyle w:val="TextBody"/>
        <w:spacing w:before="0" w:after="0"/>
        <w:rPr/>
      </w:pPr>
      <w:r>
        <w:rPr/>
      </w:r>
    </w:p>
    <w:p>
      <w:pPr>
        <w:pStyle w:val="TextBody"/>
        <w:spacing w:before="10" w:after="283"/>
        <w:rPr/>
      </w:pPr>
      <w:r>
        <w:rPr/>
      </w:r>
    </w:p>
    <w:p>
      <w:pPr>
        <w:pStyle w:val="TextBody"/>
        <w:spacing w:lineRule="auto" w:line="266" w:before="102" w:after="283"/>
        <w:ind w:left="0" w:right="0" w:hanging="17"/>
        <w:rPr>
          <w:rFonts w:ascii="Arial;sans-serif" w:hAnsi="Arial;sans-serif"/>
          <w:b/>
          <w:color w:val="000000"/>
          <w:sz w:val="23"/>
        </w:rPr>
      </w:pPr>
      <w:r>
        <w:rPr>
          <w:rFonts w:ascii="Arial;sans-serif" w:hAnsi="Arial;sans-serif"/>
          <w:b/>
          <w:color w:val="000000"/>
          <w:sz w:val="23"/>
        </w:rPr>
        <w:t>EMPLOYEE:                             </w:t>
      </w:r>
    </w:p>
    <w:p>
      <w:pPr>
        <w:pStyle w:val="TextBody"/>
        <w:spacing w:lineRule="auto" w:line="266" w:before="102" w:after="283"/>
        <w:ind w:left="0" w:right="0" w:hanging="17"/>
        <w:rPr/>
      </w:pPr>
      <w:r>
        <w:rPr>
          <w:color w:val="000000"/>
          <w:u w:val="single"/>
        </w:rPr>
        <w:t>    </w:t>
      </w:r>
      <w:r>
        <w:rPr>
          <w:color w:val="000000"/>
        </w:rPr>
        <w:t xml:space="preserve"> </w:t>
      </w:r>
      <w:r>
        <w:rPr>
          <w:rFonts w:ascii="Arial;sans-serif" w:hAnsi="Arial;sans-serif"/>
          <w:b/>
          <w:color w:val="000000"/>
          <w:sz w:val="23"/>
        </w:rPr>
        <w:t>Print Name</w:t>
      </w:r>
    </w:p>
    <w:p>
      <w:pPr>
        <w:pStyle w:val="TextBody"/>
        <w:spacing w:before="0" w:after="0"/>
        <w:rPr/>
      </w:pPr>
      <w:r>
        <w:rPr/>
      </w:r>
    </w:p>
    <w:p>
      <w:pPr>
        <w:pStyle w:val="TextBody"/>
        <w:spacing w:before="7" w:after="283"/>
        <w:rPr/>
      </w:pPr>
      <w:r>
        <w:rPr/>
      </w:r>
    </w:p>
    <w:p>
      <w:pPr>
        <w:pStyle w:val="TextBody"/>
        <w:spacing w:lineRule="auto" w:line="264" w:before="104" w:after="283"/>
        <w:ind w:left="0" w:right="0" w:hanging="9"/>
        <w:rPr/>
      </w:pPr>
      <w:r>
        <w:rPr>
          <w:color w:val="000000"/>
          <w:u w:val="single"/>
        </w:rPr>
        <w:t>    </w:t>
      </w:r>
      <w:r>
        <w:rPr>
          <w:color w:val="000000"/>
        </w:rPr>
        <w:t xml:space="preserve"> </w:t>
      </w:r>
      <w:r>
        <w:rPr>
          <w:rFonts w:ascii="Arial;sans-serif" w:hAnsi="Arial;sans-serif"/>
          <w:b/>
          <w:color w:val="000000"/>
          <w:sz w:val="23"/>
        </w:rPr>
        <w:t>Signature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94995"/>
                <wp:effectExtent l="0" t="0" r="0" b="0"/>
                <wp:wrapNone/>
                <wp:docPr id="217" name="Frame201"/>
                <a:graphic xmlns:a="http://schemas.openxmlformats.org/drawingml/2006/main">
                  <a:graphicData uri="http://schemas.microsoft.com/office/word/2010/wordprocessingShape">
                    <wps:wsp>
                      <wps:cNvSpPr txBox="1"/>
                      <wps:spPr>
                        <a:xfrm>
                          <a:off x="0" y="0"/>
                          <a:ext cx="6480175" cy="59499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0"/>
                              <w:rPr/>
                            </w:pPr>
                            <w:r>
                              <w:rPr/>
                            </w:r>
                          </w:p>
                        </w:tc>
                      </w:tr>
                    </w:tbl>
                    <w:p>
                      <w:pPr>
                        <w:pStyle w:val="TextBody"/>
                        <w:spacing w:before="0" w:after="283"/>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lineRule="auto" w:line="240" w:before="8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Confidential</w:t>
      </w:r>
    </w:p>
    <w:p>
      <w:pPr>
        <w:pStyle w:val="TextBody"/>
        <w:spacing w:before="0" w:after="0"/>
        <w:rPr/>
      </w:pPr>
      <w:r>
        <w:rPr/>
      </w:r>
    </w:p>
    <w:p>
      <w:pPr>
        <w:pStyle w:val="TextBody"/>
        <w:spacing w:lineRule="auto" w:line="240" w:before="233" w:after="283"/>
        <w:jc w:val="center"/>
        <w:rPr>
          <w:rFonts w:ascii="Calibri;sans-serif" w:hAnsi="Calibri;sans-serif"/>
          <w:b/>
          <w:color w:val="000000"/>
          <w:sz w:val="22"/>
        </w:rPr>
      </w:pPr>
      <w:r>
        <w:rPr>
          <w:rFonts w:ascii="Calibri;sans-serif" w:hAnsi="Calibri;sans-serif"/>
          <w:b/>
          <w:color w:val="000000"/>
          <w:sz w:val="22"/>
        </w:rPr>
        <w:t>CLOVER HEALTH INVESTMENTS, CORP.</w:t>
      </w:r>
    </w:p>
    <w:p>
      <w:pPr>
        <w:pStyle w:val="TextBody"/>
        <w:spacing w:lineRule="auto" w:line="240" w:before="128" w:after="283"/>
        <w:jc w:val="center"/>
        <w:rPr>
          <w:rFonts w:ascii="Calibri;sans-serif" w:hAnsi="Calibri;sans-serif"/>
          <w:b w:val="false"/>
          <w:color w:val="000000"/>
          <w:sz w:val="22"/>
        </w:rPr>
      </w:pPr>
      <w:r>
        <w:rPr>
          <w:rFonts w:ascii="Calibri;sans-serif" w:hAnsi="Calibri;sans-serif"/>
          <w:b w:val="false"/>
          <w:color w:val="000000"/>
          <w:sz w:val="22"/>
        </w:rPr>
        <w:t>725 Cool Springs Blvd, Suite 300</w:t>
      </w:r>
    </w:p>
    <w:p>
      <w:pPr>
        <w:pStyle w:val="TextBody"/>
        <w:spacing w:lineRule="auto" w:line="240" w:before="10" w:after="283"/>
        <w:jc w:val="center"/>
        <w:rPr>
          <w:rFonts w:ascii="Calibri;sans-serif" w:hAnsi="Calibri;sans-serif"/>
          <w:b w:val="false"/>
          <w:color w:val="000000"/>
          <w:sz w:val="22"/>
        </w:rPr>
      </w:pPr>
      <w:r>
        <w:rPr>
          <w:rFonts w:ascii="Calibri;sans-serif" w:hAnsi="Calibri;sans-serif"/>
          <w:b w:val="false"/>
          <w:color w:val="000000"/>
          <w:sz w:val="22"/>
        </w:rPr>
        <w:t>Franklin, Tennessee 37067</w:t>
      </w:r>
    </w:p>
    <w:p>
      <w:pPr>
        <w:pStyle w:val="TextBody"/>
        <w:spacing w:lineRule="auto" w:line="240" w:before="247" w:after="283"/>
        <w:jc w:val="center"/>
        <w:rPr>
          <w:rFonts w:ascii="Calibri;sans-serif" w:hAnsi="Calibri;sans-serif"/>
          <w:b w:val="false"/>
          <w:color w:val="000000"/>
          <w:sz w:val="22"/>
        </w:rPr>
      </w:pPr>
      <w:r>
        <w:rPr>
          <w:rFonts w:ascii="Calibri;sans-serif" w:hAnsi="Calibri;sans-serif"/>
          <w:b w:val="false"/>
          <w:color w:val="000000"/>
          <w:sz w:val="22"/>
        </w:rPr>
        <w:t>June 15, 2021</w:t>
      </w:r>
    </w:p>
    <w:p>
      <w:pPr>
        <w:pStyle w:val="TextBody"/>
        <w:spacing w:before="0" w:after="0"/>
        <w:rPr/>
      </w:pPr>
      <w:r>
        <w:rPr/>
      </w:r>
    </w:p>
    <w:p>
      <w:pPr>
        <w:pStyle w:val="TextBody"/>
        <w:spacing w:before="9" w:after="283"/>
        <w:rPr/>
      </w:pPr>
      <w:r>
        <w:rPr/>
      </w:r>
    </w:p>
    <w:p>
      <w:pPr>
        <w:pStyle w:val="TextBody"/>
        <w:spacing w:lineRule="auto" w:line="240" w:before="0" w:after="0"/>
        <w:rPr/>
      </w:pPr>
      <w:r>
        <w:rPr>
          <w:rFonts w:ascii="Calibri;sans-serif" w:hAnsi="Calibri;sans-serif"/>
          <w:b/>
          <w:color w:val="000000"/>
          <w:sz w:val="22"/>
        </w:rPr>
        <w:t>Re:    </w:t>
      </w:r>
      <w:r>
        <w:rPr>
          <w:rFonts w:ascii="Calibri;sans-serif" w:hAnsi="Calibri;sans-serif"/>
          <w:b/>
          <w:color w:val="000000"/>
          <w:sz w:val="22"/>
          <w:u w:val="single"/>
        </w:rPr>
        <w:t>EMPLOYMENT AGREEMENT</w:t>
      </w:r>
    </w:p>
    <w:p>
      <w:pPr>
        <w:pStyle w:val="TextBody"/>
        <w:spacing w:lineRule="auto" w:line="240" w:before="250" w:after="283"/>
        <w:rPr>
          <w:rFonts w:ascii="Calibri;sans-serif" w:hAnsi="Calibri;sans-serif"/>
          <w:b w:val="false"/>
          <w:color w:val="000000"/>
          <w:sz w:val="22"/>
        </w:rPr>
      </w:pPr>
      <w:r>
        <w:rPr>
          <w:rFonts w:ascii="Calibri;sans-serif" w:hAnsi="Calibri;sans-serif"/>
          <w:b w:val="false"/>
          <w:color w:val="000000"/>
          <w:sz w:val="22"/>
        </w:rPr>
        <w:t>Dear Prabhdeep:</w:t>
      </w:r>
    </w:p>
    <w:p>
      <w:pPr>
        <w:pStyle w:val="TextBody"/>
        <w:spacing w:lineRule="auto" w:line="285" w:before="247" w:after="283"/>
        <w:ind w:left="0" w:right="0" w:firstLine="719"/>
        <w:jc w:val="both"/>
        <w:rPr/>
      </w:pPr>
      <w:r>
        <w:rPr>
          <w:rFonts w:ascii="Calibri;sans-serif" w:hAnsi="Calibri;sans-serif"/>
          <w:b w:val="false"/>
          <w:color w:val="000000"/>
          <w:sz w:val="22"/>
        </w:rPr>
        <w:t>This Employment Agreement (the “</w:t>
      </w:r>
      <w:r>
        <w:rPr>
          <w:rFonts w:ascii="Calibri;sans-serif" w:hAnsi="Calibri;sans-serif"/>
          <w:b/>
          <w:i/>
          <w:color w:val="000000"/>
          <w:sz w:val="22"/>
        </w:rPr>
        <w:t>Agreement</w:t>
      </w:r>
      <w:r>
        <w:rPr>
          <w:color w:val="000000"/>
        </w:rPr>
        <w:t>”</w:t>
      </w:r>
      <w:r>
        <w:rPr>
          <w:rFonts w:ascii="Calibri;sans-serif" w:hAnsi="Calibri;sans-serif"/>
          <w:b w:val="false"/>
          <w:color w:val="000000"/>
          <w:sz w:val="22"/>
        </w:rPr>
        <w:t>) between you (referred to hereinafter as the “</w:t>
      </w:r>
      <w:r>
        <w:rPr>
          <w:rFonts w:ascii="Calibri;sans-serif" w:hAnsi="Calibri;sans-serif"/>
          <w:b/>
          <w:i/>
          <w:color w:val="000000"/>
          <w:sz w:val="22"/>
        </w:rPr>
        <w:t>Executive</w:t>
      </w:r>
      <w:r>
        <w:rPr>
          <w:color w:val="000000"/>
        </w:rPr>
        <w:t>”</w:t>
      </w:r>
      <w:r>
        <w:rPr>
          <w:rFonts w:ascii="Calibri;sans-serif" w:hAnsi="Calibri;sans-serif"/>
          <w:b w:val="false"/>
          <w:color w:val="000000"/>
          <w:sz w:val="22"/>
        </w:rPr>
        <w:t>) and Clover Health Investments, Corp., a Delaware corporation (the “</w:t>
      </w:r>
      <w:r>
        <w:rPr>
          <w:rFonts w:ascii="Calibri;sans-serif" w:hAnsi="Calibri;sans-serif"/>
          <w:b/>
          <w:i/>
          <w:color w:val="000000"/>
          <w:sz w:val="22"/>
        </w:rPr>
        <w:t>Company</w:t>
      </w:r>
      <w:r>
        <w:rPr>
          <w:color w:val="000000"/>
        </w:rPr>
        <w:t>”</w:t>
      </w:r>
      <w:r>
        <w:rPr>
          <w:rFonts w:ascii="Calibri;sans-serif" w:hAnsi="Calibri;sans-serif"/>
          <w:b w:val="false"/>
          <w:color w:val="000000"/>
          <w:sz w:val="22"/>
        </w:rPr>
        <w:t>) sets forth the terms and conditions that shall govern Executive’s employment with the Company (referred to hereinafter as “</w:t>
      </w:r>
      <w:r>
        <w:rPr>
          <w:rFonts w:ascii="Calibri;sans-serif" w:hAnsi="Calibri;sans-serif"/>
          <w:b/>
          <w:i/>
          <w:color w:val="000000"/>
          <w:sz w:val="22"/>
        </w:rPr>
        <w:t>Employment</w:t>
      </w:r>
      <w:r>
        <w:rPr>
          <w:color w:val="000000"/>
        </w:rPr>
        <w:t xml:space="preserve">” </w:t>
      </w:r>
      <w:r>
        <w:rPr>
          <w:rFonts w:ascii="Calibri;sans-serif" w:hAnsi="Calibri;sans-serif"/>
          <w:b w:val="false"/>
          <w:color w:val="000000"/>
          <w:sz w:val="22"/>
        </w:rPr>
        <w:t>or the “</w:t>
      </w:r>
      <w:r>
        <w:rPr>
          <w:rFonts w:ascii="Calibri;sans-serif" w:hAnsi="Calibri;sans-serif"/>
          <w:b/>
          <w:i/>
          <w:color w:val="000000"/>
          <w:sz w:val="22"/>
        </w:rPr>
        <w:t>Employment Period</w:t>
      </w:r>
      <w:r>
        <w:rPr>
          <w:color w:val="000000"/>
        </w:rPr>
        <w:t>”</w:t>
      </w:r>
      <w:r>
        <w:rPr>
          <w:rFonts w:ascii="Calibri;sans-serif" w:hAnsi="Calibri;sans-serif"/>
          <w:b w:val="false"/>
          <w:color w:val="000000"/>
          <w:sz w:val="22"/>
        </w:rPr>
        <w:t>), effective as of July 6, 2021.</w:t>
      </w:r>
    </w:p>
    <w:p>
      <w:pPr>
        <w:pStyle w:val="TextBody"/>
        <w:spacing w:lineRule="auto" w:line="240" w:before="243" w:after="283"/>
        <w:ind w:left="0" w:right="0" w:hanging="721"/>
        <w:rPr/>
      </w:pPr>
      <w:r>
        <w:rPr>
          <w:rFonts w:ascii="Times New Roman;sans-serif" w:hAnsi="Times New Roman;sans-serif"/>
          <w:b w:val="false"/>
          <w:color w:val="000000"/>
          <w:sz w:val="24"/>
        </w:rPr>
        <w:t>1.</w:t>
      </w:r>
      <w:r>
        <w:rPr>
          <w:rFonts w:ascii="Calibri;sans-serif" w:hAnsi="Calibri;sans-serif"/>
          <w:b/>
          <w:color w:val="000000"/>
          <w:sz w:val="22"/>
          <w:u w:val="single"/>
        </w:rPr>
        <w:t>Duties and Scope of Employment</w:t>
      </w:r>
      <w:r>
        <w:rPr>
          <w:rFonts w:ascii="Calibri;sans-serif" w:hAnsi="Calibri;sans-serif"/>
          <w:b/>
          <w:color w:val="000000"/>
          <w:sz w:val="22"/>
        </w:rPr>
        <w:t>.</w:t>
      </w:r>
    </w:p>
    <w:p>
      <w:pPr>
        <w:pStyle w:val="TextBody"/>
        <w:spacing w:lineRule="auto" w:line="285" w:before="242"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At-Will Employment</w:t>
      </w:r>
      <w:r>
        <w:rPr>
          <w:rFonts w:ascii="Calibri;sans-serif" w:hAnsi="Calibri;sans-serif"/>
          <w:b w:val="false"/>
          <w:color w:val="000000"/>
          <w:sz w:val="22"/>
        </w:rPr>
        <w:t>. Executive’s Employment with the Company is for no specified period and constitutes “at 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pStyle w:val="TextBody"/>
        <w:spacing w:lineRule="auto" w:line="285" w:before="240"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Position and Responsibilities</w:t>
      </w:r>
      <w:r>
        <w:rPr>
          <w:rFonts w:ascii="Calibri;sans-serif" w:hAnsi="Calibri;sans-serif"/>
          <w:b/>
          <w:color w:val="000000"/>
          <w:sz w:val="22"/>
        </w:rPr>
        <w:t xml:space="preserve">. </w:t>
      </w:r>
      <w:r>
        <w:rPr>
          <w:rFonts w:ascii="Calibri;sans-serif" w:hAnsi="Calibri;sans-serif"/>
          <w:b w:val="false"/>
          <w:color w:val="000000"/>
          <w:sz w:val="22"/>
        </w:rPr>
        <w:t>During the Employment Period, the Company agrees to employ Executive in the position of Chief Growth Officer. Executive will report to the Company’s Chief Executive Officer, or to such other Person as the Company subsequently may determine (Executive’s “</w:t>
      </w:r>
      <w:r>
        <w:rPr>
          <w:rFonts w:ascii="Calibri;sans-serif" w:hAnsi="Calibri;sans-serif"/>
          <w:b/>
          <w:i/>
          <w:color w:val="000000"/>
          <w:sz w:val="22"/>
        </w:rPr>
        <w:t>Supervisor</w:t>
      </w:r>
      <w:r>
        <w:rPr>
          <w:color w:val="000000"/>
        </w:rPr>
        <w:t>”</w:t>
      </w:r>
      <w:r>
        <w:rPr>
          <w:rFonts w:ascii="Calibri;sans-serif" w:hAnsi="Calibri;sans-serif"/>
          <w:b w:val="false"/>
          <w:color w:val="000000"/>
          <w:sz w:val="22"/>
        </w:rPr>
        <w:t>), and Executive will be working remotely and based out of New York. Executive will perform the duties and have the responsibilities and authority customarily performed and held by an employee in Executive’s position or as otherwise may be assigned or delegated to Executive by Executive’s Supervisor.</w:t>
      </w:r>
    </w:p>
    <w:p>
      <w:pPr>
        <w:pStyle w:val="TextBody"/>
        <w:spacing w:lineRule="auto" w:line="285" w:before="241" w:after="283"/>
        <w:ind w:left="0" w:right="0" w:firstLine="1439"/>
        <w:jc w:val="both"/>
        <w:rPr/>
      </w:pPr>
      <w:r>
        <w:rPr>
          <w:rFonts w:ascii="Times New Roman;sans-serif" w:hAnsi="Times New Roman;sans-serif"/>
          <w:b w:val="false"/>
          <w:color w:val="000000"/>
          <w:sz w:val="24"/>
        </w:rPr>
        <w:t>(c)</w:t>
      </w:r>
      <w:r>
        <w:rPr>
          <w:rFonts w:ascii="Calibri;sans-serif" w:hAnsi="Calibri;sans-serif"/>
          <w:b/>
          <w:color w:val="000000"/>
          <w:sz w:val="22"/>
          <w:u w:val="single"/>
        </w:rPr>
        <w:t>Obligations to the Company</w:t>
      </w:r>
      <w:r>
        <w:rPr>
          <w:rFonts w:ascii="Calibri;sans-serif" w:hAnsi="Calibri;sans-serif"/>
          <w:b/>
          <w:color w:val="000000"/>
          <w:sz w:val="22"/>
        </w:rPr>
        <w:t xml:space="preserve">. </w:t>
      </w:r>
      <w:r>
        <w:rPr>
          <w:rFonts w:ascii="Calibri;sans-serif" w:hAnsi="Calibri;sans-serif"/>
          <w:b w:val="false"/>
          <w:color w:val="000000"/>
          <w:sz w:val="22"/>
        </w:rPr>
        <w:t>During the Employment Period, Executive shall perform Executive’s duties faithfully and to the best of 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 performance of Executive’s duties under this Agreement or create a potential business or fiduciary conflict.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18" name="Frame2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jc w:val="both"/>
        <w:rPr>
          <w:rFonts w:ascii="Calibri;sans-serif" w:hAnsi="Calibri;sans-serif"/>
          <w:b w:val="false"/>
          <w:color w:val="000000"/>
          <w:sz w:val="22"/>
        </w:rPr>
      </w:pPr>
      <w:r>
        <w:rPr>
          <w:rFonts w:ascii="Calibri;sans-serif" w:hAnsi="Calibri;sans-serif"/>
          <w:b w:val="false"/>
          <w:color w:val="000000"/>
          <w:sz w:val="22"/>
        </w:rPr>
        <w:t>Executive shall comply with the Company’s policies and rules, as they may be in effect from time to time during Executive’s Employment. Executive represents and warrants to the Company that Executive has returned all property and confidential information belonging to any prior employer.</w:t>
      </w:r>
    </w:p>
    <w:p>
      <w:pPr>
        <w:pStyle w:val="TextBody"/>
        <w:spacing w:lineRule="auto" w:line="240" w:before="240" w:after="283"/>
        <w:ind w:left="0" w:right="0" w:hanging="721"/>
        <w:rPr/>
      </w:pPr>
      <w:r>
        <w:rPr>
          <w:rFonts w:ascii="Times New Roman;sans-serif" w:hAnsi="Times New Roman;sans-serif"/>
          <w:b w:val="false"/>
          <w:color w:val="000000"/>
          <w:sz w:val="24"/>
        </w:rPr>
        <w:t>2.</w:t>
      </w:r>
      <w:r>
        <w:rPr>
          <w:rFonts w:ascii="Calibri;sans-serif" w:hAnsi="Calibri;sans-serif"/>
          <w:b/>
          <w:color w:val="000000"/>
          <w:sz w:val="22"/>
          <w:u w:val="single"/>
        </w:rPr>
        <w:t>Cash and Incentive Compensation</w:t>
      </w:r>
      <w:r>
        <w:rPr>
          <w:rFonts w:ascii="Calibri;sans-serif" w:hAnsi="Calibri;sans-serif"/>
          <w:b/>
          <w:color w:val="000000"/>
          <w:sz w:val="22"/>
        </w:rPr>
        <w:t>.</w:t>
      </w:r>
    </w:p>
    <w:p>
      <w:pPr>
        <w:pStyle w:val="TextBody"/>
        <w:spacing w:lineRule="auto" w:line="285" w:before="243"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Base Salary</w:t>
      </w:r>
      <w:r>
        <w:rPr>
          <w:rFonts w:ascii="Calibri;sans-serif" w:hAnsi="Calibri;sans-serif"/>
          <w:b/>
          <w:color w:val="000000"/>
          <w:sz w:val="22"/>
        </w:rPr>
        <w:t xml:space="preserve">. </w:t>
      </w:r>
      <w:r>
        <w:rPr>
          <w:rFonts w:ascii="Calibri;sans-serif" w:hAnsi="Calibri;sans-serif"/>
          <w:b w:val="false"/>
          <w:color w:val="000000"/>
          <w:sz w:val="22"/>
        </w:rPr>
        <w:t>The Company shall pay Executive, as compensation for Executive’s services, a base salary at a gross annual rate of $400,000.00 (four hundred thousand dollars),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Calibri;sans-serif" w:hAnsi="Calibri;sans-serif"/>
          <w:b/>
          <w:i/>
          <w:color w:val="000000"/>
          <w:sz w:val="22"/>
        </w:rPr>
        <w:t>Base Salary</w:t>
      </w:r>
      <w:r>
        <w:rPr>
          <w:rFonts w:ascii="Calibri;sans-serif" w:hAnsi="Calibri;sans-serif"/>
          <w:b w:val="false"/>
          <w:color w:val="000000"/>
          <w:sz w:val="22"/>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pStyle w:val="TextBody"/>
        <w:spacing w:lineRule="auto" w:line="285" w:before="241"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Cash Incentive Bonus</w:t>
      </w:r>
      <w:r>
        <w:rPr>
          <w:rFonts w:ascii="Calibri;sans-serif" w:hAnsi="Calibri;sans-serif"/>
          <w:b/>
          <w:color w:val="000000"/>
          <w:sz w:val="22"/>
        </w:rPr>
        <w:t xml:space="preserve">. </w:t>
      </w:r>
      <w:r>
        <w:rPr>
          <w:rFonts w:ascii="Calibri;sans-serif" w:hAnsi="Calibri;sans-serif"/>
          <w:b w:val="false"/>
          <w:color w:val="000000"/>
          <w:sz w:val="22"/>
        </w:rPr>
        <w:t>Executive will be eligible to be considered for an annual cash incentive bonus (the “</w:t>
      </w:r>
      <w:r>
        <w:rPr>
          <w:rFonts w:ascii="Calibri;sans-serif" w:hAnsi="Calibri;sans-serif"/>
          <w:b/>
          <w:i/>
          <w:color w:val="000000"/>
          <w:sz w:val="22"/>
        </w:rPr>
        <w:t>Cash Bonus</w:t>
      </w:r>
      <w:r>
        <w:rPr>
          <w:color w:val="000000"/>
        </w:rPr>
        <w:t>”</w:t>
      </w:r>
      <w:r>
        <w:rPr>
          <w:rFonts w:ascii="Calibri;sans-serif" w:hAnsi="Calibri;sans-serif"/>
          <w:b w:val="false"/>
          <w:color w:val="000000"/>
          <w:sz w:val="22"/>
        </w:rPr>
        <w:t>) each calendar year during the Employment Period (the “</w:t>
      </w:r>
      <w:r>
        <w:rPr>
          <w:rFonts w:ascii="Calibri;sans-serif" w:hAnsi="Calibri;sans-serif"/>
          <w:b/>
          <w:i/>
          <w:color w:val="000000"/>
          <w:sz w:val="22"/>
        </w:rPr>
        <w:t>Performance Period</w:t>
      </w:r>
      <w:r>
        <w:rPr>
          <w:color w:val="000000"/>
        </w:rPr>
        <w:t>”</w:t>
      </w:r>
      <w:r>
        <w:rPr>
          <w:rFonts w:ascii="Calibri;sans-serif" w:hAnsi="Calibri;sans-serif"/>
          <w:b w:val="false"/>
          <w:color w:val="000000"/>
          <w:sz w:val="22"/>
        </w:rPr>
        <w:t>) based upon the achievement of certain objective or subjective criteria (collectively, the “</w:t>
      </w:r>
      <w:r>
        <w:rPr>
          <w:rFonts w:ascii="Calibri;sans-serif" w:hAnsi="Calibri;sans-serif"/>
          <w:b/>
          <w:i/>
          <w:color w:val="000000"/>
          <w:sz w:val="22"/>
        </w:rPr>
        <w:t>Performance Goals</w:t>
      </w:r>
      <w:r>
        <w:rPr>
          <w:color w:val="000000"/>
        </w:rPr>
        <w:t>”</w:t>
      </w:r>
      <w:r>
        <w:rPr>
          <w:rFonts w:ascii="Calibri;sans-serif" w:hAnsi="Calibri;sans-serif"/>
          <w:b w:val="false"/>
          <w:color w:val="000000"/>
          <w:sz w:val="22"/>
        </w:rPr>
        <w:t>). In compliance with all relevant legal requirements and based on Executive’s level within the Company, the Performance Goals for Executive’s Cash Bonus for a particular year will be established by, and in the sole discretion of, the Company’s Board of Directors (the “</w:t>
      </w:r>
      <w:r>
        <w:rPr>
          <w:rFonts w:ascii="Calibri;sans-serif" w:hAnsi="Calibri;sans-serif"/>
          <w:b/>
          <w:i/>
          <w:color w:val="000000"/>
          <w:sz w:val="22"/>
        </w:rPr>
        <w:t>Board</w:t>
      </w:r>
      <w:r>
        <w:rPr>
          <w:color w:val="000000"/>
        </w:rPr>
        <w:t>”</w:t>
      </w:r>
      <w:r>
        <w:rPr>
          <w:rFonts w:ascii="Calibri;sans-serif" w:hAnsi="Calibri;sans-serif"/>
          <w:b w:val="false"/>
          <w:color w:val="000000"/>
          <w:sz w:val="22"/>
        </w:rPr>
        <w:t>), any Compensation Committee of the Board (the “</w:t>
      </w:r>
      <w:r>
        <w:rPr>
          <w:rFonts w:ascii="Calibri;sans-serif" w:hAnsi="Calibri;sans-serif"/>
          <w:b/>
          <w:i/>
          <w:color w:val="000000"/>
          <w:sz w:val="22"/>
        </w:rPr>
        <w:t>Committee</w:t>
      </w:r>
      <w:r>
        <w:rPr>
          <w:color w:val="000000"/>
        </w:rPr>
        <w:t>”</w:t>
      </w:r>
      <w:r>
        <w:rPr>
          <w:rFonts w:ascii="Calibri;sans-serif" w:hAnsi="Calibri;sans-serif"/>
          <w:b w:val="false"/>
          <w:color w:val="000000"/>
          <w:sz w:val="22"/>
        </w:rPr>
        <w:t>), or a delegate of either the Board or the Committee (the “</w:t>
      </w:r>
      <w:r>
        <w:rPr>
          <w:rFonts w:ascii="Calibri;sans-serif" w:hAnsi="Calibri;sans-serif"/>
          <w:b/>
          <w:i/>
          <w:color w:val="000000"/>
          <w:sz w:val="22"/>
        </w:rPr>
        <w:t>Delegate</w:t>
      </w:r>
      <w:r>
        <w:rPr>
          <w:color w:val="000000"/>
        </w:rPr>
        <w:t>”</w:t>
      </w:r>
      <w:r>
        <w:rPr>
          <w:rFonts w:ascii="Calibri;sans-serif" w:hAnsi="Calibri;sans-serif"/>
          <w:b w:val="false"/>
          <w:color w:val="000000"/>
          <w:sz w:val="22"/>
        </w:rPr>
        <w:t>), as applicable. The initial target amount for any such Cash Bonus will be up to 50% of Executive’s Base Salary (the “</w:t>
      </w:r>
      <w:r>
        <w:rPr>
          <w:rFonts w:ascii="Calibri;sans-serif" w:hAnsi="Calibri;sans-serif"/>
          <w:b/>
          <w:i/>
          <w:color w:val="000000"/>
          <w:sz w:val="22"/>
        </w:rPr>
        <w:t>Target Bonus Percentage</w:t>
      </w:r>
      <w:r>
        <w:rPr>
          <w:color w:val="000000"/>
        </w:rPr>
        <w:t>”</w:t>
      </w:r>
      <w:r>
        <w:rPr>
          <w:rFonts w:ascii="Calibri;sans-serif" w:hAnsi="Calibri;sans-serif"/>
          <w:b w:val="false"/>
          <w:color w:val="000000"/>
          <w:sz w:val="22"/>
        </w:rPr>
        <w:t>), less all required tax withholdings and other applicable deductions. The determinations of the Board, the Committee or the Delegate, as applicable, with respect to such Cash Bonus or the Target Bonus Percentage shall be final and binding. Executive’s Target Bonus Percentage for any subsequent year may be adjusted up or down, as determined in the sole discretion of the Board, the Committee or the Delegate, as applicable. Executive shall not earn a Cash Bonus unless Executive (i) has been employed by the Company for a minimum of three (3) months of the Performance Period and (ii) is employed by and in good standing with the Company on the date when such Cash Bonus is actually paid by the Company. If Executive has not been employed by the Company for the full Performance Period associated with the Cash Bonus, Executive will not be eligible for the full Cash Bonus that year; instead, Executive’s Cash Bonus will be prorated based on the number of completed months Executive has been employed with the Company.</w:t>
      </w:r>
    </w:p>
    <w:p>
      <w:pPr>
        <w:pStyle w:val="TextBody"/>
        <w:spacing w:lineRule="auto" w:line="285" w:before="249" w:after="283"/>
        <w:ind w:left="0" w:right="0" w:firstLine="1439"/>
        <w:jc w:val="both"/>
        <w:rPr/>
      </w:pPr>
      <w:r>
        <w:rPr>
          <w:rFonts w:ascii="Times New Roman;sans-serif" w:hAnsi="Times New Roman;sans-serif"/>
          <w:b w:val="false"/>
          <w:color w:val="000000"/>
          <w:sz w:val="24"/>
        </w:rPr>
        <w:t>(c)</w:t>
      </w:r>
      <w:r>
        <w:rPr>
          <w:rFonts w:ascii="Calibri;sans-serif" w:hAnsi="Calibri;sans-serif"/>
          <w:b/>
          <w:color w:val="000000"/>
          <w:sz w:val="22"/>
          <w:u w:val="single"/>
        </w:rPr>
        <w:t>Restricted Stock Units</w:t>
      </w:r>
      <w:r>
        <w:rPr>
          <w:rFonts w:ascii="Calibri;sans-serif" w:hAnsi="Calibri;sans-serif"/>
          <w:b w:val="false"/>
          <w:color w:val="000000"/>
          <w:sz w:val="22"/>
        </w:rPr>
        <w:t>. Subject to the approval of the Board, the Committee or a Delegate, as applicable, the Company shall grant Executive (i) restricted stock units with a grant date fair value (the “RSU Cash Value) of $500,000.00 (five hundred thousand dollars) (the “</w:t>
      </w:r>
      <w:r>
        <w:rPr>
          <w:rFonts w:ascii="Calibri;sans-serif" w:hAnsi="Calibri;sans-serif"/>
          <w:b/>
          <w:i/>
          <w:color w:val="000000"/>
          <w:sz w:val="22"/>
        </w:rPr>
        <w:t>Sign-On Award</w:t>
      </w:r>
      <w:r>
        <w:rPr>
          <w:color w:val="000000"/>
        </w:rPr>
        <w:t>”</w:t>
      </w:r>
      <w:r>
        <w:rPr>
          <w:rFonts w:ascii="Calibri;sans-serif" w:hAnsi="Calibri;sans-serif"/>
          <w:b w:val="false"/>
          <w:color w:val="000000"/>
          <w:sz w:val="22"/>
        </w:rPr>
        <w:t>); and (ii) restricted stock units with a grant date fair value (the “</w:t>
      </w:r>
      <w:r>
        <w:rPr>
          <w:rFonts w:ascii="Calibri;sans-serif" w:hAnsi="Calibri;sans-serif"/>
          <w:b/>
          <w:i/>
          <w:color w:val="000000"/>
          <w:sz w:val="22"/>
        </w:rPr>
        <w:t>RSU Cash Value</w:t>
      </w:r>
      <w:r>
        <w:rPr>
          <w:color w:val="000000"/>
        </w:rPr>
        <w:t>”</w:t>
      </w:r>
      <w:r>
        <w:rPr>
          <w:rFonts w:ascii="Calibri;sans-serif" w:hAnsi="Calibri;sans-serif"/>
          <w:b w:val="false"/>
          <w:color w:val="000000"/>
          <w:sz w:val="22"/>
        </w:rPr>
        <w:t>) of $2,000,000.00 (two million dollars) (the “</w:t>
      </w:r>
      <w:r>
        <w:rPr>
          <w:rFonts w:ascii="Calibri;sans-serif" w:hAnsi="Calibri;sans-serif"/>
          <w:b/>
          <w:i/>
          <w:color w:val="000000"/>
          <w:sz w:val="22"/>
        </w:rPr>
        <w:t>Executive Award</w:t>
      </w:r>
      <w:r>
        <w:rPr>
          <w:color w:val="000000"/>
        </w:rPr>
        <w:t xml:space="preserve">” </w:t>
      </w:r>
      <w:r>
        <w:rPr>
          <w:rFonts w:ascii="Calibri;sans-serif" w:hAnsi="Calibri;sans-serif"/>
          <w:b w:val="false"/>
          <w:color w:val="000000"/>
          <w:sz w:val="22"/>
        </w:rPr>
        <w:t>and, together, with the Sign-On Award, the “</w:t>
      </w:r>
      <w:r>
        <w:rPr>
          <w:rFonts w:ascii="Calibri;sans-serif" w:hAnsi="Calibri;sans-serif"/>
          <w:b/>
          <w:i/>
          <w:color w:val="000000"/>
          <w:sz w:val="22"/>
        </w:rPr>
        <w:t>RSU Awards</w:t>
      </w:r>
      <w:r>
        <w:rPr>
          <w:color w:val="000000"/>
        </w:rPr>
        <w:t>”</w:t>
      </w:r>
      <w:r>
        <w:rPr>
          <w:rFonts w:ascii="Calibri;sans-serif" w:hAnsi="Calibri;sans-serif"/>
          <w:b w:val="false"/>
          <w:color w:val="000000"/>
          <w:sz w:val="22"/>
        </w:rPr>
        <w:t>). The number of shares subject to the RSU Awards will be determined based on dividing the RSU Cash Value by the average closing price of a share</w:t>
      </w:r>
    </w:p>
    <w:p>
      <w:pPr>
        <w:pStyle w:val="TextBody"/>
        <w:spacing w:before="249" w:after="283"/>
        <w:ind w:left="0" w:right="0" w:firstLine="143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19" name="Frame2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jc w:val="both"/>
        <w:rPr/>
      </w:pPr>
      <w:r>
        <w:rPr>
          <w:rFonts w:ascii="Calibri;sans-serif" w:hAnsi="Calibri;sans-serif"/>
          <w:b w:val="false"/>
          <w:color w:val="000000"/>
          <w:sz w:val="22"/>
        </w:rPr>
        <w:t>for the ninety trading days ending on the date of grant, as publicly reported. The RSU Awards shall be granted on the first day of your employment, pending Compensation Committee approval and shall be settled in shares of Company Class A common stock. Subject to any vesting acceleration rights Executive may have, the the Sign-On Award will vest in full on the one-year anniversary of Executive’s start date and the Executive Award will vest over four (4) years from Executive’s start date in equal annual installments over the four (4) years on the anniversary of the start date, subject to Executive continuing to provide services to the Company through the relevant vesting dates. The RSU Awards will be subject to the terms, definitions and provisions of the Company’s 2020 Equity Incentive Plan (the “</w:t>
      </w:r>
      <w:r>
        <w:rPr>
          <w:rFonts w:ascii="Calibri;sans-serif" w:hAnsi="Calibri;sans-serif"/>
          <w:b/>
          <w:i/>
          <w:color w:val="000000"/>
          <w:sz w:val="22"/>
        </w:rPr>
        <w:t>Equity Plan</w:t>
      </w:r>
      <w:r>
        <w:rPr>
          <w:color w:val="000000"/>
        </w:rPr>
        <w:t>”</w:t>
      </w:r>
      <w:r>
        <w:rPr>
          <w:rFonts w:ascii="Calibri;sans-serif" w:hAnsi="Calibri;sans-serif"/>
          <w:b w:val="false"/>
          <w:color w:val="000000"/>
          <w:sz w:val="22"/>
        </w:rPr>
        <w:t>) and the restricted stock unit agreement by and between Executive and the Company (the “</w:t>
      </w:r>
      <w:r>
        <w:rPr>
          <w:rFonts w:ascii="Calibri;sans-serif" w:hAnsi="Calibri;sans-serif"/>
          <w:b/>
          <w:i/>
          <w:color w:val="000000"/>
          <w:sz w:val="22"/>
        </w:rPr>
        <w:t>RSU Agreement</w:t>
      </w:r>
      <w:r>
        <w:rPr>
          <w:color w:val="000000"/>
        </w:rPr>
        <w:t>”</w:t>
      </w:r>
      <w:r>
        <w:rPr>
          <w:rFonts w:ascii="Calibri;sans-serif" w:hAnsi="Calibri;sans-serif"/>
          <w:b w:val="false"/>
          <w:color w:val="000000"/>
          <w:sz w:val="22"/>
        </w:rPr>
        <w:t>), both of which documents are incorporated herein by reference. Executive will be eligible for future awards under the Equity Plan, as determined in the sole discretion of the Board, the Committee or the Delegate, as applicable.</w:t>
      </w:r>
    </w:p>
    <w:p>
      <w:pPr>
        <w:pStyle w:val="TextBody"/>
        <w:spacing w:lineRule="auto" w:line="285" w:before="245" w:after="283"/>
        <w:ind w:left="0" w:right="0" w:firstLine="1439"/>
        <w:rPr/>
      </w:pPr>
      <w:r>
        <w:rPr>
          <w:rFonts w:ascii="Times New Roman;sans-serif" w:hAnsi="Times New Roman;sans-serif"/>
          <w:b w:val="false"/>
          <w:color w:val="000000"/>
          <w:sz w:val="24"/>
        </w:rPr>
        <w:t>(d)</w:t>
      </w:r>
      <w:r>
        <w:rPr>
          <w:rFonts w:ascii="Calibri;sans-serif" w:hAnsi="Calibri;sans-serif"/>
          <w:b/>
          <w:color w:val="000000"/>
          <w:sz w:val="22"/>
          <w:u w:val="single"/>
        </w:rPr>
        <w:t>Equity Based Performance Award.</w:t>
      </w:r>
      <w:r>
        <w:rPr>
          <w:color w:val="000000"/>
        </w:rPr>
        <w:t xml:space="preserve"> </w:t>
      </w:r>
      <w:r>
        <w:rPr>
          <w:rFonts w:ascii="Calibri;sans-serif" w:hAnsi="Calibri;sans-serif"/>
          <w:b w:val="false"/>
          <w:color w:val="000000"/>
          <w:sz w:val="22"/>
        </w:rPr>
        <w:t>Executive will also be eligible for an equity-based performance award if certain criteria are met.</w:t>
      </w:r>
    </w:p>
    <w:p>
      <w:pPr>
        <w:pStyle w:val="TextBody"/>
        <w:spacing w:lineRule="auto" w:line="285" w:before="236" w:after="283"/>
        <w:ind w:left="0" w:right="0" w:firstLine="2159"/>
        <w:jc w:val="both"/>
        <w:rPr/>
      </w:pPr>
      <w:r>
        <w:rPr>
          <w:rFonts w:ascii="Times New Roman;sans-serif" w:hAnsi="Times New Roman;sans-serif"/>
          <w:b w:val="false"/>
          <w:color w:val="000000"/>
          <w:sz w:val="24"/>
        </w:rPr>
        <w:t>(i)</w:t>
      </w:r>
      <w:r>
        <w:rPr>
          <w:rFonts w:ascii="Calibri;sans-serif" w:hAnsi="Calibri;sans-serif"/>
          <w:b w:val="false"/>
          <w:color w:val="000000"/>
          <w:sz w:val="22"/>
        </w:rPr>
        <w:t>If, on January 1, 2022 (the “</w:t>
      </w:r>
      <w:r>
        <w:rPr>
          <w:rFonts w:ascii="Calibri;sans-serif" w:hAnsi="Calibri;sans-serif"/>
          <w:b/>
          <w:i/>
          <w:color w:val="000000"/>
          <w:sz w:val="22"/>
        </w:rPr>
        <w:t>Performance Deadline</w:t>
      </w:r>
      <w:r>
        <w:rPr>
          <w:color w:val="000000"/>
        </w:rPr>
        <w:t>”</w:t>
      </w:r>
      <w:r>
        <w:rPr>
          <w:rFonts w:ascii="Calibri;sans-serif" w:hAnsi="Calibri;sans-serif"/>
          <w:b w:val="false"/>
          <w:color w:val="000000"/>
          <w:sz w:val="22"/>
        </w:rPr>
        <w:t>), the number of members enrolled in one of the Company’s Medicare Advantage plans meets or exceeds ninety thousand (90,000) (the “</w:t>
      </w:r>
      <w:r>
        <w:rPr>
          <w:rFonts w:ascii="Calibri;sans-serif" w:hAnsi="Calibri;sans-serif"/>
          <w:b/>
          <w:i/>
          <w:color w:val="000000"/>
          <w:sz w:val="22"/>
        </w:rPr>
        <w:t>Performance Goal</w:t>
      </w:r>
      <w:r>
        <w:rPr>
          <w:color w:val="000000"/>
        </w:rPr>
        <w:t>”</w:t>
      </w:r>
      <w:r>
        <w:rPr>
          <w:rFonts w:ascii="Calibri;sans-serif" w:hAnsi="Calibri;sans-serif"/>
          <w:b w:val="false"/>
          <w:color w:val="000000"/>
          <w:sz w:val="22"/>
        </w:rPr>
        <w:t>), as determined by the Company in its sole discretion (the date of such achievement, the “</w:t>
      </w:r>
      <w:r>
        <w:rPr>
          <w:rFonts w:ascii="Calibri;sans-serif" w:hAnsi="Calibri;sans-serif"/>
          <w:b/>
          <w:i/>
          <w:color w:val="000000"/>
          <w:sz w:val="22"/>
        </w:rPr>
        <w:t>Performance Achievement Date</w:t>
      </w:r>
      <w:r>
        <w:rPr>
          <w:color w:val="000000"/>
        </w:rPr>
        <w:t>”</w:t>
      </w:r>
      <w:r>
        <w:rPr>
          <w:rFonts w:ascii="Calibri;sans-serif" w:hAnsi="Calibri;sans-serif"/>
          <w:b w:val="false"/>
          <w:color w:val="000000"/>
          <w:sz w:val="22"/>
        </w:rPr>
        <w:t>), the Company will recommend that the Board of Directors approve, as soon as reasonably practical after the performance Achievement Date, the grant of an award (the “</w:t>
      </w:r>
      <w:r>
        <w:rPr>
          <w:rFonts w:ascii="Calibri;sans-serif" w:hAnsi="Calibri;sans-serif"/>
          <w:b/>
          <w:i/>
          <w:color w:val="000000"/>
          <w:sz w:val="22"/>
        </w:rPr>
        <w:t>PSU Award</w:t>
      </w:r>
      <w:r>
        <w:rPr>
          <w:color w:val="000000"/>
        </w:rPr>
        <w:t>”</w:t>
      </w:r>
      <w:r>
        <w:rPr>
          <w:rFonts w:ascii="Calibri;sans-serif" w:hAnsi="Calibri;sans-serif"/>
          <w:b w:val="false"/>
          <w:color w:val="000000"/>
          <w:sz w:val="22"/>
        </w:rPr>
        <w:t xml:space="preserve">) with a grant date fair value of one million dollars ($1,000,000) (the </w:t>
      </w:r>
      <w:r>
        <w:rPr>
          <w:color w:val="000000"/>
        </w:rPr>
        <w:t>“</w:t>
      </w:r>
      <w:r>
        <w:rPr>
          <w:rFonts w:ascii="Calibri;sans-serif" w:hAnsi="Calibri;sans-serif"/>
          <w:b/>
          <w:i/>
          <w:color w:val="000000"/>
          <w:sz w:val="22"/>
        </w:rPr>
        <w:t>PSU Cash Value”</w:t>
      </w:r>
      <w:r>
        <w:rPr>
          <w:rFonts w:ascii="Calibri;sans-serif" w:hAnsi="Calibri;sans-serif"/>
          <w:b w:val="false"/>
          <w:color w:val="000000"/>
          <w:sz w:val="22"/>
        </w:rPr>
        <w:t>) the number of shares subject to the PSU Award will be determined based on dividing the PSU Cash Value by the average closing price of a share for the ninety trading days ending on the date of grant, as publicly reported. Subject to Section 3 of the Award Agreement, the Performance Stock Units (the “</w:t>
      </w:r>
      <w:r>
        <w:rPr>
          <w:rFonts w:ascii="Calibri;sans-serif" w:hAnsi="Calibri;sans-serif"/>
          <w:b/>
          <w:i/>
          <w:color w:val="000000"/>
          <w:sz w:val="22"/>
        </w:rPr>
        <w:t>PSUs</w:t>
      </w:r>
      <w:r>
        <w:rPr>
          <w:color w:val="000000"/>
        </w:rPr>
        <w:t>”</w:t>
      </w:r>
      <w:r>
        <w:rPr>
          <w:rFonts w:ascii="Calibri;sans-serif" w:hAnsi="Calibri;sans-serif"/>
          <w:b w:val="false"/>
          <w:color w:val="000000"/>
          <w:sz w:val="22"/>
        </w:rPr>
        <w:t>) will be eligible to vest as set forth below (each date, a “</w:t>
      </w:r>
      <w:r>
        <w:rPr>
          <w:rFonts w:ascii="Calibri;sans-serif" w:hAnsi="Calibri;sans-serif"/>
          <w:b/>
          <w:i/>
          <w:color w:val="000000"/>
          <w:sz w:val="22"/>
        </w:rPr>
        <w:t>Vesting Date</w:t>
      </w:r>
      <w:r>
        <w:rPr>
          <w:color w:val="000000"/>
        </w:rPr>
        <w:t>”</w:t>
      </w:r>
      <w:r>
        <w:rPr>
          <w:rFonts w:ascii="Calibri;sans-serif" w:hAnsi="Calibri;sans-serif"/>
          <w:b w:val="false"/>
          <w:color w:val="000000"/>
          <w:sz w:val="22"/>
        </w:rPr>
        <w:t>), subject to applicable conditions set forth herein and Executive’s continued service through each Vesting Date:</w:t>
      </w:r>
    </w:p>
    <w:p>
      <w:pPr>
        <w:pStyle w:val="TextBody"/>
        <w:spacing w:before="6" w:after="283"/>
        <w:rPr/>
      </w:pPr>
      <w:r>
        <w:rPr/>
      </w:r>
    </w:p>
    <w:p>
      <w:pPr>
        <w:pStyle w:val="TextBody"/>
        <w:spacing w:lineRule="auto" w:line="285" w:before="106" w:after="283"/>
        <w:ind w:left="0" w:right="0" w:firstLine="2880"/>
        <w:jc w:val="both"/>
        <w:rPr>
          <w:rFonts w:ascii="Calibri;sans-serif" w:hAnsi="Calibri;sans-serif"/>
          <w:b w:val="false"/>
          <w:color w:val="000000"/>
          <w:sz w:val="22"/>
        </w:rPr>
      </w:pPr>
      <w:r>
        <w:rPr>
          <w:rFonts w:ascii="Calibri;sans-serif" w:hAnsi="Calibri;sans-serif"/>
          <w:b w:val="false"/>
          <w:color w:val="000000"/>
          <w:sz w:val="22"/>
        </w:rPr>
        <w:t>(1)50% of the PSUs subject to the Award will vest immediately on the Performance Achievement Date if, on or before the Performance Deadline, the Participant successfully meets the Performance Goal, as determined by the Company in its sole discretion; and</w:t>
      </w:r>
    </w:p>
    <w:p>
      <w:pPr>
        <w:pStyle w:val="TextBody"/>
        <w:spacing w:before="3" w:after="283"/>
        <w:rPr/>
      </w:pPr>
      <w:r>
        <w:rPr/>
      </w:r>
    </w:p>
    <w:p>
      <w:pPr>
        <w:pStyle w:val="TextBody"/>
        <w:spacing w:lineRule="auto" w:line="288" w:before="105" w:after="283"/>
        <w:ind w:left="0" w:right="0" w:firstLine="2880"/>
        <w:rPr>
          <w:rFonts w:ascii="Calibri;sans-serif" w:hAnsi="Calibri;sans-serif"/>
          <w:b w:val="false"/>
          <w:color w:val="000000"/>
          <w:sz w:val="22"/>
        </w:rPr>
      </w:pPr>
      <w:r>
        <w:rPr>
          <w:rFonts w:ascii="Calibri;sans-serif" w:hAnsi="Calibri;sans-serif"/>
          <w:b w:val="false"/>
          <w:color w:val="000000"/>
          <w:sz w:val="22"/>
        </w:rPr>
        <w:t>(2)50% of the PSUs subject to the Award will vest on the one- year anniversary of the Performance Achievement Date.</w:t>
      </w:r>
    </w:p>
    <w:p>
      <w:pPr>
        <w:pStyle w:val="TextBody"/>
        <w:spacing w:lineRule="auto" w:line="285" w:before="234"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rPr>
        <w:t>If, on the Performance Deadline, the number of members enrolled in one of the Company’s Medicare Advantage plans meets or exceeds one hundred thousand (100,000), as determined by the Company in its sole discretion, the Company will recommend that the Board of Directors approve, as soon as reasonably practical after the Performance Achievement Date, the grant of an additional award (the “</w:t>
      </w:r>
      <w:r>
        <w:rPr>
          <w:rFonts w:ascii="Calibri;sans-serif" w:hAnsi="Calibri;sans-serif"/>
          <w:b/>
          <w:i/>
          <w:color w:val="000000"/>
          <w:sz w:val="22"/>
        </w:rPr>
        <w:t>Additional PSU Award</w:t>
      </w:r>
      <w:r>
        <w:rPr>
          <w:color w:val="000000"/>
        </w:rPr>
        <w:t>”</w:t>
      </w:r>
      <w:r>
        <w:rPr>
          <w:rFonts w:ascii="Calibri;sans-serif" w:hAnsi="Calibri;sans-serif"/>
          <w:b w:val="false"/>
          <w:color w:val="000000"/>
          <w:sz w:val="22"/>
        </w:rPr>
        <w:t>) with a grant date fair value of one million dollars ($1,000,000.00) the number of shares subject to the Additional PSU Award will be determined based on dividing the cash value of the Additional PSU Award by the average closing price of a share for the ninety trading days ending on the date of</w:t>
      </w:r>
    </w:p>
    <w:p>
      <w:pPr>
        <w:pStyle w:val="TextBody"/>
        <w:spacing w:before="234" w:after="283"/>
        <w:ind w:left="0" w:right="0" w:firstLine="215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20" name="Frame2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rPr>
          <w:rFonts w:ascii="Calibri;sans-serif" w:hAnsi="Calibri;sans-serif"/>
          <w:b w:val="false"/>
          <w:color w:val="000000"/>
          <w:sz w:val="22"/>
        </w:rPr>
      </w:pPr>
      <w:r>
        <w:rPr>
          <w:rFonts w:ascii="Calibri;sans-serif" w:hAnsi="Calibri;sans-serif"/>
          <w:b w:val="false"/>
          <w:color w:val="000000"/>
          <w:sz w:val="22"/>
        </w:rPr>
        <w:t>grant, as publicly reported. That Additional Award will be subject to the same vesting schedule as the Award described above.</w:t>
      </w:r>
    </w:p>
    <w:p>
      <w:pPr>
        <w:pStyle w:val="TextBody"/>
        <w:spacing w:lineRule="auto" w:line="285" w:before="239"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rPr>
        <w:t>Notwithstanding the foregoing, if Executive does not achieve the Performance Goal by the Performance Deadline, Executive will forfeit all of the PSUs subject to the PSU Award and the Additional PSU Award as of the Performance Deadline for no additional consideration.</w:t>
      </w:r>
    </w:p>
    <w:p>
      <w:pPr>
        <w:pStyle w:val="TextBody"/>
        <w:spacing w:lineRule="auto" w:line="285" w:before="237" w:after="283"/>
        <w:ind w:left="0" w:right="0" w:firstLine="719"/>
        <w:jc w:val="both"/>
        <w:rPr/>
      </w:pPr>
      <w:r>
        <w:rPr>
          <w:rFonts w:ascii="Times New Roman;sans-serif" w:hAnsi="Times New Roman;sans-serif"/>
          <w:b w:val="false"/>
          <w:color w:val="000000"/>
          <w:sz w:val="24"/>
        </w:rPr>
        <w:t>3.</w:t>
      </w:r>
      <w:r>
        <w:rPr>
          <w:rFonts w:ascii="Calibri;sans-serif" w:hAnsi="Calibri;sans-serif"/>
          <w:b/>
          <w:color w:val="000000"/>
          <w:sz w:val="22"/>
          <w:u w:val="single"/>
        </w:rPr>
        <w:t>Employee Benefits</w:t>
      </w:r>
      <w:r>
        <w:rPr>
          <w:rFonts w:ascii="Calibri;sans-serif" w:hAnsi="Calibri;sans-serif"/>
          <w:b/>
          <w:color w:val="000000"/>
          <w:sz w:val="22"/>
        </w:rPr>
        <w:t xml:space="preserve">. </w:t>
      </w:r>
      <w:r>
        <w:rPr>
          <w:rFonts w:ascii="Calibri;sans-serif" w:hAnsi="Calibri;sans-serif"/>
          <w:b w:val="false"/>
          <w:color w:val="000000"/>
          <w:sz w:val="22"/>
        </w:rPr>
        <w:t>During the Employment Period, Executive shall be eligible to (a) receive paid time off (“</w:t>
      </w:r>
      <w:r>
        <w:rPr>
          <w:rFonts w:ascii="Calibri;sans-serif" w:hAnsi="Calibri;sans-serif"/>
          <w:b/>
          <w:i/>
          <w:color w:val="000000"/>
          <w:sz w:val="22"/>
        </w:rPr>
        <w:t>PTO</w:t>
      </w:r>
      <w:r>
        <w:rPr>
          <w:color w:val="000000"/>
        </w:rPr>
        <w:t>”</w:t>
      </w:r>
      <w:r>
        <w:rPr>
          <w:rFonts w:ascii="Calibri;sans-serif" w:hAnsi="Calibri;sans-serif"/>
          <w:b w:val="false"/>
          <w:color w:val="000000"/>
          <w:sz w:val="22"/>
        </w:rPr>
        <w:t>) in accordance with the Company’s PTO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pStyle w:val="TextBody"/>
        <w:spacing w:lineRule="auto" w:line="285" w:before="240" w:after="283"/>
        <w:ind w:left="0" w:right="0" w:firstLine="719"/>
        <w:jc w:val="both"/>
        <w:rPr/>
      </w:pPr>
      <w:r>
        <w:rPr>
          <w:rFonts w:ascii="Times New Roman;sans-serif" w:hAnsi="Times New Roman;sans-serif"/>
          <w:b w:val="false"/>
          <w:color w:val="000000"/>
          <w:sz w:val="24"/>
        </w:rPr>
        <w:t>4.</w:t>
      </w:r>
      <w:r>
        <w:rPr>
          <w:rFonts w:ascii="Calibri;sans-serif" w:hAnsi="Calibri;sans-serif"/>
          <w:b/>
          <w:color w:val="000000"/>
          <w:sz w:val="22"/>
          <w:u w:val="single"/>
        </w:rPr>
        <w:t>Business Expenses</w:t>
      </w:r>
      <w:r>
        <w:rPr>
          <w:rFonts w:ascii="Calibri;sans-serif" w:hAnsi="Calibri;sans-serif"/>
          <w:b/>
          <w:color w:val="000000"/>
          <w:sz w:val="22"/>
        </w:rPr>
        <w:t xml:space="preserve">. </w:t>
      </w:r>
      <w:r>
        <w:rPr>
          <w:rFonts w:ascii="Calibri;sans-serif" w:hAnsi="Calibri;sans-serif"/>
          <w:b w:val="false"/>
          <w:color w:val="000000"/>
          <w:sz w:val="22"/>
        </w:rPr>
        <w:t>The Company will reimburse Executive for necessary and reasonable business expenses incurred in connection with Executive’s duties hereunder upon presentation of an itemized account and appropriate supporting documentation, all in accordance with the Company’s generally applicable expense reimbursement policies as in effect from to time.</w:t>
      </w:r>
    </w:p>
    <w:p>
      <w:pPr>
        <w:pStyle w:val="TextBody"/>
        <w:spacing w:lineRule="auto" w:line="285" w:before="239" w:after="283"/>
        <w:ind w:left="0" w:right="0" w:firstLine="719"/>
        <w:jc w:val="both"/>
        <w:rPr/>
      </w:pPr>
      <w:r>
        <w:rPr>
          <w:rFonts w:ascii="Times New Roman;sans-serif" w:hAnsi="Times New Roman;sans-serif"/>
          <w:b w:val="false"/>
          <w:color w:val="000000"/>
          <w:sz w:val="24"/>
        </w:rPr>
        <w:t>5.</w:t>
      </w:r>
      <w:r>
        <w:rPr>
          <w:rFonts w:ascii="Calibri;sans-serif" w:hAnsi="Calibri;sans-serif"/>
          <w:b/>
          <w:color w:val="000000"/>
          <w:sz w:val="22"/>
          <w:u w:val="single"/>
        </w:rPr>
        <w:t>Rights Upon Termination</w:t>
      </w:r>
      <w:r>
        <w:rPr>
          <w:rFonts w:ascii="Calibri;sans-serif" w:hAnsi="Calibri;sans-serif"/>
          <w:b/>
          <w:color w:val="000000"/>
          <w:sz w:val="22"/>
        </w:rPr>
        <w:t xml:space="preserve">. </w:t>
      </w:r>
      <w:r>
        <w:rPr>
          <w:rFonts w:ascii="Calibri;sans-serif" w:hAnsi="Calibri;sans-serif"/>
          <w:b w:val="false"/>
          <w:color w:val="000000"/>
          <w:sz w:val="22"/>
        </w:rPr>
        <w:t>Except as expressly provided in Section 6, upon the termination of Executive’s Employment, for the period preceding the effective date of the termination of Employment, Executive shall only be entitled to the following: (i) the accrued but unpaid Base Salary compensation and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w:t>
      </w:r>
      <w:r>
        <w:rPr>
          <w:rFonts w:ascii="Calibri;sans-serif" w:hAnsi="Calibri;sans-serif"/>
          <w:b/>
          <w:i/>
          <w:color w:val="000000"/>
          <w:sz w:val="22"/>
        </w:rPr>
        <w:t>Accrued Benefits</w:t>
      </w:r>
      <w:r>
        <w:rPr>
          <w:color w:val="000000"/>
        </w:rPr>
        <w:t>”</w:t>
      </w:r>
      <w:r>
        <w:rPr>
          <w:rFonts w:ascii="Calibri;sans-serif" w:hAnsi="Calibri;sans-serif"/>
          <w:b w:val="false"/>
          <w:color w:val="000000"/>
          <w:sz w:val="22"/>
        </w:rPr>
        <w:t>). The Accrued Benefits described in clauses (i) 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pStyle w:val="TextBody"/>
        <w:spacing w:lineRule="auto" w:line="240" w:before="242" w:after="283"/>
        <w:ind w:left="0" w:right="0" w:hanging="721"/>
        <w:rPr/>
      </w:pPr>
      <w:r>
        <w:rPr>
          <w:rFonts w:ascii="Times New Roman;sans-serif" w:hAnsi="Times New Roman;sans-serif"/>
          <w:b w:val="false"/>
          <w:color w:val="000000"/>
          <w:sz w:val="24"/>
        </w:rPr>
        <w:t>6.</w:t>
      </w:r>
      <w:r>
        <w:rPr>
          <w:rFonts w:ascii="Calibri;sans-serif" w:hAnsi="Calibri;sans-serif"/>
          <w:b/>
          <w:color w:val="000000"/>
          <w:sz w:val="22"/>
          <w:u w:val="single"/>
        </w:rPr>
        <w:t>Termination Benefits.</w:t>
      </w:r>
    </w:p>
    <w:p>
      <w:pPr>
        <w:pStyle w:val="TextBody"/>
        <w:spacing w:lineRule="auto" w:line="285" w:before="243"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Termination without Cause outside of Change in Control Protection</w:t>
      </w:r>
      <w:r>
        <w:rPr>
          <w:color w:val="000000"/>
        </w:rPr>
        <w:t xml:space="preserve"> </w:t>
      </w:r>
      <w:r>
        <w:rPr>
          <w:rFonts w:ascii="Calibri;sans-serif" w:hAnsi="Calibri;sans-serif"/>
          <w:b/>
          <w:color w:val="000000"/>
          <w:sz w:val="22"/>
          <w:u w:val="single"/>
        </w:rPr>
        <w:t>Period</w:t>
      </w:r>
      <w:r>
        <w:rPr>
          <w:rFonts w:ascii="Calibri;sans-serif" w:hAnsi="Calibri;sans-serif"/>
          <w:b w:val="false"/>
          <w:color w:val="000000"/>
          <w:sz w:val="22"/>
        </w:rPr>
        <w:t>. If the Company (or any parent, subsidiary or successor of the Company) terminates Executive’s employment with the Company for a reason other than (i) Cause, (ii) Executive becoming Disabled or (iii) Executive’s death, in each case, outside of the Change in Control Protection Period, then, subject to Section 7 (other than with respect to the Accrued Benefits), Executive will be entitled to the following:</w:t>
      </w:r>
    </w:p>
    <w:p>
      <w:pPr>
        <w:pStyle w:val="TextBody"/>
        <w:spacing w:lineRule="auto" w:line="240" w:before="241" w:after="283"/>
        <w:ind w:left="0" w:right="0" w:hanging="721"/>
        <w:rPr/>
      </w:pPr>
      <w:r>
        <w:rPr>
          <w:rFonts w:ascii="Times New Roman;sans-serif" w:hAnsi="Times New Roman;sans-serif"/>
          <w:b w:val="false"/>
          <w:color w:val="000000"/>
          <w:sz w:val="24"/>
        </w:rPr>
        <w:t>(i)</w:t>
      </w:r>
      <w:r>
        <w:rPr>
          <w:rFonts w:ascii="Calibri;sans-serif" w:hAnsi="Calibri;sans-serif"/>
          <w:b w:val="false"/>
          <w:color w:val="000000"/>
          <w:sz w:val="22"/>
          <w:u w:val="single"/>
        </w:rPr>
        <w:t>Accrued Compensation</w:t>
      </w:r>
      <w:r>
        <w:rPr>
          <w:rFonts w:ascii="Calibri;sans-serif" w:hAnsi="Calibri;sans-serif"/>
          <w:b w:val="false"/>
          <w:color w:val="000000"/>
          <w:sz w:val="22"/>
        </w:rPr>
        <w:t>.    The Company will pay Executive all</w:t>
      </w:r>
    </w:p>
    <w:p>
      <w:pPr>
        <w:pStyle w:val="TextBody"/>
        <w:spacing w:lineRule="auto" w:line="240" w:before="7" w:after="283"/>
        <w:rPr>
          <w:rFonts w:ascii="Calibri;sans-serif" w:hAnsi="Calibri;sans-serif"/>
          <w:b w:val="false"/>
          <w:color w:val="000000"/>
          <w:sz w:val="22"/>
        </w:rPr>
      </w:pPr>
      <w:r>
        <w:rPr>
          <w:rFonts w:ascii="Calibri;sans-serif" w:hAnsi="Calibri;sans-serif"/>
          <w:b w:val="false"/>
          <w:color w:val="000000"/>
          <w:sz w:val="22"/>
        </w:rPr>
        <w:t>Accrued Benefits.</w:t>
      </w:r>
    </w:p>
    <w:p>
      <w:pPr>
        <w:pStyle w:val="TextBody"/>
        <w:spacing w:before="7"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21" name="Frame2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u w:val="single"/>
        </w:rPr>
        <w:t>Severance Payment</w:t>
      </w:r>
      <w:r>
        <w:rPr>
          <w:rFonts w:ascii="Calibri;sans-serif" w:hAnsi="Calibri;sans-serif"/>
          <w:b w:val="false"/>
          <w:color w:val="000000"/>
          <w:sz w:val="22"/>
        </w:rPr>
        <w:t>. In exchange for Executive timely signing and not revoking the Release in accordance with the terms therein and in this Agreement, Executive will receive semi-monthly continuing payments of severance pay at a rate equal to Executive’s Base Salary, as then in effect, for twelve (12) months (the “</w:t>
      </w:r>
      <w:r>
        <w:rPr>
          <w:rFonts w:ascii="Calibri;sans-serif" w:hAnsi="Calibri;sans-serif"/>
          <w:b/>
          <w:i/>
          <w:color w:val="000000"/>
          <w:sz w:val="22"/>
        </w:rPr>
        <w:t>Severance Period</w:t>
      </w:r>
      <w:r>
        <w:rPr>
          <w:color w:val="000000"/>
        </w:rPr>
        <w:t>”</w:t>
      </w:r>
      <w:r>
        <w:rPr>
          <w:rFonts w:ascii="Calibri;sans-serif" w:hAnsi="Calibri;sans-serif"/>
          <w:b w:val="false"/>
          <w:color w:val="000000"/>
          <w:sz w:val="22"/>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pStyle w:val="TextBody"/>
        <w:spacing w:lineRule="auto" w:line="285" w:before="240"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u w:val="single"/>
        </w:rPr>
        <w:t>Continued Employee Benefits</w:t>
      </w:r>
      <w:r>
        <w:rPr>
          <w:rFonts w:ascii="Calibri;sans-serif" w:hAnsi="Calibri;sans-serif"/>
          <w:b w:val="false"/>
          <w:color w:val="000000"/>
          <w:sz w:val="22"/>
        </w:rPr>
        <w:t>. If Executive elects continuation coverage pursuant to the Consolidated Omnibus Budget Reconciliation Act of 1985, as amended (“</w:t>
      </w:r>
      <w:r>
        <w:rPr>
          <w:rFonts w:ascii="Calibri;sans-serif" w:hAnsi="Calibri;sans-serif"/>
          <w:b/>
          <w:i/>
          <w:color w:val="000000"/>
          <w:sz w:val="22"/>
        </w:rPr>
        <w:t>COBRA</w:t>
      </w:r>
      <w:r>
        <w:rPr>
          <w:color w:val="000000"/>
        </w:rPr>
        <w:t>”</w:t>
      </w:r>
      <w:r>
        <w:rPr>
          <w:rFonts w:ascii="Calibri;sans-serif" w:hAnsi="Calibri;sans-serif"/>
          <w:b w:val="false"/>
          <w:color w:val="000000"/>
          <w:sz w:val="22"/>
        </w:rPr>
        <w:t>)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pStyle w:val="TextBody"/>
        <w:spacing w:lineRule="auto" w:line="285" w:before="241"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Termination without Cause or Resignation for Good Reason within</w:t>
      </w:r>
      <w:r>
        <w:rPr>
          <w:color w:val="000000"/>
        </w:rPr>
        <w:t xml:space="preserve"> </w:t>
      </w:r>
      <w:r>
        <w:rPr>
          <w:rFonts w:ascii="Calibri;sans-serif" w:hAnsi="Calibri;sans-serif"/>
          <w:b/>
          <w:color w:val="000000"/>
          <w:sz w:val="22"/>
          <w:u w:val="single"/>
        </w:rPr>
        <w:t>the Change in Control Protection Period</w:t>
      </w:r>
      <w:r>
        <w:rPr>
          <w:rFonts w:ascii="Calibri;sans-serif" w:hAnsi="Calibri;sans-serif"/>
          <w:b w:val="false"/>
          <w:color w:val="000000"/>
          <w:sz w:val="22"/>
        </w:rPr>
        <w:t>. If, during the Change in Control Protection Period,</w:t>
      </w:r>
    </w:p>
    <w:p>
      <w:pPr>
        <w:pStyle w:val="TextBody"/>
        <w:spacing w:lineRule="auto" w:line="285" w:before="1" w:after="283"/>
        <w:jc w:val="both"/>
        <w:rPr>
          <w:rFonts w:ascii="Calibri;sans-serif" w:hAnsi="Calibri;sans-serif"/>
          <w:b w:val="false"/>
          <w:color w:val="000000"/>
          <w:sz w:val="22"/>
        </w:rPr>
      </w:pPr>
      <w:r>
        <w:rPr>
          <w:rFonts w:ascii="Calibri;sans-serif" w:hAnsi="Calibri;sans-serif"/>
          <w:b w:val="false"/>
          <w:color w:val="000000"/>
          <w:sz w:val="22"/>
        </w:rPr>
        <w:t>(x)the Company terminates Executive’s employment 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pStyle w:val="TextBody"/>
        <w:spacing w:lineRule="auto" w:line="240" w:before="240" w:after="283"/>
        <w:ind w:left="0" w:right="0" w:hanging="721"/>
        <w:rPr/>
      </w:pPr>
      <w:r>
        <w:rPr>
          <w:rFonts w:ascii="Times New Roman;sans-serif" w:hAnsi="Times New Roman;sans-serif"/>
          <w:b w:val="false"/>
          <w:color w:val="000000"/>
          <w:sz w:val="24"/>
        </w:rPr>
        <w:t>(i)</w:t>
      </w:r>
      <w:r>
        <w:rPr>
          <w:rFonts w:ascii="Calibri;sans-serif" w:hAnsi="Calibri;sans-serif"/>
          <w:b w:val="false"/>
          <w:color w:val="000000"/>
          <w:sz w:val="22"/>
          <w:u w:val="single"/>
        </w:rPr>
        <w:t>Accrued Compensation</w:t>
      </w:r>
      <w:r>
        <w:rPr>
          <w:rFonts w:ascii="Calibri;sans-serif" w:hAnsi="Calibri;sans-serif"/>
          <w:b w:val="false"/>
          <w:color w:val="000000"/>
          <w:sz w:val="22"/>
        </w:rPr>
        <w:t>.    The Company will pay Executive all</w:t>
      </w:r>
    </w:p>
    <w:p>
      <w:pPr>
        <w:pStyle w:val="TextBody"/>
        <w:spacing w:lineRule="auto" w:line="240" w:before="7" w:after="283"/>
        <w:rPr>
          <w:rFonts w:ascii="Calibri;sans-serif" w:hAnsi="Calibri;sans-serif"/>
          <w:b w:val="false"/>
          <w:color w:val="000000"/>
          <w:sz w:val="22"/>
        </w:rPr>
      </w:pPr>
      <w:r>
        <w:rPr>
          <w:rFonts w:ascii="Calibri;sans-serif" w:hAnsi="Calibri;sans-serif"/>
          <w:b w:val="false"/>
          <w:color w:val="000000"/>
          <w:sz w:val="22"/>
        </w:rPr>
        <w:t>Accrued Benefits.</w:t>
      </w:r>
    </w:p>
    <w:p>
      <w:pPr>
        <w:pStyle w:val="TextBody"/>
        <w:spacing w:lineRule="auto" w:line="240" w:before="245" w:after="283"/>
        <w:ind w:left="0" w:right="0" w:hanging="721"/>
        <w:rPr/>
      </w:pPr>
      <w:r>
        <w:rPr>
          <w:rFonts w:ascii="Times New Roman;sans-serif" w:hAnsi="Times New Roman;sans-serif"/>
          <w:b w:val="false"/>
          <w:color w:val="000000"/>
          <w:sz w:val="24"/>
        </w:rPr>
        <w:t>(ii)</w:t>
      </w:r>
      <w:r>
        <w:rPr>
          <w:rFonts w:ascii="Calibri;sans-serif" w:hAnsi="Calibri;sans-serif"/>
          <w:b w:val="false"/>
          <w:color w:val="000000"/>
          <w:sz w:val="22"/>
          <w:u w:val="single"/>
        </w:rPr>
        <w:t>Severance Payment</w:t>
      </w:r>
      <w:r>
        <w:rPr>
          <w:rFonts w:ascii="Calibri;sans-serif" w:hAnsi="Calibri;sans-serif"/>
          <w:b w:val="false"/>
          <w:color w:val="000000"/>
          <w:sz w:val="22"/>
        </w:rPr>
        <w:t>. In exchange for Executive timely signing and</w:t>
      </w:r>
    </w:p>
    <w:p>
      <w:pPr>
        <w:pStyle w:val="TextBody"/>
        <w:spacing w:lineRule="auto" w:line="285" w:before="8" w:after="283"/>
        <w:jc w:val="both"/>
        <w:rPr/>
      </w:pPr>
      <w:r>
        <w:rPr>
          <w:rFonts w:ascii="Calibri;sans-serif" w:hAnsi="Calibri;sans-serif"/>
          <w:b w:val="false"/>
          <w:color w:val="000000"/>
          <w:sz w:val="22"/>
        </w:rPr>
        <w:t>not revoking the Release in accordance with the terms therein and in this Agreement, Executive will receive a lump sum severance payment equal to twelve (12) months (the “</w:t>
      </w:r>
      <w:r>
        <w:rPr>
          <w:rFonts w:ascii="Calibri;sans-serif" w:hAnsi="Calibri;sans-serif"/>
          <w:b/>
          <w:i/>
          <w:color w:val="000000"/>
          <w:sz w:val="22"/>
        </w:rPr>
        <w:t>CIC Severance Period</w:t>
      </w:r>
      <w:r>
        <w:rPr>
          <w:color w:val="000000"/>
        </w:rPr>
        <w:t>”</w:t>
      </w:r>
      <w:r>
        <w:rPr>
          <w:rFonts w:ascii="Calibri;sans-serif" w:hAnsi="Calibri;sans-serif"/>
          <w:b w:val="false"/>
          <w:color w:val="000000"/>
          <w:sz w:val="22"/>
        </w:rPr>
        <w:t>) of Executive’s Base Salary as in effect immediately prior to the 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pStyle w:val="TextBody"/>
        <w:spacing w:lineRule="auto" w:line="285" w:before="239"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u w:val="single"/>
        </w:rPr>
        <w:t>Continued Employee Benefits</w:t>
      </w:r>
      <w:r>
        <w:rPr>
          <w:rFonts w:ascii="Calibri;sans-serif" w:hAnsi="Calibri;sans-serif"/>
          <w:b w:val="false"/>
          <w:color w:val="000000"/>
          <w:sz w:val="22"/>
        </w:rPr>
        <w:t>.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w:t>
      </w:r>
    </w:p>
    <w:p>
      <w:pPr>
        <w:pStyle w:val="TextBody"/>
        <w:spacing w:before="239" w:after="283"/>
        <w:ind w:left="0" w:right="0" w:firstLine="215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22" name="Frame2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rPr>
          <w:rFonts w:ascii="Calibri;sans-serif" w:hAnsi="Calibri;sans-serif"/>
          <w:b w:val="false"/>
          <w:color w:val="000000"/>
          <w:sz w:val="22"/>
        </w:rPr>
      </w:pPr>
      <w:r>
        <w:rPr>
          <w:rFonts w:ascii="Calibri;sans-serif" w:hAnsi="Calibri;sans-serif"/>
          <w:b w:val="false"/>
          <w:color w:val="000000"/>
          <w:sz w:val="22"/>
        </w:rPr>
        <w:t>required to avoid adverse consequences to Executive or the Company under either Code Section 105(h) or the Patient Protection and Affordable Care Act of 2010.</w:t>
      </w:r>
    </w:p>
    <w:p>
      <w:pPr>
        <w:pStyle w:val="TextBody"/>
        <w:spacing w:lineRule="auto" w:line="285" w:before="239" w:after="283"/>
        <w:ind w:left="0" w:right="0" w:firstLine="2159"/>
        <w:jc w:val="both"/>
        <w:rPr/>
      </w:pPr>
      <w:r>
        <w:rPr>
          <w:rFonts w:ascii="Times New Roman;sans-serif" w:hAnsi="Times New Roman;sans-serif"/>
          <w:b w:val="false"/>
          <w:color w:val="000000"/>
          <w:sz w:val="24"/>
        </w:rPr>
        <w:t>(iv)</w:t>
      </w:r>
      <w:r>
        <w:rPr>
          <w:rFonts w:ascii="Calibri;sans-serif" w:hAnsi="Calibri;sans-serif"/>
          <w:b w:val="false"/>
          <w:color w:val="000000"/>
          <w:sz w:val="22"/>
          <w:u w:val="single"/>
        </w:rPr>
        <w:t>Equity</w:t>
      </w:r>
      <w:r>
        <w:rPr>
          <w:rFonts w:ascii="Calibri;sans-serif" w:hAnsi="Calibri;sans-serif"/>
          <w:b w:val="false"/>
          <w:color w:val="000000"/>
          <w:sz w:val="22"/>
        </w:rPr>
        <w:t>. All of Executive’s unvested and outstanding time-based equity awards shall immediately vest and become exercisable as of the date of Executive’s termination and any unvested and outstanding performance-based awards shall be subject to the terms and conditions of the Equity Plan and the award agreement by and between Executive and the Company pursuant to which such award was granted.</w:t>
      </w:r>
    </w:p>
    <w:p>
      <w:pPr>
        <w:pStyle w:val="TextBody"/>
        <w:spacing w:lineRule="auto" w:line="285" w:before="236" w:after="283"/>
        <w:ind w:left="0" w:right="0" w:firstLine="1439"/>
        <w:jc w:val="both"/>
        <w:rPr/>
      </w:pPr>
      <w:r>
        <w:rPr>
          <w:rFonts w:ascii="Times New Roman;sans-serif" w:hAnsi="Times New Roman;sans-serif"/>
          <w:b w:val="false"/>
          <w:color w:val="000000"/>
          <w:sz w:val="24"/>
        </w:rPr>
        <w:t>(c)</w:t>
      </w:r>
      <w:r>
        <w:rPr>
          <w:rFonts w:ascii="Calibri;sans-serif" w:hAnsi="Calibri;sans-serif"/>
          <w:b/>
          <w:color w:val="000000"/>
          <w:sz w:val="22"/>
          <w:u w:val="single"/>
        </w:rPr>
        <w:t>Disability; Death; Voluntary Resignation; Termination for Cause</w:t>
      </w:r>
      <w:r>
        <w:rPr>
          <w:rFonts w:ascii="Calibri;sans-serif" w:hAnsi="Calibri;sans-serif"/>
          <w:b w:val="false"/>
          <w:color w:val="000000"/>
          <w:sz w:val="22"/>
        </w:rPr>
        <w:t>. If Executive’s employment with the 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pStyle w:val="TextBody"/>
        <w:spacing w:lineRule="auto" w:line="285" w:before="241" w:after="283"/>
        <w:ind w:left="0" w:right="0" w:firstLine="1439"/>
        <w:jc w:val="both"/>
        <w:rPr/>
      </w:pPr>
      <w:r>
        <w:rPr>
          <w:rFonts w:ascii="Times New Roman;sans-serif" w:hAnsi="Times New Roman;sans-serif"/>
          <w:b w:val="false"/>
          <w:color w:val="000000"/>
          <w:sz w:val="24"/>
        </w:rPr>
        <w:t>(d)</w:t>
      </w:r>
      <w:r>
        <w:rPr>
          <w:rFonts w:ascii="Calibri;sans-serif" w:hAnsi="Calibri;sans-serif"/>
          <w:b/>
          <w:color w:val="000000"/>
          <w:sz w:val="22"/>
          <w:u w:val="single"/>
        </w:rPr>
        <w:t>Timing of Payments</w:t>
      </w:r>
      <w:r>
        <w:rPr>
          <w:rFonts w:ascii="Calibri;sans-serif" w:hAnsi="Calibri;sans-serif"/>
          <w:b w:val="false"/>
          <w:color w:val="000000"/>
          <w:sz w:val="22"/>
        </w:rPr>
        <w:t>. Subject to any specific timing provisions in Section 6(a), 6(b), or 6(c), as applicable, or the provisions of Section 7, payment of the severance and benefits hereunder shall be made or commence to be made as soon as practicable following Executive’s termination of employment.</w:t>
      </w:r>
    </w:p>
    <w:p>
      <w:pPr>
        <w:pStyle w:val="TextBody"/>
        <w:spacing w:lineRule="auto" w:line="285" w:before="239" w:after="283"/>
        <w:ind w:left="0" w:right="0" w:firstLine="1439"/>
        <w:jc w:val="both"/>
        <w:rPr/>
      </w:pPr>
      <w:r>
        <w:rPr>
          <w:rFonts w:ascii="Times New Roman;sans-serif" w:hAnsi="Times New Roman;sans-serif"/>
          <w:b w:val="false"/>
          <w:color w:val="000000"/>
          <w:sz w:val="24"/>
        </w:rPr>
        <w:t>(e)</w:t>
      </w:r>
      <w:r>
        <w:rPr>
          <w:rFonts w:ascii="Calibri;sans-serif" w:hAnsi="Calibri;sans-serif"/>
          <w:b/>
          <w:color w:val="000000"/>
          <w:sz w:val="22"/>
          <w:u w:val="single"/>
        </w:rPr>
        <w:t>Exclusive Remedy</w:t>
      </w:r>
      <w:r>
        <w:rPr>
          <w:rFonts w:ascii="Calibri;sans-serif" w:hAnsi="Calibri;sans-serif"/>
          <w:b w:val="false"/>
          <w:color w:val="000000"/>
          <w:sz w:val="22"/>
        </w:rPr>
        <w:t>. In the event of a termination of Executive’s employment with the Company (or any parent, 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pStyle w:val="TextBody"/>
        <w:spacing w:lineRule="auto" w:line="285" w:before="241" w:after="283"/>
        <w:ind w:left="0" w:right="0" w:firstLine="1439"/>
        <w:jc w:val="both"/>
        <w:rPr/>
      </w:pPr>
      <w:r>
        <w:rPr>
          <w:rFonts w:ascii="Times New Roman;sans-serif" w:hAnsi="Times New Roman;sans-serif"/>
          <w:b w:val="false"/>
          <w:color w:val="000000"/>
          <w:sz w:val="24"/>
        </w:rPr>
        <w:t>(f)</w:t>
      </w:r>
      <w:r>
        <w:rPr>
          <w:rFonts w:ascii="Calibri;sans-serif" w:hAnsi="Calibri;sans-serif"/>
          <w:b/>
          <w:color w:val="000000"/>
          <w:sz w:val="22"/>
          <w:u w:val="single"/>
        </w:rPr>
        <w:t>No Duty to Mitigate</w:t>
      </w:r>
      <w:r>
        <w:rPr>
          <w:rFonts w:ascii="Calibri;sans-serif" w:hAnsi="Calibri;sans-serif"/>
          <w:b w:val="false"/>
          <w:color w:val="000000"/>
          <w:sz w:val="22"/>
        </w:rPr>
        <w:t>. Executive will not be required to mitigate the amount of any payment contemplated by this Agreement, nor will any earnings that Executive may receive from any other source reduce any such payment.</w:t>
      </w:r>
    </w:p>
    <w:p>
      <w:pPr>
        <w:pStyle w:val="TextBody"/>
        <w:spacing w:lineRule="auto" w:line="240" w:before="238" w:after="283"/>
        <w:ind w:left="0" w:right="0" w:hanging="721"/>
        <w:rPr/>
      </w:pPr>
      <w:r>
        <w:rPr>
          <w:rFonts w:ascii="Times New Roman;sans-serif" w:hAnsi="Times New Roman;sans-serif"/>
          <w:b w:val="false"/>
          <w:color w:val="000000"/>
          <w:sz w:val="24"/>
        </w:rPr>
        <w:t>7.</w:t>
      </w:r>
      <w:r>
        <w:rPr>
          <w:rFonts w:ascii="Calibri;sans-serif" w:hAnsi="Calibri;sans-serif"/>
          <w:b/>
          <w:color w:val="000000"/>
          <w:sz w:val="22"/>
          <w:u w:val="single"/>
        </w:rPr>
        <w:t>Conditions to Receipt of Severance</w:t>
      </w:r>
      <w:r>
        <w:rPr>
          <w:rFonts w:ascii="Calibri;sans-serif" w:hAnsi="Calibri;sans-serif"/>
          <w:b w:val="false"/>
          <w:color w:val="000000"/>
          <w:sz w:val="22"/>
        </w:rPr>
        <w:t>.</w:t>
      </w:r>
    </w:p>
    <w:p>
      <w:pPr>
        <w:pStyle w:val="TextBody"/>
        <w:spacing w:lineRule="auto" w:line="285" w:before="243"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Release of Claims Agreement</w:t>
      </w:r>
      <w:r>
        <w:rPr>
          <w:rFonts w:ascii="Calibri;sans-serif" w:hAnsi="Calibri;sans-serif"/>
          <w:b w:val="false"/>
          <w:color w:val="000000"/>
          <w:sz w:val="22"/>
        </w:rPr>
        <w:t xml:space="preserve">. The receipt of any severance payments or benefits pursuant to Section 6 of this Agreement is subject to Executive signing and not revoking a separation agreement and release of claims in a form substantially similar, as determined by the Company, as that attached hereto as </w:t>
      </w:r>
      <w:r>
        <w:rPr>
          <w:rFonts w:ascii="Calibri;sans-serif" w:hAnsi="Calibri;sans-serif"/>
          <w:b w:val="false"/>
          <w:color w:val="000000"/>
          <w:sz w:val="22"/>
          <w:u w:val="single"/>
        </w:rPr>
        <w:t>Attachment A</w:t>
      </w:r>
      <w:r>
        <w:rPr>
          <w:color w:val="000000"/>
        </w:rPr>
        <w:t xml:space="preserve"> </w:t>
      </w:r>
      <w:r>
        <w:rPr>
          <w:rFonts w:ascii="Calibri;sans-serif" w:hAnsi="Calibri;sans-serif"/>
          <w:b w:val="false"/>
          <w:color w:val="000000"/>
          <w:sz w:val="22"/>
        </w:rPr>
        <w:t>(the “</w:t>
      </w:r>
      <w:r>
        <w:rPr>
          <w:rFonts w:ascii="Calibri;sans-serif" w:hAnsi="Calibri;sans-serif"/>
          <w:b/>
          <w:i/>
          <w:color w:val="000000"/>
          <w:sz w:val="22"/>
        </w:rPr>
        <w:t>Release</w:t>
      </w:r>
      <w:r>
        <w:rPr>
          <w:color w:val="000000"/>
        </w:rPr>
        <w:t>”</w:t>
      </w:r>
      <w:r>
        <w:rPr>
          <w:rFonts w:ascii="Calibri;sans-serif" w:hAnsi="Calibri;sans-serif"/>
          <w:b w:val="false"/>
          <w:color w:val="000000"/>
          <w:sz w:val="22"/>
        </w:rPr>
        <w:t>), which must become effective no later than the sixtieth (60th) day following Executive’s termination of employment (the “</w:t>
      </w:r>
      <w:r>
        <w:rPr>
          <w:rFonts w:ascii="Calibri;sans-serif" w:hAnsi="Calibri;sans-serif"/>
          <w:b/>
          <w:i/>
          <w:color w:val="000000"/>
          <w:sz w:val="22"/>
        </w:rPr>
        <w:t>Release Deadline</w:t>
      </w:r>
      <w:r>
        <w:rPr>
          <w:color w:val="000000"/>
        </w:rPr>
        <w:t>”</w:t>
      </w:r>
      <w:r>
        <w:rPr>
          <w:rFonts w:ascii="Calibri;sans-serif" w:hAnsi="Calibri;sans-serif"/>
          <w:b w:val="false"/>
          <w:color w:val="000000"/>
          <w:sz w:val="22"/>
        </w:rPr>
        <w:t>), and if not, Executive will forfeit any right to severance payments or benefits under this Agreement. To become effective, the Release must be timely</w:t>
      </w:r>
    </w:p>
    <w:p>
      <w:pPr>
        <w:pStyle w:val="TextBody"/>
        <w:spacing w:before="243" w:after="283"/>
        <w:ind w:left="0" w:right="0" w:firstLine="143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23" name="Frame2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jc w:val="both"/>
        <w:rPr>
          <w:rFonts w:ascii="Calibri;sans-serif" w:hAnsi="Calibri;sans-serif"/>
          <w:b w:val="false"/>
          <w:color w:val="000000"/>
          <w:sz w:val="22"/>
        </w:rPr>
      </w:pPr>
      <w:r>
        <w:rPr>
          <w:rFonts w:ascii="Calibri;sans-serif" w:hAnsi="Calibri;sans-serif"/>
          <w:b w:val="false"/>
          <w:color w:val="000000"/>
          <w:sz w:val="22"/>
        </w:rPr>
        <w:t>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 (ii) the date the Release becomes effective, or (iii) Section 6(c)(ii); provided that the first payment shall include all amounts that would have been paid to Executive if payment had commenced on the date of Executive’s termination of employment.</w:t>
      </w:r>
    </w:p>
    <w:p>
      <w:pPr>
        <w:pStyle w:val="TextBody"/>
        <w:spacing w:lineRule="auto" w:line="285" w:before="245"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Confidentiality Agreement</w:t>
      </w:r>
      <w:r>
        <w:rPr>
          <w:rFonts w:ascii="Calibri;sans-serif" w:hAnsi="Calibri;sans-serif"/>
          <w:b w:val="false"/>
          <w:color w:val="000000"/>
          <w:sz w:val="22"/>
        </w:rPr>
        <w:t>. Executive’s receipt of any payments or benefits under Section 6 will be subject to Executive continuing to comply with the terms of the Confidentiality Agreement (as defined in Section 11(a) below).</w:t>
      </w:r>
    </w:p>
    <w:p>
      <w:pPr>
        <w:pStyle w:val="TextBody"/>
        <w:spacing w:lineRule="auto" w:line="240" w:before="238" w:after="283"/>
        <w:ind w:left="0" w:right="0" w:hanging="721"/>
        <w:rPr/>
      </w:pPr>
      <w:r>
        <w:rPr>
          <w:rFonts w:ascii="Times New Roman;sans-serif" w:hAnsi="Times New Roman;sans-serif"/>
          <w:b w:val="false"/>
          <w:color w:val="000000"/>
          <w:sz w:val="24"/>
        </w:rPr>
        <w:t>(c)</w:t>
      </w:r>
      <w:r>
        <w:rPr>
          <w:rFonts w:ascii="Calibri;sans-serif" w:hAnsi="Calibri;sans-serif"/>
          <w:b/>
          <w:color w:val="000000"/>
          <w:sz w:val="22"/>
          <w:u w:val="single"/>
        </w:rPr>
        <w:t>Section 409A</w:t>
      </w:r>
      <w:r>
        <w:rPr>
          <w:rFonts w:ascii="Calibri;sans-serif" w:hAnsi="Calibri;sans-serif"/>
          <w:b w:val="false"/>
          <w:color w:val="000000"/>
          <w:sz w:val="22"/>
        </w:rPr>
        <w:t>.</w:t>
      </w:r>
    </w:p>
    <w:p>
      <w:pPr>
        <w:pStyle w:val="TextBody"/>
        <w:spacing w:lineRule="auto" w:line="285" w:before="242" w:after="283"/>
        <w:ind w:left="0" w:right="0" w:firstLine="2159"/>
        <w:jc w:val="both"/>
        <w:rPr/>
      </w:pPr>
      <w:r>
        <w:rPr>
          <w:rFonts w:ascii="Times New Roman;sans-serif" w:hAnsi="Times New Roman;sans-serif"/>
          <w:b w:val="false"/>
          <w:color w:val="000000"/>
          <w:sz w:val="24"/>
        </w:rPr>
        <w:t>(i)</w:t>
      </w:r>
      <w:r>
        <w:rPr>
          <w:rFonts w:ascii="Calibri;sans-serif" w:hAnsi="Calibri;sans-serif"/>
          <w:b w:val="false"/>
          <w:color w:val="000000"/>
          <w:sz w:val="22"/>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Calibri;sans-serif" w:hAnsi="Calibri;sans-serif"/>
          <w:b/>
          <w:i/>
          <w:color w:val="000000"/>
          <w:sz w:val="22"/>
        </w:rPr>
        <w:t>Deferred Payments</w:t>
      </w:r>
      <w:r>
        <w:rPr>
          <w:color w:val="000000"/>
        </w:rPr>
        <w:t>”</w:t>
      </w:r>
      <w:r>
        <w:rPr>
          <w:rFonts w:ascii="Calibri;sans-serif" w:hAnsi="Calibri;sans-serif"/>
          <w:b w:val="false"/>
          <w:color w:val="000000"/>
          <w:sz w:val="22"/>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spacing w:lineRule="auto" w:line="285" w:before="243"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rPr>
        <w:t>Notwithstanding anything to the contrary in this Agreement, if Executive is a “</w:t>
      </w:r>
      <w:r>
        <w:rPr>
          <w:rFonts w:ascii="Calibri;sans-serif" w:hAnsi="Calibri;sans-serif"/>
          <w:b/>
          <w:i/>
          <w:color w:val="000000"/>
          <w:sz w:val="22"/>
        </w:rPr>
        <w:t>specified employee</w:t>
      </w:r>
      <w:r>
        <w:rPr>
          <w:color w:val="000000"/>
        </w:rPr>
        <w:t xml:space="preserve">” </w:t>
      </w:r>
      <w:r>
        <w:rPr>
          <w:rFonts w:ascii="Calibri;sans-serif" w:hAnsi="Calibri;sans-serif"/>
          <w:b w:val="false"/>
          <w:color w:val="000000"/>
          <w:sz w:val="22"/>
        </w:rPr>
        <w:t>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1.409A- 2(b)(2) of the Treasury Regulations.</w:t>
      </w:r>
    </w:p>
    <w:p>
      <w:pPr>
        <w:pStyle w:val="TextBody"/>
        <w:spacing w:before="243" w:after="283"/>
        <w:ind w:left="0" w:right="0" w:firstLine="215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24" name="Frame2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rPr>
        <w:t>Without limitation, any amount paid under this Agreement that satisfies the requirements of the “short-term deferral” rule set forth in Section 1.409A-1(b)(4) of the Treasury Regulations is not intended to constitute Deferred Payments for purposes of clause</w:t>
      </w:r>
    </w:p>
    <w:p>
      <w:pPr>
        <w:pStyle w:val="TextBody"/>
        <w:spacing w:lineRule="auto" w:line="240" w:before="1" w:after="283"/>
        <w:ind w:left="0" w:right="0" w:hanging="227"/>
        <w:jc w:val="both"/>
        <w:rPr>
          <w:rFonts w:ascii="Calibri;sans-serif" w:hAnsi="Calibri;sans-serif"/>
          <w:b w:val="false"/>
          <w:color w:val="000000"/>
          <w:sz w:val="22"/>
        </w:rPr>
      </w:pPr>
      <w:r>
        <w:rPr>
          <w:rFonts w:ascii="Calibri;sans-serif" w:hAnsi="Calibri;sans-serif"/>
          <w:b w:val="false"/>
          <w:color w:val="000000"/>
          <w:sz w:val="22"/>
        </w:rPr>
        <w:t>(i)above.</w:t>
      </w:r>
    </w:p>
    <w:p>
      <w:pPr>
        <w:pStyle w:val="TextBody"/>
        <w:spacing w:before="7" w:after="283"/>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(iv)</w:t>
      </w:r>
      <w:r>
        <w:rPr>
          <w:rFonts w:ascii="Calibri;sans-serif" w:hAnsi="Calibri;sans-serif"/>
          <w:b w:val="false"/>
          <w:color w:val="000000"/>
          <w:sz w:val="22"/>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pStyle w:val="TextBody"/>
        <w:spacing w:lineRule="auto" w:line="285" w:before="239" w:after="283"/>
        <w:ind w:left="0" w:right="0" w:firstLine="2159"/>
        <w:jc w:val="both"/>
        <w:rPr/>
      </w:pPr>
      <w:r>
        <w:rPr>
          <w:rFonts w:ascii="Times New Roman;sans-serif" w:hAnsi="Times New Roman;sans-serif"/>
          <w:b w:val="false"/>
          <w:color w:val="000000"/>
          <w:sz w:val="24"/>
        </w:rPr>
        <w:t>(v)</w:t>
      </w:r>
      <w:r>
        <w:rPr>
          <w:rFonts w:ascii="Calibri;sans-serif" w:hAnsi="Calibri;sans-serif"/>
          <w:b w:val="false"/>
          <w:color w:val="000000"/>
          <w:sz w:val="22"/>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pStyle w:val="TextBody"/>
        <w:spacing w:lineRule="auto" w:line="285" w:before="240" w:after="283"/>
        <w:ind w:left="0" w:right="0" w:firstLine="2159"/>
        <w:jc w:val="both"/>
        <w:rPr/>
      </w:pPr>
      <w:r>
        <w:rPr>
          <w:rFonts w:ascii="Times New Roman;sans-serif" w:hAnsi="Times New Roman;sans-serif"/>
          <w:b w:val="false"/>
          <w:color w:val="000000"/>
          <w:sz w:val="24"/>
        </w:rPr>
        <w:t>(vi)</w:t>
      </w:r>
      <w:r>
        <w:rPr>
          <w:rFonts w:ascii="Calibri;sans-serif" w:hAnsi="Calibri;sans-serif"/>
          <w:b w:val="false"/>
          <w:color w:val="000000"/>
          <w:sz w:val="22"/>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w:t>
      </w:r>
    </w:p>
    <w:p>
      <w:pPr>
        <w:pStyle w:val="TextBody"/>
        <w:spacing w:lineRule="auto" w:line="285" w:before="240" w:after="283"/>
        <w:ind w:left="0" w:right="0" w:firstLine="719"/>
        <w:rPr/>
      </w:pPr>
      <w:r>
        <w:rPr>
          <w:rFonts w:ascii="Times New Roman;sans-serif" w:hAnsi="Times New Roman;sans-serif"/>
          <w:b w:val="false"/>
          <w:color w:val="000000"/>
          <w:sz w:val="24"/>
        </w:rPr>
        <w:t>8.</w:t>
      </w:r>
      <w:r>
        <w:rPr>
          <w:rFonts w:ascii="Calibri;sans-serif" w:hAnsi="Calibri;sans-serif"/>
          <w:b/>
          <w:color w:val="000000"/>
          <w:sz w:val="22"/>
          <w:u w:val="single"/>
        </w:rPr>
        <w:t>Definition of Terms</w:t>
      </w:r>
      <w:r>
        <w:rPr>
          <w:rFonts w:ascii="Calibri;sans-serif" w:hAnsi="Calibri;sans-serif"/>
          <w:b w:val="false"/>
          <w:color w:val="000000"/>
          <w:sz w:val="22"/>
        </w:rPr>
        <w:t>. The following terms referred to in this Agreement will have the following meanings:</w:t>
      </w:r>
    </w:p>
    <w:p>
      <w:pPr>
        <w:pStyle w:val="TextBody"/>
        <w:spacing w:lineRule="auto" w:line="240" w:before="238" w:after="283"/>
        <w:ind w:left="0" w:right="0" w:hanging="721"/>
        <w:rPr/>
      </w:pPr>
      <w:r>
        <w:rPr>
          <w:rFonts w:ascii="Times New Roman;sans-serif" w:hAnsi="Times New Roman;sans-serif"/>
          <w:b w:val="false"/>
          <w:color w:val="000000"/>
          <w:sz w:val="24"/>
        </w:rPr>
        <w:t>(a)</w:t>
      </w:r>
      <w:r>
        <w:rPr>
          <w:rFonts w:ascii="Calibri;sans-serif" w:hAnsi="Calibri;sans-serif"/>
          <w:b/>
          <w:color w:val="000000"/>
          <w:sz w:val="22"/>
          <w:u w:val="single"/>
        </w:rPr>
        <w:t>Cause</w:t>
      </w:r>
      <w:r>
        <w:rPr>
          <w:rFonts w:ascii="Calibri;sans-serif" w:hAnsi="Calibri;sans-serif"/>
          <w:b w:val="false"/>
          <w:color w:val="000000"/>
          <w:sz w:val="22"/>
        </w:rPr>
        <w:t>. “Cause” means:</w:t>
      </w:r>
    </w:p>
    <w:p>
      <w:pPr>
        <w:pStyle w:val="TextBody"/>
        <w:spacing w:lineRule="auto" w:line="285" w:before="242" w:after="283"/>
        <w:ind w:left="0" w:right="0" w:firstLine="2159"/>
        <w:jc w:val="both"/>
        <w:rPr/>
      </w:pPr>
      <w:r>
        <w:rPr>
          <w:rFonts w:ascii="Times New Roman;sans-serif" w:hAnsi="Times New Roman;sans-serif"/>
          <w:b w:val="false"/>
          <w:color w:val="000000"/>
          <w:sz w:val="24"/>
        </w:rPr>
        <w:t>(i)</w:t>
      </w:r>
      <w:r>
        <w:rPr>
          <w:rFonts w:ascii="Calibri;sans-serif" w:hAnsi="Calibri;sans-serif"/>
          <w:b w:val="false"/>
          <w:color w:val="000000"/>
          <w:sz w:val="22"/>
        </w:rPr>
        <w:t>Executive’s gross negligence or willful misconduct in the performance of his or her duties and responsibilities to the Company or Executive’s violation of any written Company policy;</w:t>
      </w:r>
    </w:p>
    <w:p>
      <w:pPr>
        <w:pStyle w:val="TextBody"/>
        <w:spacing w:lineRule="auto" w:line="285" w:before="239"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rPr>
        <w:t>Executive’s commission of any act of fraud, theft, embezzlement, financial dishonesty, misappropriation from the Company or any other willful misconduct that has caused or is reasonably expected to result in injury to the Company;</w:t>
      </w:r>
    </w:p>
    <w:p>
      <w:pPr>
        <w:pStyle w:val="TextBody"/>
        <w:spacing w:lineRule="auto" w:line="285" w:before="235"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rPr>
        <w:t>Executive’s conviction of, or pleading guilty or nolo contendre to, any felony or a lesser crime involving dishonesty or moral turpitude;</w:t>
      </w:r>
    </w:p>
    <w:p>
      <w:pPr>
        <w:pStyle w:val="TextBody"/>
        <w:spacing w:before="235" w:after="283"/>
        <w:ind w:left="0" w:right="0" w:firstLine="215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25" name="Frame2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(iv)</w:t>
      </w:r>
      <w:r>
        <w:rPr>
          <w:rFonts w:ascii="Calibri;sans-serif" w:hAnsi="Calibri;sans-serif"/>
          <w:b w:val="false"/>
          <w:color w:val="000000"/>
          <w:sz w:val="22"/>
        </w:rPr>
        <w:t>Executive’s unlawful use (including being under the influence) or possession of illegal drugs on the premises of the Company or while performing Executive’s duties and responsibilities for the Company</w:t>
      </w:r>
    </w:p>
    <w:p>
      <w:pPr>
        <w:pStyle w:val="TextBody"/>
        <w:spacing w:lineRule="auto" w:line="285" w:before="236" w:after="283"/>
        <w:ind w:left="0" w:right="0" w:firstLine="2159"/>
        <w:jc w:val="both"/>
        <w:rPr/>
      </w:pPr>
      <w:r>
        <w:rPr>
          <w:rFonts w:ascii="Times New Roman;sans-serif" w:hAnsi="Times New Roman;sans-serif"/>
          <w:b w:val="false"/>
          <w:color w:val="000000"/>
          <w:sz w:val="24"/>
        </w:rPr>
        <w:t>(v)</w:t>
      </w:r>
      <w:r>
        <w:rPr>
          <w:rFonts w:ascii="Calibri;sans-serif" w:hAnsi="Calibri;sans-serif"/>
          <w:b w:val="false"/>
          <w:color w:val="000000"/>
          <w:sz w:val="22"/>
        </w:rPr>
        <w:t>Executive’s unauthorized use or disclosure of any proprietary information or trade secrets of the Company or any other party to whom Executive owes an obligation of nondisclosure as a result of his or her relationship with the Company; or</w:t>
      </w:r>
    </w:p>
    <w:p>
      <w:pPr>
        <w:pStyle w:val="TextBody"/>
        <w:spacing w:lineRule="auto" w:line="285" w:before="238" w:after="283"/>
        <w:ind w:left="0" w:right="0" w:firstLine="2159"/>
        <w:jc w:val="both"/>
        <w:rPr/>
      </w:pPr>
      <w:r>
        <w:rPr>
          <w:rFonts w:ascii="Times New Roman;sans-serif" w:hAnsi="Times New Roman;sans-serif"/>
          <w:b w:val="false"/>
          <w:color w:val="000000"/>
          <w:sz w:val="24"/>
        </w:rPr>
        <w:t>(vi)</w:t>
      </w:r>
      <w:r>
        <w:rPr>
          <w:rFonts w:ascii="Calibri;sans-serif" w:hAnsi="Calibri;sans-serif"/>
          <w:b w:val="false"/>
          <w:color w:val="000000"/>
          <w:sz w:val="22"/>
        </w:rPr>
        <w:t>Executive’s material breach of any of his or her obligations under any written agreement or covenant with the Company.</w:t>
      </w:r>
    </w:p>
    <w:p>
      <w:pPr>
        <w:pStyle w:val="TextBody"/>
        <w:spacing w:lineRule="auto" w:line="285" w:before="236"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Change in Control</w:t>
      </w:r>
      <w:r>
        <w:rPr>
          <w:rFonts w:ascii="Calibri;sans-serif" w:hAnsi="Calibri;sans-serif"/>
          <w:b w:val="false"/>
          <w:color w:val="000000"/>
          <w:sz w:val="22"/>
        </w:rPr>
        <w:t>. “Change in Control” shall have the meaning ascribed to such term in the Equity Plan.</w:t>
      </w:r>
    </w:p>
    <w:p>
      <w:pPr>
        <w:pStyle w:val="TextBody"/>
        <w:spacing w:lineRule="auto" w:line="285" w:before="236" w:after="283"/>
        <w:ind w:left="0" w:right="0" w:firstLine="1439"/>
        <w:jc w:val="both"/>
        <w:rPr/>
      </w:pPr>
      <w:r>
        <w:rPr>
          <w:rFonts w:ascii="Times New Roman;sans-serif" w:hAnsi="Times New Roman;sans-serif"/>
          <w:b w:val="false"/>
          <w:color w:val="000000"/>
          <w:sz w:val="24"/>
        </w:rPr>
        <w:t>(c)</w:t>
      </w:r>
      <w:r>
        <w:rPr>
          <w:rFonts w:ascii="Calibri;sans-serif" w:hAnsi="Calibri;sans-serif"/>
          <w:b/>
          <w:color w:val="000000"/>
          <w:sz w:val="22"/>
          <w:u w:val="single"/>
        </w:rPr>
        <w:t>Change in Control Protection Period</w:t>
      </w:r>
      <w:r>
        <w:rPr>
          <w:rFonts w:ascii="Calibri;sans-serif" w:hAnsi="Calibri;sans-serif"/>
          <w:b w:val="false"/>
          <w:color w:val="000000"/>
          <w:sz w:val="22"/>
        </w:rPr>
        <w:t>. “Change in Control Protection Period” means the period beginning one month prior to and ending twelve (12) months immediately following the consummation of a Change in Control.</w:t>
      </w:r>
    </w:p>
    <w:p>
      <w:pPr>
        <w:pStyle w:val="TextBody"/>
        <w:spacing w:lineRule="auto" w:line="240" w:before="238" w:after="283"/>
        <w:ind w:left="0" w:right="0" w:hanging="721"/>
        <w:rPr/>
      </w:pPr>
      <w:r>
        <w:rPr>
          <w:rFonts w:ascii="Calibri;sans-serif" w:hAnsi="Calibri;sans-serif"/>
          <w:b w:val="false"/>
          <w:color w:val="000000"/>
          <w:sz w:val="24"/>
        </w:rPr>
        <w:t>(d)</w:t>
      </w:r>
      <w:r>
        <w:rPr>
          <w:rFonts w:ascii="Calibri;sans-serif" w:hAnsi="Calibri;sans-serif"/>
          <w:b/>
          <w:color w:val="000000"/>
          <w:sz w:val="22"/>
          <w:u w:val="single"/>
        </w:rPr>
        <w:t>Code</w:t>
      </w:r>
      <w:r>
        <w:rPr>
          <w:rFonts w:ascii="Calibri;sans-serif" w:hAnsi="Calibri;sans-serif"/>
          <w:b w:val="false"/>
          <w:color w:val="000000"/>
          <w:sz w:val="22"/>
        </w:rPr>
        <w:t>. “Code” means the Internal Revenue Code of 1986, as amended.</w:t>
      </w:r>
    </w:p>
    <w:p>
      <w:pPr>
        <w:pStyle w:val="TextBody"/>
        <w:spacing w:lineRule="auto" w:line="285" w:before="245" w:after="283"/>
        <w:ind w:left="0" w:right="0" w:firstLine="1439"/>
        <w:jc w:val="both"/>
        <w:rPr/>
      </w:pPr>
      <w:r>
        <w:rPr>
          <w:rFonts w:ascii="Times New Roman;sans-serif" w:hAnsi="Times New Roman;sans-serif"/>
          <w:b w:val="false"/>
          <w:color w:val="000000"/>
          <w:sz w:val="24"/>
        </w:rPr>
        <w:t>(e)</w:t>
      </w:r>
      <w:r>
        <w:rPr>
          <w:rFonts w:ascii="Calibri;sans-serif" w:hAnsi="Calibri;sans-serif"/>
          <w:b/>
          <w:color w:val="000000"/>
          <w:sz w:val="22"/>
          <w:u w:val="single"/>
        </w:rPr>
        <w:t>Disability</w:t>
      </w:r>
      <w:r>
        <w:rPr>
          <w:rFonts w:ascii="Calibri;sans-serif" w:hAnsi="Calibri;sans-serif"/>
          <w:b w:val="false"/>
          <w:color w:val="000000"/>
          <w:sz w:val="22"/>
        </w:rPr>
        <w:t>. “Disability” or “Disabled” means that Executive is unable to engage in any substantial gainful activity by reason of any medically determinable physical or mental impairment which can be expected to result in death or which has lasted, or can be expected to last, for a continuous period of not less than one (1) year.</w:t>
      </w:r>
    </w:p>
    <w:p>
      <w:pPr>
        <w:pStyle w:val="TextBody"/>
        <w:spacing w:lineRule="auto" w:line="285" w:before="237" w:after="283"/>
        <w:ind w:left="0" w:right="0" w:firstLine="1439"/>
        <w:jc w:val="both"/>
        <w:rPr/>
      </w:pPr>
      <w:r>
        <w:rPr>
          <w:rFonts w:ascii="Times New Roman;sans-serif" w:hAnsi="Times New Roman;sans-serif"/>
          <w:b w:val="false"/>
          <w:color w:val="000000"/>
          <w:sz w:val="24"/>
        </w:rPr>
        <w:t>(f)</w:t>
      </w:r>
      <w:r>
        <w:rPr>
          <w:rFonts w:ascii="Calibri;sans-serif" w:hAnsi="Calibri;sans-serif"/>
          <w:b/>
          <w:color w:val="000000"/>
          <w:sz w:val="22"/>
          <w:u w:val="single"/>
        </w:rPr>
        <w:t>Good Reason</w:t>
      </w:r>
      <w:r>
        <w:rPr>
          <w:rFonts w:ascii="Calibri;sans-serif" w:hAnsi="Calibri;sans-serif"/>
          <w:b w:val="false"/>
          <w:color w:val="000000"/>
          <w:sz w:val="22"/>
        </w:rPr>
        <w:t>. “Good Reason” means Executive’s resignation or termination of employment within thirty (30) days following the expiration of any cure period (discussed below) following the occurrence of one or more of the following without Executive’s consent:</w:t>
      </w:r>
    </w:p>
    <w:p>
      <w:pPr>
        <w:pStyle w:val="TextBody"/>
        <w:spacing w:before="0" w:after="0"/>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w:t>
      </w:r>
      <w:r>
        <w:rPr>
          <w:rFonts w:ascii="Calibri;sans-serif" w:hAnsi="Calibri;sans-serif"/>
          <w:b w:val="false"/>
          <w:color w:val="000000"/>
          <w:sz w:val="22"/>
        </w:rPr>
        <w:t>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Chief Growth Officer of the Company remains as such following a Change in Control but is not made the Chief Growth Officer of the acquiring corporation) will not constitute Good Reason;</w:t>
      </w:r>
    </w:p>
    <w:p>
      <w:pPr>
        <w:pStyle w:val="TextBody"/>
        <w:spacing w:before="3" w:after="283"/>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pStyle w:val="TextBody"/>
        <w:spacing w:before="0" w:after="0"/>
        <w:rPr/>
      </w:pPr>
      <w:r>
        <w:rPr/>
      </w:r>
    </w:p>
    <w:p>
      <w:pPr>
        <w:pStyle w:val="TextBody"/>
        <w:spacing w:lineRule="auto" w:line="285" w:before="91" w:after="283"/>
        <w:ind w:left="0" w:right="0" w:firstLine="2159"/>
        <w:jc w:val="both"/>
        <w:rPr/>
      </w:pPr>
      <w:r>
        <w:rPr>
          <w:rFonts w:ascii="Times New Roman;sans-serif" w:hAnsi="Times New Roman;sans-serif"/>
          <w:b w:val="false"/>
          <w:color w:val="000000"/>
          <w:sz w:val="24"/>
        </w:rPr>
        <w:t>(iii)</w:t>
      </w:r>
      <w:r>
        <w:rPr>
          <w:rFonts w:ascii="Calibri;sans-serif" w:hAnsi="Calibri;sans-serif"/>
          <w:b w:val="false"/>
          <w:color w:val="000000"/>
          <w:sz w:val="22"/>
        </w:rPr>
        <w:t xml:space="preserve">A material change in the geographic location of Executive’s primary work facility or location; provided, that a relocation of less than fifty (50) miles from Executive’s then-present work location will not be considered a material change in geographic location; or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26" name="Frame2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lineRule="auto" w:line="285" w:before="91" w:after="283"/>
        <w:ind w:left="0" w:right="0" w:firstLine="2159"/>
        <w:jc w:val="both"/>
        <w:rPr/>
      </w:pPr>
      <w:r>
        <w:rPr>
          <w:rFonts w:ascii="Times New Roman;sans-serif" w:hAnsi="Times New Roman;sans-serif"/>
          <w:b w:val="false"/>
          <w:color w:val="000000"/>
          <w:sz w:val="24"/>
        </w:rPr>
        <w:t>(iv.)</w:t>
      </w:r>
      <w:r>
        <w:rPr>
          <w:rFonts w:ascii="Calibri;sans-serif" w:hAnsi="Calibri;sans-serif"/>
          <w:b w:val="false"/>
          <w:color w:val="000000"/>
          <w:sz w:val="22"/>
        </w:rPr>
        <w:t>A material breach by the Company of a material provision of this Agreement.</w:t>
      </w:r>
    </w:p>
    <w:p>
      <w:pPr>
        <w:pStyle w:val="TextBody"/>
        <w:spacing w:lineRule="auto" w:line="285" w:before="91" w:after="283"/>
        <w:ind w:left="0" w:right="0" w:firstLine="720"/>
        <w:jc w:val="both"/>
        <w:rPr>
          <w:rFonts w:ascii="Calibri;sans-serif" w:hAnsi="Calibri;sans-serif"/>
          <w:b w:val="false"/>
          <w:color w:val="000000"/>
          <w:sz w:val="22"/>
        </w:rPr>
      </w:pPr>
      <w:r>
        <w:rPr>
          <w:rFonts w:ascii="Calibri;sans-serif" w:hAnsi="Calibri;sans-serif"/>
          <w:b w:val="false"/>
          <w:color w:val="000000"/>
          <w:sz w:val="22"/>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pStyle w:val="TextBody"/>
        <w:spacing w:lineRule="auto" w:line="285" w:before="237" w:after="283"/>
        <w:ind w:left="0" w:right="0" w:firstLine="1439"/>
        <w:jc w:val="both"/>
        <w:rPr/>
      </w:pPr>
      <w:r>
        <w:rPr>
          <w:rFonts w:ascii="Times New Roman;sans-serif" w:hAnsi="Times New Roman;sans-serif"/>
          <w:b w:val="false"/>
          <w:color w:val="000000"/>
          <w:sz w:val="24"/>
        </w:rPr>
        <w:t>(g)</w:t>
      </w:r>
      <w:r>
        <w:rPr>
          <w:rFonts w:ascii="Calibri;sans-serif" w:hAnsi="Calibri;sans-serif"/>
          <w:b/>
          <w:color w:val="000000"/>
          <w:sz w:val="22"/>
          <w:u w:val="single"/>
        </w:rPr>
        <w:t>Governmental Authority</w:t>
      </w:r>
      <w:r>
        <w:rPr>
          <w:rFonts w:ascii="Calibri;sans-serif" w:hAnsi="Calibri;sans-serif"/>
          <w:b w:val="false"/>
          <w:color w:val="000000"/>
          <w:sz w:val="22"/>
        </w:rPr>
        <w:t>. “Governmental Authority” means any federal, state, municipal, foreign or other government, governmental department, commission, board, bureau, agency or instrumentality, or any private or public court or tribunal.</w:t>
      </w:r>
    </w:p>
    <w:p>
      <w:pPr>
        <w:pStyle w:val="TextBody"/>
        <w:spacing w:lineRule="auto" w:line="285" w:before="239" w:after="283"/>
        <w:ind w:left="0" w:right="0" w:firstLine="1439"/>
        <w:jc w:val="both"/>
        <w:rPr/>
      </w:pPr>
      <w:r>
        <w:rPr>
          <w:rFonts w:ascii="Times New Roman;sans-serif" w:hAnsi="Times New Roman;sans-serif"/>
          <w:b w:val="false"/>
          <w:color w:val="000000"/>
          <w:sz w:val="24"/>
        </w:rPr>
        <w:t>(h)</w:t>
      </w:r>
      <w:r>
        <w:rPr>
          <w:rFonts w:ascii="Calibri;sans-serif" w:hAnsi="Calibri;sans-serif"/>
          <w:b/>
          <w:color w:val="000000"/>
          <w:sz w:val="22"/>
          <w:u w:val="single"/>
        </w:rPr>
        <w:t>Person</w:t>
      </w:r>
      <w:r>
        <w:rPr>
          <w:rFonts w:ascii="Calibri;sans-serif" w:hAnsi="Calibri;sans-serif"/>
          <w:b w:val="false"/>
          <w:color w:val="000000"/>
          <w:sz w:val="22"/>
        </w:rPr>
        <w:t>. “Person”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pStyle w:val="TextBody"/>
        <w:spacing w:lineRule="auto" w:line="285" w:before="237" w:after="283"/>
        <w:ind w:left="0" w:right="0" w:firstLine="1439"/>
        <w:jc w:val="both"/>
        <w:rPr/>
      </w:pPr>
      <w:r>
        <w:rPr>
          <w:rFonts w:ascii="Times New Roman;sans-serif" w:hAnsi="Times New Roman;sans-serif"/>
          <w:b w:val="false"/>
          <w:color w:val="000000"/>
          <w:sz w:val="24"/>
        </w:rPr>
        <w:t>(i)</w:t>
      </w:r>
      <w:r>
        <w:rPr>
          <w:rFonts w:ascii="Calibri;sans-serif" w:hAnsi="Calibri;sans-serif"/>
          <w:b/>
          <w:color w:val="000000"/>
          <w:sz w:val="22"/>
          <w:u w:val="single"/>
        </w:rPr>
        <w:t>Section 409A</w:t>
      </w:r>
      <w:r>
        <w:rPr>
          <w:rFonts w:ascii="Calibri;sans-serif" w:hAnsi="Calibri;sans-serif"/>
          <w:b w:val="false"/>
          <w:color w:val="000000"/>
          <w:sz w:val="22"/>
        </w:rPr>
        <w:t>. “Section 409A” means Section 409A of the Code, and the final regulations and any guidance promulgated thereunder or any state law equivalent.</w:t>
      </w:r>
    </w:p>
    <w:p>
      <w:pPr>
        <w:pStyle w:val="TextBody"/>
        <w:spacing w:lineRule="auto" w:line="285" w:before="236" w:after="283"/>
        <w:ind w:left="0" w:right="0" w:firstLine="1439"/>
        <w:jc w:val="both"/>
        <w:rPr/>
      </w:pPr>
      <w:r>
        <w:rPr>
          <w:rFonts w:ascii="Times New Roman;sans-serif" w:hAnsi="Times New Roman;sans-serif"/>
          <w:b w:val="false"/>
          <w:color w:val="000000"/>
          <w:sz w:val="24"/>
        </w:rPr>
        <w:t>(j)</w:t>
      </w:r>
      <w:r>
        <w:rPr>
          <w:rFonts w:ascii="Calibri;sans-serif" w:hAnsi="Calibri;sans-serif"/>
          <w:b/>
          <w:color w:val="000000"/>
          <w:sz w:val="22"/>
          <w:u w:val="single"/>
        </w:rPr>
        <w:t>Section 409A Limit</w:t>
      </w:r>
      <w:r>
        <w:rPr>
          <w:rFonts w:ascii="Calibri;sans-serif" w:hAnsi="Calibri;sans-serif"/>
          <w:b w:val="false"/>
          <w:color w:val="000000"/>
          <w:sz w:val="22"/>
        </w:rPr>
        <w:t>. “Section 409A Limit” shall mean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pStyle w:val="TextBody"/>
        <w:spacing w:lineRule="auto" w:line="240" w:before="240" w:after="283"/>
        <w:ind w:left="0" w:right="0" w:hanging="721"/>
        <w:rPr/>
      </w:pPr>
      <w:r>
        <w:rPr>
          <w:rFonts w:ascii="Times New Roman;sans-serif" w:hAnsi="Times New Roman;sans-serif"/>
          <w:b w:val="false"/>
          <w:color w:val="000000"/>
          <w:sz w:val="24"/>
        </w:rPr>
        <w:t>9.</w:t>
      </w:r>
      <w:r>
        <w:rPr>
          <w:rFonts w:ascii="Calibri;sans-serif" w:hAnsi="Calibri;sans-serif"/>
          <w:b/>
          <w:color w:val="000000"/>
          <w:sz w:val="22"/>
          <w:u w:val="single"/>
        </w:rPr>
        <w:t>Golden Parachute</w:t>
      </w:r>
      <w:r>
        <w:rPr>
          <w:rFonts w:ascii="Calibri;sans-serif" w:hAnsi="Calibri;sans-serif"/>
          <w:b w:val="false"/>
          <w:color w:val="000000"/>
          <w:sz w:val="22"/>
        </w:rPr>
        <w:t>.</w:t>
      </w:r>
    </w:p>
    <w:p>
      <w:pPr>
        <w:pStyle w:val="TextBody"/>
        <w:spacing w:lineRule="auto" w:line="285" w:before="245" w:after="283"/>
        <w:ind w:left="0" w:right="0" w:firstLine="1439"/>
        <w:jc w:val="both"/>
        <w:rPr/>
      </w:pPr>
      <w:r>
        <w:rPr>
          <w:rFonts w:ascii="Times New Roman;sans-serif" w:hAnsi="Times New Roman;sans-serif"/>
          <w:b w:val="false"/>
          <w:color w:val="000000"/>
          <w:sz w:val="24"/>
        </w:rPr>
        <w:t>(a)</w:t>
      </w:r>
      <w:r>
        <w:rPr>
          <w:rFonts w:ascii="Calibri;sans-serif" w:hAnsi="Calibri;sans-serif"/>
          <w:b w:val="false"/>
          <w:color w:val="000000"/>
          <w:sz w:val="22"/>
        </w:rPr>
        <w:t>Anything in this Agreement to the contrary notwithstanding, if any payment or benefit Executive would receive from the Company or otherwise (“</w:t>
      </w:r>
      <w:r>
        <w:rPr>
          <w:rFonts w:ascii="Calibri;sans-serif" w:hAnsi="Calibri;sans-serif"/>
          <w:b/>
          <w:i/>
          <w:color w:val="000000"/>
          <w:sz w:val="22"/>
        </w:rPr>
        <w:t>Payment</w:t>
      </w:r>
      <w:r>
        <w:rPr>
          <w:color w:val="000000"/>
        </w:rPr>
        <w:t>”</w:t>
      </w:r>
      <w:r>
        <w:rPr>
          <w:rFonts w:ascii="Calibri;sans-serif" w:hAnsi="Calibri;sans-serif"/>
          <w:b w:val="false"/>
          <w:color w:val="000000"/>
          <w:sz w:val="22"/>
        </w:rPr>
        <w:t>) would (i) constitute a “parachute payment” within the meaning of Section 280G of the Code; and (ii) but for this sentence, be subject to the excise tax imposed by Section 4999 of the Code (the “</w:t>
      </w:r>
      <w:r>
        <w:rPr>
          <w:rFonts w:ascii="Calibri;sans-serif" w:hAnsi="Calibri;sans-serif"/>
          <w:b/>
          <w:i/>
          <w:color w:val="000000"/>
          <w:sz w:val="22"/>
        </w:rPr>
        <w:t>Excise Tax</w:t>
      </w:r>
      <w:r>
        <w:rPr>
          <w:color w:val="000000"/>
        </w:rPr>
        <w:t>”</w:t>
      </w:r>
      <w:r>
        <w:rPr>
          <w:rFonts w:ascii="Calibri;sans-serif" w:hAnsi="Calibri;sans-serif"/>
          <w:b w:val="false"/>
          <w:color w:val="000000"/>
          <w:sz w:val="22"/>
        </w:rPr>
        <w:t>), then such Payment shall be equal to the Reduced Amount. The “</w:t>
      </w:r>
      <w:r>
        <w:rPr>
          <w:rFonts w:ascii="Calibri;sans-serif" w:hAnsi="Calibri;sans-serif"/>
          <w:b/>
          <w:i/>
          <w:color w:val="000000"/>
          <w:sz w:val="22"/>
        </w:rPr>
        <w:t>Reduced Amount</w:t>
      </w:r>
      <w:r>
        <w:rPr>
          <w:color w:val="000000"/>
        </w:rPr>
        <w:t xml:space="preserve">” </w:t>
      </w:r>
      <w:r>
        <w:rPr>
          <w:rFonts w:ascii="Calibri;sans-serif" w:hAnsi="Calibri;sans-serif"/>
          <w:b w:val="false"/>
          <w:color w:val="000000"/>
          <w:sz w:val="22"/>
        </w:rPr>
        <w:t>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the optioned stock (“</w:t>
      </w:r>
      <w:r>
        <w:rPr>
          <w:rFonts w:ascii="Calibri;sans-serif" w:hAnsi="Calibri;sans-serif"/>
          <w:b/>
          <w:i/>
          <w:color w:val="000000"/>
          <w:sz w:val="22"/>
        </w:rPr>
        <w:t>Underwater Options</w:t>
      </w:r>
      <w:r>
        <w:rPr>
          <w:color w:val="000000"/>
        </w:rPr>
        <w:t>”</w:t>
      </w:r>
      <w:r>
        <w:rPr>
          <w:rFonts w:ascii="Calibri;sans-serif" w:hAnsi="Calibri;sans-serif"/>
          <w:b w:val="false"/>
          <w:color w:val="000000"/>
          <w:sz w:val="22"/>
        </w:rPr>
        <w:t>) (ii) Full Credit Payments (as defined below) that are payable in cash, (iii) non-cash Full Credit Payments that are taxable, (iv) non-cash Full Credit Payments that are not taxable (v) Partial Credit Payments (as defined below) and (vi) non- cash employee welfare benefits. In each case, reductions shall be made in reverse chronological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27" name="Frame2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jc w:val="both"/>
        <w:rPr/>
      </w:pPr>
      <w:r>
        <w:rPr>
          <w:rFonts w:ascii="Calibri;sans-serif" w:hAnsi="Calibri;sans-serif"/>
          <w:b w:val="false"/>
          <w:color w:val="000000"/>
          <w:sz w:val="22"/>
        </w:rPr>
        <w:t>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Calibri;sans-serif" w:hAnsi="Calibri;sans-serif"/>
          <w:b/>
          <w:i/>
          <w:color w:val="000000"/>
          <w:sz w:val="22"/>
        </w:rPr>
        <w:t>Full Credit Payment</w:t>
      </w:r>
      <w:r>
        <w:rPr>
          <w:color w:val="000000"/>
        </w:rPr>
        <w:t xml:space="preserve">” </w:t>
      </w:r>
      <w:r>
        <w:rPr>
          <w:rFonts w:ascii="Calibri;sans-serif" w:hAnsi="Calibri;sans-serif"/>
          <w:b w:val="false"/>
          <w:color w:val="000000"/>
          <w:sz w:val="22"/>
        </w:rPr>
        <w:t>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Calibri;sans-serif" w:hAnsi="Calibri;sans-serif"/>
          <w:b/>
          <w:i/>
          <w:color w:val="000000"/>
          <w:sz w:val="22"/>
        </w:rPr>
        <w:t>Partial Credit Payment</w:t>
      </w:r>
      <w:r>
        <w:rPr>
          <w:color w:val="000000"/>
        </w:rPr>
        <w:t xml:space="preserve">” </w:t>
      </w:r>
      <w:r>
        <w:rPr>
          <w:rFonts w:ascii="Calibri;sans-serif" w:hAnsi="Calibri;sans-serif"/>
          <w:b w:val="false"/>
          <w:color w:val="000000"/>
          <w:sz w:val="22"/>
        </w:rPr>
        <w:t>means any payment, distribution or benefit that is not a Full Credit Payment.</w:t>
      </w:r>
    </w:p>
    <w:p>
      <w:pPr>
        <w:pStyle w:val="TextBody"/>
        <w:spacing w:lineRule="auto" w:line="285" w:before="245" w:after="283"/>
        <w:ind w:left="0" w:right="0" w:firstLine="1439"/>
        <w:jc w:val="both"/>
        <w:rPr/>
      </w:pPr>
      <w:r>
        <w:rPr>
          <w:rFonts w:ascii="Times New Roman;sans-serif" w:hAnsi="Times New Roman;sans-serif"/>
          <w:b w:val="false"/>
          <w:color w:val="000000"/>
          <w:sz w:val="24"/>
        </w:rPr>
        <w:t>(b)</w:t>
      </w:r>
      <w:r>
        <w:rPr>
          <w:rFonts w:ascii="Calibri;sans-serif" w:hAnsi="Calibri;sans-serif"/>
          <w:b w:val="false"/>
          <w:color w:val="000000"/>
          <w:sz w:val="22"/>
        </w:rPr>
        <w:t>A nationally recognized certified public accounting firm selected by the Company (the “</w:t>
      </w:r>
      <w:r>
        <w:rPr>
          <w:rFonts w:ascii="Calibri;sans-serif" w:hAnsi="Calibri;sans-serif"/>
          <w:b/>
          <w:i/>
          <w:color w:val="000000"/>
          <w:sz w:val="22"/>
        </w:rPr>
        <w:t>Accounting Firm</w:t>
      </w:r>
      <w:r>
        <w:rPr>
          <w:color w:val="000000"/>
        </w:rPr>
        <w:t>”</w:t>
      </w:r>
      <w:r>
        <w:rPr>
          <w:rFonts w:ascii="Calibri;sans-serif" w:hAnsi="Calibri;sans-serif"/>
          <w:b w:val="false"/>
          <w:color w:val="000000"/>
          <w:sz w:val="22"/>
        </w:rPr>
        <w:t>) shall perform the foregoing calculations related to the Excise Tax. If a reduction is required pursuant to Section 9(a), the Accounting Firm shall administer the ordering of the reduction as set forth in Section 9(a). The Company shall bear all expenses with respect to the determinations by such accounting firm required to be made hereunder.</w:t>
      </w:r>
    </w:p>
    <w:p>
      <w:pPr>
        <w:pStyle w:val="TextBody"/>
        <w:spacing w:lineRule="auto" w:line="285" w:before="239" w:after="283"/>
        <w:ind w:left="0" w:right="0" w:firstLine="1439"/>
        <w:jc w:val="both"/>
        <w:rPr/>
      </w:pPr>
      <w:r>
        <w:rPr>
          <w:rFonts w:ascii="Times New Roman;sans-serif" w:hAnsi="Times New Roman;sans-serif"/>
          <w:b w:val="false"/>
          <w:color w:val="000000"/>
          <w:sz w:val="24"/>
        </w:rPr>
        <w:t>(c)</w:t>
      </w:r>
      <w:r>
        <w:rPr>
          <w:rFonts w:ascii="Calibri;sans-serif" w:hAnsi="Calibri;sans-serif"/>
          <w:b w:val="false"/>
          <w:color w:val="000000"/>
          <w:sz w:val="22"/>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pStyle w:val="TextBody"/>
        <w:spacing w:lineRule="auto" w:line="285" w:before="237" w:after="283"/>
        <w:ind w:left="0" w:right="0" w:firstLine="719"/>
        <w:jc w:val="both"/>
        <w:rPr/>
      </w:pPr>
      <w:r>
        <w:rPr>
          <w:rFonts w:ascii="Times New Roman;sans-serif" w:hAnsi="Times New Roman;sans-serif"/>
          <w:b w:val="false"/>
          <w:color w:val="000000"/>
          <w:sz w:val="24"/>
        </w:rPr>
        <w:t>10.</w:t>
      </w:r>
      <w:r>
        <w:rPr>
          <w:rFonts w:ascii="Calibri;sans-serif" w:hAnsi="Calibri;sans-serif"/>
          <w:b/>
          <w:color w:val="000000"/>
          <w:sz w:val="22"/>
          <w:u w:val="single"/>
        </w:rPr>
        <w:t>Arbitration</w:t>
      </w:r>
      <w:r>
        <w:rPr>
          <w:rFonts w:ascii="Calibri;sans-serif" w:hAnsi="Calibri;sans-serif"/>
          <w:b w:val="false"/>
          <w:color w:val="000000"/>
          <w:sz w:val="22"/>
        </w:rPr>
        <w:t>. To the fullest extent permitted by applicable law, Executive and the Company agree that any and all disputes, demands, claims, or controversies (“</w:t>
      </w:r>
      <w:r>
        <w:rPr>
          <w:rFonts w:ascii="Calibri;sans-serif" w:hAnsi="Calibri;sans-serif"/>
          <w:b/>
          <w:i/>
          <w:color w:val="000000"/>
          <w:sz w:val="22"/>
        </w:rPr>
        <w:t>claims</w:t>
      </w:r>
      <w:r>
        <w:rPr>
          <w:color w:val="000000"/>
        </w:rPr>
        <w:t>”</w:t>
      </w:r>
      <w:r>
        <w:rPr>
          <w:rFonts w:ascii="Calibri;sans-serif" w:hAnsi="Calibri;sans-serif"/>
          <w:b w:val="false"/>
          <w:color w:val="000000"/>
          <w:sz w:val="22"/>
        </w:rPr>
        <w:t>)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New Jersey (or another mutually agreeable location). This does not prevent either Executive or the Company from seeking and obtaining temporary or preliminary injunctive relief in court to prevent irreparable harm to it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w:t>
      </w:r>
      <w:r>
        <w:rPr>
          <w:rFonts w:ascii="Calibri;sans-serif" w:hAnsi="Calibri;sans-serif"/>
          <w:b/>
          <w:i/>
          <w:color w:val="000000"/>
          <w:sz w:val="22"/>
        </w:rPr>
        <w:t>Class Waiver</w:t>
      </w:r>
      <w:r>
        <w:rPr>
          <w:color w:val="000000"/>
        </w:rPr>
        <w:t>”</w:t>
      </w:r>
      <w:r>
        <w:rPr>
          <w:rFonts w:ascii="Calibri;sans-serif" w:hAnsi="Calibri;sans-serif"/>
          <w:b w:val="false"/>
          <w:color w:val="000000"/>
          <w:sz w:val="22"/>
        </w:rPr>
        <w:t>). Any claim that all or part of the Class Waiver is invalid, unenforceable, or unconscionable may be determined only by a court. In no case may class, collective or representative claims proceed in arbitration on behalf of other employees.</w:t>
      </w:r>
    </w:p>
    <w:p>
      <w:pPr>
        <w:pStyle w:val="TextBody"/>
        <w:spacing w:before="8" w:after="283"/>
        <w:rPr/>
      </w:pPr>
      <w:r>
        <w:rPr/>
      </w:r>
    </w:p>
    <w:p>
      <w:pPr>
        <w:pStyle w:val="TextBody"/>
        <w:spacing w:lineRule="auto" w:line="285" w:before="0" w:after="0"/>
        <w:ind w:left="0" w:right="0" w:firstLine="719"/>
        <w:jc w:val="both"/>
        <w:rPr>
          <w:rFonts w:ascii="Calibri;sans-serif" w:hAnsi="Calibri;sans-serif"/>
          <w:b w:val="false"/>
          <w:color w:val="000000"/>
          <w:sz w:val="22"/>
        </w:rPr>
      </w:pPr>
      <w:r>
        <w:rPr>
          <w:rFonts w:ascii="Calibri;sans-serif" w:hAnsi="Calibri;sans-serif"/>
          <w:b w:val="false"/>
          <w:color w:val="000000"/>
          <w:sz w:val="22"/>
        </w:rPr>
        <w:t>The parties agree that the arbitration shall be conducted by a single neutral arbitrator through JAMS in accordance with JAMS Employment Arbitration Rules and Procedures. Except as to the Class Waiver, the arbitrator shall determine arbitrability. The Company will bear all JAMS arbitration fees and</w:t>
      </w:r>
    </w:p>
    <w:p>
      <w:pPr>
        <w:pStyle w:val="TextBody"/>
        <w:ind w:left="0" w:right="0" w:firstLine="71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28" name="Frame2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jc w:val="both"/>
        <w:rPr>
          <w:rFonts w:ascii="Calibri;sans-serif" w:hAnsi="Calibri;sans-serif"/>
          <w:b w:val="false"/>
          <w:color w:val="000000"/>
          <w:sz w:val="22"/>
        </w:rPr>
      </w:pPr>
      <w:r>
        <w:rPr>
          <w:rFonts w:ascii="Calibri;sans-serif" w:hAnsi="Calibri;sans-serif"/>
          <w:b w:val="false"/>
          <w:color w:val="000000"/>
          <w:sz w:val="22"/>
        </w:rPr>
        <w:t>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the offer letter, Executive acknowledges and agrees that Executive has read this arbitration agreement carefully, are bound by it and are WAIVING ANY RIGHT TO HAVE A TRIAL BEFORE A COURT OR JURY OF ANY AND ALL CLAIMS SUBJECT TO ARBITRATION UNDER THIS ARBITRATION AGREEMENT.</w:t>
      </w:r>
    </w:p>
    <w:p>
      <w:pPr>
        <w:pStyle w:val="TextBody"/>
        <w:spacing w:lineRule="auto" w:line="285" w:before="245" w:after="283"/>
        <w:ind w:left="0" w:right="0" w:firstLine="719"/>
        <w:jc w:val="both"/>
        <w:rPr/>
      </w:pPr>
      <w:r>
        <w:rPr>
          <w:rFonts w:ascii="Times New Roman;sans-serif" w:hAnsi="Times New Roman;sans-serif"/>
          <w:b w:val="false"/>
          <w:color w:val="000000"/>
          <w:sz w:val="24"/>
        </w:rPr>
        <w:t>11.</w:t>
      </w:r>
      <w:r>
        <w:rPr>
          <w:rFonts w:ascii="Calibri;sans-serif" w:hAnsi="Calibri;sans-serif"/>
          <w:b/>
          <w:color w:val="000000"/>
          <w:sz w:val="22"/>
          <w:u w:val="single"/>
        </w:rPr>
        <w:t>Confidentiality Agreement</w:t>
      </w:r>
      <w:r>
        <w:rPr>
          <w:rFonts w:ascii="Calibri;sans-serif" w:hAnsi="Calibri;sans-serif"/>
          <w:b/>
          <w:color w:val="000000"/>
          <w:sz w:val="22"/>
        </w:rPr>
        <w:t xml:space="preserve">. </w:t>
      </w:r>
      <w:r>
        <w:rPr>
          <w:rFonts w:ascii="Calibri;sans-serif" w:hAnsi="Calibri;sans-serif"/>
          <w:b w:val="false"/>
          <w:color w:val="000000"/>
          <w:sz w:val="22"/>
        </w:rPr>
        <w:t xml:space="preserve">Executive’s acceptance of this offer and Executive’s Employment with the Company is contingent upon the execution, and delivery to an officer of the Company, of the Company’s Employee Nondisclosure, Non-Solicitation, Confidentiality and Developments Agreement, a copy of which is attached hereto as </w:t>
      </w:r>
      <w:r>
        <w:rPr>
          <w:rFonts w:ascii="Calibri;sans-serif" w:hAnsi="Calibri;sans-serif"/>
          <w:b w:val="false"/>
          <w:color w:val="000000"/>
          <w:sz w:val="22"/>
          <w:u w:val="single"/>
        </w:rPr>
        <w:t>Attachment</w:t>
      </w:r>
      <w:r>
        <w:rPr>
          <w:color w:val="000000"/>
        </w:rPr>
        <w:t xml:space="preserve"> </w:t>
      </w:r>
      <w:r>
        <w:rPr>
          <w:rFonts w:ascii="Calibri;sans-serif" w:hAnsi="Calibri;sans-serif"/>
          <w:b w:val="false"/>
          <w:color w:val="000000"/>
          <w:sz w:val="22"/>
          <w:u w:val="single"/>
        </w:rPr>
        <w:t>B</w:t>
      </w:r>
      <w:r>
        <w:rPr>
          <w:color w:val="000000"/>
        </w:rPr>
        <w:t xml:space="preserve"> </w:t>
      </w:r>
      <w:r>
        <w:rPr>
          <w:rFonts w:ascii="Calibri;sans-serif" w:hAnsi="Calibri;sans-serif"/>
          <w:b w:val="false"/>
          <w:color w:val="000000"/>
          <w:sz w:val="22"/>
        </w:rPr>
        <w:t>for Executive’s review and execution (the “</w:t>
      </w:r>
      <w:r>
        <w:rPr>
          <w:rFonts w:ascii="Calibri;sans-serif" w:hAnsi="Calibri;sans-serif"/>
          <w:b/>
          <w:i/>
          <w:color w:val="000000"/>
          <w:sz w:val="22"/>
        </w:rPr>
        <w:t>Confidentiality Agreement</w:t>
      </w:r>
      <w:r>
        <w:rPr>
          <w:color w:val="000000"/>
        </w:rPr>
        <w:t>”</w:t>
      </w:r>
      <w:r>
        <w:rPr>
          <w:rFonts w:ascii="Calibri;sans-serif" w:hAnsi="Calibri;sans-serif"/>
          <w:b w:val="false"/>
          <w:color w:val="000000"/>
          <w:sz w:val="22"/>
        </w:rPr>
        <w:t>), prior to or on the Effective Date.</w:t>
      </w:r>
    </w:p>
    <w:p>
      <w:pPr>
        <w:pStyle w:val="TextBody"/>
        <w:spacing w:before="1" w:after="283"/>
        <w:rPr/>
      </w:pPr>
      <w:r>
        <w:rPr/>
      </w:r>
    </w:p>
    <w:p>
      <w:pPr>
        <w:pStyle w:val="TextBody"/>
        <w:spacing w:lineRule="auto" w:line="285" w:before="91"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Right to Work</w:t>
      </w:r>
      <w:r>
        <w:rPr>
          <w:rFonts w:ascii="Calibri;sans-serif" w:hAnsi="Calibri;sans-serif"/>
          <w:b w:val="false"/>
          <w:color w:val="000000"/>
          <w:sz w:val="22"/>
        </w:rPr>
        <w:t>. For purposes of federal immigration law, Executive will be required, if Executive has not already, to provide to the Company documentary evidence of Executive’s identity and eligibility for employment in the United States. Such documentation must be provided to the Company within three (3) business days of the Effective Date, or the Employment relationship with Executive may be terminated.</w:t>
      </w:r>
    </w:p>
    <w:p>
      <w:pPr>
        <w:pStyle w:val="TextBody"/>
        <w:spacing w:lineRule="auto" w:line="285" w:before="237"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Verification of Information</w:t>
      </w:r>
      <w:r>
        <w:rPr>
          <w:rFonts w:ascii="Calibri;sans-serif" w:hAnsi="Calibri;sans-serif"/>
          <w:b w:val="false"/>
          <w:color w:val="000000"/>
          <w:sz w:val="22"/>
        </w:rPr>
        <w:t>. This Agreement is also contingent upon the successful verification of the information Executive provided to the Company during Executive’s application process, as well as a general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and Executive expressly releases the Company from any claim or cause of action arising out of the Company’s verification of such information.</w:t>
      </w:r>
    </w:p>
    <w:p>
      <w:pPr>
        <w:pStyle w:val="TextBody"/>
        <w:spacing w:lineRule="auto" w:line="240" w:before="242" w:after="283"/>
        <w:ind w:left="0" w:right="0" w:hanging="721"/>
        <w:rPr/>
      </w:pPr>
      <w:r>
        <w:rPr>
          <w:rFonts w:ascii="Times New Roman;sans-serif" w:hAnsi="Times New Roman;sans-serif"/>
          <w:b w:val="false"/>
          <w:color w:val="000000"/>
          <w:sz w:val="24"/>
        </w:rPr>
        <w:t>12.</w:t>
      </w:r>
      <w:r>
        <w:rPr>
          <w:rFonts w:ascii="Calibri;sans-serif" w:hAnsi="Calibri;sans-serif"/>
          <w:b/>
          <w:color w:val="000000"/>
          <w:sz w:val="22"/>
          <w:u w:val="single"/>
        </w:rPr>
        <w:t>Successors</w:t>
      </w:r>
      <w:r>
        <w:rPr>
          <w:rFonts w:ascii="Calibri;sans-serif" w:hAnsi="Calibri;sans-serif"/>
          <w:b/>
          <w:color w:val="000000"/>
          <w:sz w:val="22"/>
        </w:rPr>
        <w:t>.</w:t>
      </w:r>
    </w:p>
    <w:p>
      <w:pPr>
        <w:pStyle w:val="TextBody"/>
        <w:spacing w:lineRule="auto" w:line="285" w:before="243"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Company’s Successors</w:t>
      </w:r>
      <w:r>
        <w:rPr>
          <w:rFonts w:ascii="Calibri;sans-serif" w:hAnsi="Calibri;sans-serif"/>
          <w:b/>
          <w:color w:val="000000"/>
          <w:sz w:val="22"/>
        </w:rPr>
        <w:t xml:space="preserve">. </w:t>
      </w:r>
      <w:r>
        <w:rPr>
          <w:rFonts w:ascii="Calibri;sans-serif" w:hAnsi="Calibri;sans-serif"/>
          <w:b w:val="false"/>
          <w:color w:val="000000"/>
          <w:sz w:val="22"/>
        </w:rPr>
        <w:t>This Agreement shall be binding upon any successor (whether direct or indirect and whether by purchase, lease, merger, consolidation, liquidation or otherwise) to all or substantially all of the Company’s business and/or assets. For all purposes under this Agreement, the term “</w:t>
      </w:r>
      <w:r>
        <w:rPr>
          <w:rFonts w:ascii="Calibri;sans-serif" w:hAnsi="Calibri;sans-serif"/>
          <w:b/>
          <w:i/>
          <w:color w:val="000000"/>
          <w:sz w:val="22"/>
        </w:rPr>
        <w:t>Company</w:t>
      </w:r>
      <w:r>
        <w:rPr>
          <w:color w:val="000000"/>
        </w:rPr>
        <w:t xml:space="preserve">” </w:t>
      </w:r>
      <w:r>
        <w:rPr>
          <w:rFonts w:ascii="Calibri;sans-serif" w:hAnsi="Calibri;sans-serif"/>
          <w:b w:val="false"/>
          <w:color w:val="000000"/>
          <w:sz w:val="22"/>
        </w:rPr>
        <w:t>shall include any successor to the Company’s business or assets that become bound by this Agreement or any affiliate of any such successor that employs Executive.</w:t>
      </w:r>
    </w:p>
    <w:p>
      <w:pPr>
        <w:pStyle w:val="TextBody"/>
        <w:spacing w:lineRule="auto" w:line="285" w:before="238"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Executive’s Successors</w:t>
      </w:r>
      <w:r>
        <w:rPr>
          <w:rFonts w:ascii="Calibri;sans-serif" w:hAnsi="Calibri;sans-serif"/>
          <w:b/>
          <w:color w:val="000000"/>
          <w:sz w:val="22"/>
        </w:rPr>
        <w:t xml:space="preserve">. </w:t>
      </w:r>
      <w:r>
        <w:rPr>
          <w:rFonts w:ascii="Calibri;sans-serif" w:hAnsi="Calibri;sans-serif"/>
          <w:b w:val="false"/>
          <w:color w:val="000000"/>
          <w:sz w:val="22"/>
        </w:rPr>
        <w:t>This Agreement and all of Executive’s rights hereunder shall inure to the benefit of, and be enforceable by, Executive’s personal or legal</w:t>
      </w:r>
    </w:p>
    <w:p>
      <w:pPr>
        <w:pStyle w:val="TextBody"/>
        <w:spacing w:before="238" w:after="283"/>
        <w:ind w:left="0" w:right="0" w:firstLine="143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29" name="Frame2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rPr>
          <w:rFonts w:ascii="Calibri;sans-serif" w:hAnsi="Calibri;sans-serif"/>
          <w:b w:val="false"/>
          <w:color w:val="000000"/>
          <w:sz w:val="22"/>
        </w:rPr>
      </w:pPr>
      <w:r>
        <w:rPr>
          <w:rFonts w:ascii="Calibri;sans-serif" w:hAnsi="Calibri;sans-serif"/>
          <w:b w:val="false"/>
          <w:color w:val="000000"/>
          <w:sz w:val="22"/>
        </w:rPr>
        <w:t>representatives, executors, administrators, successors, heirs, distributees, devisees and legatees.</w:t>
      </w:r>
    </w:p>
    <w:p>
      <w:pPr>
        <w:pStyle w:val="TextBody"/>
        <w:spacing w:lineRule="auto" w:line="240" w:before="239" w:after="283"/>
        <w:ind w:left="0" w:right="0" w:hanging="721"/>
        <w:rPr/>
      </w:pPr>
      <w:r>
        <w:rPr>
          <w:rFonts w:ascii="Times New Roman;sans-serif" w:hAnsi="Times New Roman;sans-serif"/>
          <w:b w:val="false"/>
          <w:color w:val="000000"/>
          <w:sz w:val="24"/>
        </w:rPr>
        <w:t>13.</w:t>
      </w:r>
      <w:r>
        <w:rPr>
          <w:rFonts w:ascii="Calibri;sans-serif" w:hAnsi="Calibri;sans-serif"/>
          <w:b/>
          <w:color w:val="000000"/>
          <w:sz w:val="22"/>
          <w:u w:val="single"/>
        </w:rPr>
        <w:t>Miscellaneous Provisions</w:t>
      </w:r>
      <w:r>
        <w:rPr>
          <w:rFonts w:ascii="Calibri;sans-serif" w:hAnsi="Calibri;sans-serif"/>
          <w:b/>
          <w:color w:val="000000"/>
          <w:sz w:val="22"/>
        </w:rPr>
        <w:t>.</w:t>
      </w:r>
    </w:p>
    <w:p>
      <w:pPr>
        <w:pStyle w:val="TextBody"/>
        <w:spacing w:lineRule="auto" w:line="285" w:before="242" w:after="283"/>
        <w:ind w:left="0" w:right="0" w:firstLine="1439"/>
        <w:jc w:val="both"/>
        <w:rPr/>
      </w:pPr>
      <w:r>
        <w:rPr>
          <w:rFonts w:ascii="Times New Roman;sans-serif" w:hAnsi="Times New Roman;sans-serif"/>
          <w:b w:val="false"/>
          <w:color w:val="000000"/>
          <w:sz w:val="24"/>
        </w:rPr>
        <w:t>(a)</w:t>
      </w:r>
      <w:r>
        <w:rPr>
          <w:rFonts w:ascii="Calibri;sans-serif" w:hAnsi="Calibri;sans-serif"/>
          <w:b/>
          <w:color w:val="000000"/>
          <w:sz w:val="22"/>
          <w:u w:val="single"/>
        </w:rPr>
        <w:t>Indemnification</w:t>
      </w:r>
      <w:r>
        <w:rPr>
          <w:rFonts w:ascii="Calibri;sans-serif" w:hAnsi="Calibri;sans-serif"/>
          <w:b/>
          <w:color w:val="000000"/>
          <w:sz w:val="22"/>
        </w:rPr>
        <w:t xml:space="preserve">. </w:t>
      </w:r>
      <w:r>
        <w:rPr>
          <w:rFonts w:ascii="Calibri;sans-serif" w:hAnsi="Calibri;sans-serif"/>
          <w:b w:val="false"/>
          <w:color w:val="000000"/>
          <w:sz w:val="22"/>
        </w:rPr>
        <w:t>The Company shall indemnify Executive to the maximum extent permitted by applicable law 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pStyle w:val="TextBody"/>
        <w:spacing w:lineRule="auto" w:line="285" w:before="239" w:after="283"/>
        <w:ind w:left="0" w:right="0" w:firstLine="1439"/>
        <w:jc w:val="both"/>
        <w:rPr/>
      </w:pPr>
      <w:r>
        <w:rPr>
          <w:rFonts w:ascii="Times New Roman;sans-serif" w:hAnsi="Times New Roman;sans-serif"/>
          <w:b w:val="false"/>
          <w:color w:val="000000"/>
          <w:sz w:val="24"/>
        </w:rPr>
        <w:t>(b)</w:t>
      </w:r>
      <w:r>
        <w:rPr>
          <w:rFonts w:ascii="Calibri;sans-serif" w:hAnsi="Calibri;sans-serif"/>
          <w:b/>
          <w:color w:val="000000"/>
          <w:sz w:val="22"/>
          <w:u w:val="single"/>
        </w:rPr>
        <w:t>Headings</w:t>
      </w:r>
      <w:r>
        <w:rPr>
          <w:rFonts w:ascii="Calibri;sans-serif" w:hAnsi="Calibri;sans-serif"/>
          <w:b w:val="false"/>
          <w:color w:val="000000"/>
          <w:sz w:val="22"/>
        </w:rPr>
        <w:t>. All captions and section headings used in this Agreement are for convenient reference only and do not form a part of this Agreement.</w:t>
      </w:r>
    </w:p>
    <w:p>
      <w:pPr>
        <w:pStyle w:val="TextBody"/>
        <w:spacing w:lineRule="auto" w:line="240" w:before="237" w:after="283"/>
        <w:ind w:left="0" w:right="0" w:hanging="721"/>
        <w:rPr/>
      </w:pPr>
      <w:r>
        <w:rPr>
          <w:rFonts w:ascii="Times New Roman;sans-serif" w:hAnsi="Times New Roman;sans-serif"/>
          <w:b w:val="false"/>
          <w:color w:val="000000"/>
          <w:sz w:val="24"/>
        </w:rPr>
        <w:t>(c)</w:t>
      </w:r>
      <w:r>
        <w:rPr>
          <w:rFonts w:ascii="Calibri;sans-serif" w:hAnsi="Calibri;sans-serif"/>
          <w:b/>
          <w:color w:val="000000"/>
          <w:sz w:val="22"/>
          <w:u w:val="single"/>
        </w:rPr>
        <w:t>Notice</w:t>
      </w:r>
      <w:r>
        <w:rPr>
          <w:rFonts w:ascii="Calibri;sans-serif" w:hAnsi="Calibri;sans-serif"/>
          <w:b/>
          <w:color w:val="000000"/>
          <w:sz w:val="22"/>
        </w:rPr>
        <w:t>.</w:t>
      </w:r>
    </w:p>
    <w:p>
      <w:pPr>
        <w:pStyle w:val="TextBody"/>
        <w:spacing w:lineRule="auto" w:line="285" w:before="245" w:after="283"/>
        <w:ind w:left="0" w:right="0" w:firstLine="2159"/>
        <w:jc w:val="both"/>
        <w:rPr/>
      </w:pPr>
      <w:r>
        <w:rPr>
          <w:rFonts w:ascii="Times New Roman;sans-serif" w:hAnsi="Times New Roman;sans-serif"/>
          <w:b w:val="false"/>
          <w:color w:val="000000"/>
          <w:sz w:val="24"/>
        </w:rPr>
        <w:t>(i)</w:t>
      </w:r>
      <w:r>
        <w:rPr>
          <w:rFonts w:ascii="Calibri;sans-serif" w:hAnsi="Calibri;sans-serif"/>
          <w:b w:val="false"/>
          <w:color w:val="000000"/>
          <w:sz w:val="22"/>
          <w:u w:val="single"/>
        </w:rPr>
        <w:t>General</w:t>
      </w:r>
      <w:r>
        <w:rPr>
          <w:rFonts w:ascii="Calibri;sans-serif" w:hAnsi="Calibri;sans-serif"/>
          <w:b w:val="false"/>
          <w:color w:val="000000"/>
          <w:sz w:val="22"/>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pStyle w:val="TextBody"/>
        <w:spacing w:lineRule="auto" w:line="285" w:before="237" w:after="283"/>
        <w:ind w:left="0" w:right="0" w:firstLine="2159"/>
        <w:jc w:val="both"/>
        <w:rPr/>
      </w:pPr>
      <w:r>
        <w:rPr>
          <w:rFonts w:ascii="Times New Roman;sans-serif" w:hAnsi="Times New Roman;sans-serif"/>
          <w:b w:val="false"/>
          <w:color w:val="000000"/>
          <w:sz w:val="24"/>
        </w:rPr>
        <w:t>(ii)</w:t>
      </w:r>
      <w:r>
        <w:rPr>
          <w:rFonts w:ascii="Calibri;sans-serif" w:hAnsi="Calibri;sans-serif"/>
          <w:b w:val="false"/>
          <w:color w:val="000000"/>
          <w:sz w:val="22"/>
          <w:u w:val="single"/>
        </w:rPr>
        <w:t>Notice of Termination</w:t>
      </w:r>
      <w:r>
        <w:rPr>
          <w:rFonts w:ascii="Calibri;sans-serif" w:hAnsi="Calibri;sans-serif"/>
          <w:b w:val="false"/>
          <w:color w:val="000000"/>
          <w:sz w:val="22"/>
        </w:rPr>
        <w:t>. Any termination by the Company for Cause or by Executive for Good Reason will be communicated by a notice of termination to the other party hereto given in accordance with Section 13(c)(i)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sixty (60) days advance written notice.</w:t>
      </w:r>
    </w:p>
    <w:p>
      <w:pPr>
        <w:pStyle w:val="TextBody"/>
        <w:spacing w:lineRule="auto" w:line="285" w:before="245" w:after="283"/>
        <w:ind w:left="0" w:right="0" w:firstLine="1439"/>
        <w:jc w:val="both"/>
        <w:rPr/>
      </w:pPr>
      <w:r>
        <w:rPr>
          <w:rFonts w:ascii="Times New Roman;sans-serif" w:hAnsi="Times New Roman;sans-serif"/>
          <w:b w:val="false"/>
          <w:color w:val="000000"/>
          <w:sz w:val="24"/>
        </w:rPr>
        <w:t>(d)</w:t>
      </w:r>
      <w:r>
        <w:rPr>
          <w:rFonts w:ascii="Calibri;sans-serif" w:hAnsi="Calibri;sans-serif"/>
          <w:b/>
          <w:color w:val="000000"/>
          <w:sz w:val="22"/>
          <w:u w:val="single"/>
        </w:rPr>
        <w:t>Modifications and Waivers</w:t>
      </w:r>
      <w:r>
        <w:rPr>
          <w:rFonts w:ascii="Calibri;sans-serif" w:hAnsi="Calibri;sans-serif"/>
          <w:b/>
          <w:color w:val="000000"/>
          <w:sz w:val="22"/>
        </w:rPr>
        <w:t xml:space="preserve">. </w:t>
      </w:r>
      <w:r>
        <w:rPr>
          <w:rFonts w:ascii="Calibri;sans-serif" w:hAnsi="Calibri;sans-serif"/>
          <w:b w:val="false"/>
          <w:color w:val="000000"/>
          <w:sz w:val="22"/>
        </w:rPr>
        <w:t>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spacing w:lineRule="auto" w:line="285" w:before="238" w:after="283"/>
        <w:ind w:left="0" w:right="0" w:firstLine="1439"/>
        <w:jc w:val="both"/>
        <w:rPr/>
      </w:pPr>
      <w:r>
        <w:rPr>
          <w:rFonts w:ascii="Times New Roman;sans-serif" w:hAnsi="Times New Roman;sans-serif"/>
          <w:b w:val="false"/>
          <w:color w:val="000000"/>
          <w:sz w:val="24"/>
        </w:rPr>
        <w:t>(e)</w:t>
      </w:r>
      <w:r>
        <w:rPr>
          <w:rFonts w:ascii="Calibri;sans-serif" w:hAnsi="Calibri;sans-serif"/>
          <w:b/>
          <w:color w:val="000000"/>
          <w:sz w:val="22"/>
          <w:u w:val="single"/>
        </w:rPr>
        <w:t>Entire Agreement</w:t>
      </w:r>
      <w:r>
        <w:rPr>
          <w:rFonts w:ascii="Calibri;sans-serif" w:hAnsi="Calibri;sans-serif"/>
          <w:b/>
          <w:color w:val="000000"/>
          <w:sz w:val="22"/>
        </w:rPr>
        <w:t xml:space="preserve">. </w:t>
      </w:r>
      <w:r>
        <w:rPr>
          <w:rFonts w:ascii="Calibri;sans-serif" w:hAnsi="Calibri;sans-serif"/>
          <w:b w:val="false"/>
          <w:color w:val="000000"/>
          <w:sz w:val="22"/>
        </w:rPr>
        <w:t>This Agreement and the Confidentiality Agreement contain the entire understanding of the parties with respect to the subject matter hereof and</w:t>
      </w:r>
    </w:p>
    <w:p>
      <w:pPr>
        <w:pStyle w:val="TextBody"/>
        <w:spacing w:before="238" w:after="283"/>
        <w:ind w:left="0" w:right="0" w:firstLine="1439"/>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30" name="Frame2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rPr>
          <w:rFonts w:ascii="Calibri;sans-serif" w:hAnsi="Calibri;sans-serif"/>
          <w:b w:val="false"/>
          <w:color w:val="000000"/>
          <w:sz w:val="22"/>
        </w:rPr>
      </w:pPr>
      <w:r>
        <w:rPr>
          <w:rFonts w:ascii="Calibri;sans-serif" w:hAnsi="Calibri;sans-serif"/>
          <w:b w:val="false"/>
          <w:color w:val="000000"/>
          <w:sz w:val="22"/>
        </w:rPr>
        <w:t>supersede all other prior or contemporaneous discussions, understandings and agreements, whether oral or written, between them relating to the subject matter hereof.</w:t>
      </w:r>
    </w:p>
    <w:p>
      <w:pPr>
        <w:pStyle w:val="TextBody"/>
        <w:spacing w:lineRule="auto" w:line="285" w:before="239" w:after="283"/>
        <w:ind w:left="0" w:right="0" w:firstLine="1439"/>
        <w:jc w:val="both"/>
        <w:rPr/>
      </w:pPr>
      <w:r>
        <w:rPr>
          <w:rFonts w:ascii="Times New Roman;sans-serif" w:hAnsi="Times New Roman;sans-serif"/>
          <w:b w:val="false"/>
          <w:color w:val="000000"/>
          <w:sz w:val="24"/>
        </w:rPr>
        <w:t>(f)</w:t>
      </w:r>
      <w:r>
        <w:rPr>
          <w:rFonts w:ascii="Calibri;sans-serif" w:hAnsi="Calibri;sans-serif"/>
          <w:b/>
          <w:color w:val="000000"/>
          <w:sz w:val="22"/>
          <w:u w:val="single"/>
        </w:rPr>
        <w:t>Withholding Taxes</w:t>
      </w:r>
      <w:r>
        <w:rPr>
          <w:rFonts w:ascii="Calibri;sans-serif" w:hAnsi="Calibri;sans-serif"/>
          <w:b/>
          <w:color w:val="000000"/>
          <w:sz w:val="22"/>
        </w:rPr>
        <w:t xml:space="preserve">. </w:t>
      </w:r>
      <w:r>
        <w:rPr>
          <w:rFonts w:ascii="Calibri;sans-serif" w:hAnsi="Calibri;sans-serif"/>
          <w:b w:val="false"/>
          <w:color w:val="000000"/>
          <w:sz w:val="22"/>
        </w:rPr>
        <w:t>All payments made under this Agreement shall be subject to reduction to reflect taxes or other deductions required to be withheld by law.</w:t>
      </w:r>
    </w:p>
    <w:p>
      <w:pPr>
        <w:pStyle w:val="TextBody"/>
        <w:spacing w:lineRule="auto" w:line="285" w:before="236" w:after="283"/>
        <w:ind w:left="0" w:right="0" w:firstLine="1439"/>
        <w:jc w:val="both"/>
        <w:rPr/>
      </w:pPr>
      <w:r>
        <w:rPr>
          <w:rFonts w:ascii="Times New Roman;sans-serif" w:hAnsi="Times New Roman;sans-serif"/>
          <w:b w:val="false"/>
          <w:color w:val="000000"/>
          <w:sz w:val="24"/>
        </w:rPr>
        <w:t>(g)</w:t>
      </w:r>
      <w:r>
        <w:rPr>
          <w:rFonts w:ascii="Calibri;sans-serif" w:hAnsi="Calibri;sans-serif"/>
          <w:b/>
          <w:color w:val="000000"/>
          <w:sz w:val="22"/>
          <w:u w:val="single"/>
        </w:rPr>
        <w:t>Choice of Law and Severability</w:t>
      </w:r>
      <w:r>
        <w:rPr>
          <w:rFonts w:ascii="Calibri;sans-serif" w:hAnsi="Calibri;sans-serif"/>
          <w:b/>
          <w:color w:val="000000"/>
          <w:sz w:val="22"/>
        </w:rPr>
        <w:t xml:space="preserve">. </w:t>
      </w:r>
      <w:r>
        <w:rPr>
          <w:rFonts w:ascii="Calibri;sans-serif" w:hAnsi="Calibri;sans-serif"/>
          <w:b w:val="false"/>
          <w:color w:val="000000"/>
          <w:sz w:val="22"/>
        </w:rPr>
        <w:t>This Agreement shall be interpreted in accordance with the laws of the State of Delaware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Calibri;sans-serif" w:hAnsi="Calibri;sans-serif"/>
          <w:b/>
          <w:i/>
          <w:color w:val="000000"/>
          <w:sz w:val="22"/>
        </w:rPr>
        <w:t>Law</w:t>
      </w:r>
      <w:r>
        <w:rPr>
          <w:color w:val="000000"/>
        </w:rPr>
        <w:t>”</w:t>
      </w:r>
      <w:r>
        <w:rPr>
          <w:rFonts w:ascii="Calibri;sans-serif" w:hAnsi="Calibri;sans-serif"/>
          <w:b w:val="false"/>
          <w:color w:val="000000"/>
          <w:sz w:val="22"/>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pStyle w:val="TextBody"/>
        <w:spacing w:before="4" w:after="283"/>
        <w:rPr/>
      </w:pPr>
      <w:r>
        <w:rPr/>
      </w:r>
    </w:p>
    <w:p>
      <w:pPr>
        <w:pStyle w:val="TextBody"/>
        <w:spacing w:lineRule="auto" w:line="285" w:before="91" w:after="283"/>
        <w:ind w:left="0" w:right="0" w:firstLine="1439"/>
        <w:jc w:val="both"/>
        <w:rPr/>
      </w:pPr>
      <w:r>
        <w:rPr>
          <w:rFonts w:ascii="Times New Roman;sans-serif" w:hAnsi="Times New Roman;sans-serif"/>
          <w:b w:val="false"/>
          <w:color w:val="000000"/>
          <w:sz w:val="24"/>
        </w:rPr>
        <w:t>(h)</w:t>
      </w:r>
      <w:r>
        <w:rPr>
          <w:rFonts w:ascii="Calibri;sans-serif" w:hAnsi="Calibri;sans-serif"/>
          <w:b/>
          <w:color w:val="000000"/>
          <w:sz w:val="22"/>
          <w:u w:val="single"/>
        </w:rPr>
        <w:t>No Assignment</w:t>
      </w:r>
      <w:r>
        <w:rPr>
          <w:rFonts w:ascii="Calibri;sans-serif" w:hAnsi="Calibri;sans-serif"/>
          <w:b/>
          <w:color w:val="000000"/>
          <w:sz w:val="22"/>
        </w:rPr>
        <w:t xml:space="preserve">. </w:t>
      </w:r>
      <w:r>
        <w:rPr>
          <w:rFonts w:ascii="Calibri;sans-serif" w:hAnsi="Calibri;sans-serif"/>
          <w:b w:val="false"/>
          <w:color w:val="000000"/>
          <w:sz w:val="22"/>
        </w:rPr>
        <w:t>This Agreement and all of Executive’s rights and obligations hereunder are personal to Executive 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pStyle w:val="TextBody"/>
        <w:spacing w:lineRule="auto" w:line="285" w:before="240" w:after="283"/>
        <w:ind w:left="0" w:right="0" w:firstLine="1439"/>
        <w:jc w:val="both"/>
        <w:rPr/>
      </w:pPr>
      <w:r>
        <w:rPr>
          <w:rFonts w:ascii="Times New Roman;sans-serif" w:hAnsi="Times New Roman;sans-serif"/>
          <w:b w:val="false"/>
          <w:color w:val="000000"/>
          <w:sz w:val="24"/>
        </w:rPr>
        <w:t>(i)</w:t>
      </w:r>
      <w:r>
        <w:rPr>
          <w:rFonts w:ascii="Calibri;sans-serif" w:hAnsi="Calibri;sans-serif"/>
          <w:b/>
          <w:color w:val="000000"/>
          <w:sz w:val="22"/>
          <w:u w:val="single"/>
        </w:rPr>
        <w:t>Acknowledgment</w:t>
      </w:r>
      <w:r>
        <w:rPr>
          <w:rFonts w:ascii="Calibri;sans-serif" w:hAnsi="Calibri;sans-serif"/>
          <w:b w:val="false"/>
          <w:color w:val="000000"/>
          <w:sz w:val="22"/>
        </w:rPr>
        <w:t>. Executive acknowledges that Executive has had the opportunity to discuss this matter with and obtain advice from Executive’s personal attorney, has had sufficient time to, and has carefully read and fully understood all the provisions of this Agreement, and is knowingly and voluntarily entering into this Agreement.</w:t>
      </w:r>
    </w:p>
    <w:p>
      <w:pPr>
        <w:pStyle w:val="TextBody"/>
        <w:spacing w:lineRule="auto" w:line="285" w:before="237" w:after="283"/>
        <w:ind w:left="0" w:right="0" w:firstLine="1439"/>
        <w:jc w:val="both"/>
        <w:rPr/>
      </w:pPr>
      <w:r>
        <w:rPr>
          <w:rFonts w:ascii="Times New Roman;sans-serif" w:hAnsi="Times New Roman;sans-serif"/>
          <w:b w:val="false"/>
          <w:color w:val="000000"/>
          <w:sz w:val="24"/>
        </w:rPr>
        <w:t>(j)</w:t>
      </w:r>
      <w:r>
        <w:rPr>
          <w:rFonts w:ascii="Calibri;sans-serif" w:hAnsi="Calibri;sans-serif"/>
          <w:b/>
          <w:color w:val="000000"/>
          <w:sz w:val="22"/>
          <w:u w:val="single"/>
        </w:rPr>
        <w:t>Counterparts</w:t>
      </w:r>
      <w:r>
        <w:rPr>
          <w:rFonts w:ascii="Calibri;sans-serif" w:hAnsi="Calibri;sans-serif"/>
          <w:b/>
          <w:color w:val="000000"/>
          <w:sz w:val="22"/>
        </w:rPr>
        <w:t xml:space="preserve">. </w:t>
      </w:r>
      <w:r>
        <w:rPr>
          <w:rFonts w:ascii="Calibri;sans-serif" w:hAnsi="Calibri;sans-serif"/>
          <w:b w:val="false"/>
          <w:color w:val="000000"/>
          <w:sz w:val="22"/>
        </w:rPr>
        <w:t>This Agreement may be executed in two or more counterparts, each of which shall be deemed an original, but all of which together shall constitute one and the same instrument. Execution of a facsimile copy will have the same force and effect as execution of an original, and a facsimile signature will be deemed an original and valid signature.</w:t>
      </w:r>
    </w:p>
    <w:p>
      <w:pPr>
        <w:pStyle w:val="TextBody"/>
        <w:spacing w:before="2" w:after="283"/>
        <w:rPr/>
      </w:pPr>
      <w:r>
        <w:rPr/>
      </w:r>
    </w:p>
    <w:p>
      <w:pPr>
        <w:pStyle w:val="TextBody"/>
        <w:spacing w:lineRule="auto" w:line="285" w:before="91" w:after="283"/>
        <w:ind w:left="0" w:right="0" w:firstLine="1439"/>
        <w:jc w:val="both"/>
        <w:rPr/>
      </w:pPr>
      <w:r>
        <w:rPr>
          <w:rFonts w:ascii="Times New Roman;sans-serif" w:hAnsi="Times New Roman;sans-serif"/>
          <w:b w:val="false"/>
          <w:color w:val="000000"/>
          <w:sz w:val="24"/>
        </w:rPr>
        <w:t>(k)</w:t>
      </w:r>
      <w:r>
        <w:rPr>
          <w:rFonts w:ascii="Calibri;sans-serif" w:hAnsi="Calibri;sans-serif"/>
          <w:b/>
          <w:color w:val="000000"/>
          <w:sz w:val="22"/>
          <w:u w:val="single"/>
        </w:rPr>
        <w:t>Electronic Delivery</w:t>
      </w:r>
      <w:r>
        <w:rPr>
          <w:rFonts w:ascii="Calibri;sans-serif" w:hAnsi="Calibri;sans-serif"/>
          <w:b/>
          <w:color w:val="000000"/>
          <w:sz w:val="22"/>
        </w:rPr>
        <w:t xml:space="preserve">. </w:t>
      </w:r>
      <w:r>
        <w:rPr>
          <w:rFonts w:ascii="Calibri;sans-serif" w:hAnsi="Calibri;sans-serif"/>
          <w:b w:val="false"/>
          <w:color w:val="000000"/>
          <w:sz w:val="22"/>
        </w:rPr>
        <w:t>The Company may, in its sole discretion, decide to deliver any documents or notices related 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w:t>
      </w:r>
    </w:p>
    <w:p>
      <w:pPr>
        <w:pStyle w:val="TextBody"/>
        <w:spacing w:lineRule="auto" w:line="285" w:before="1" w:after="283"/>
        <w:jc w:val="both"/>
        <w:rPr>
          <w:rFonts w:ascii="Calibri;sans-serif" w:hAnsi="Calibri;sans-serif"/>
          <w:b w:val="false"/>
          <w:color w:val="000000"/>
          <w:sz w:val="22"/>
        </w:rPr>
      </w:pPr>
      <w:r>
        <w:rPr>
          <w:rFonts w:ascii="Calibri;sans-serif" w:hAnsi="Calibri;sans-serif"/>
          <w:b w:val="false"/>
          <w:color w:val="000000"/>
          <w:sz w:val="22"/>
        </w:rPr>
        <w:t>(i)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31" name="Frame2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40" w:before="106" w:after="283"/>
        <w:jc w:val="center"/>
        <w:rPr>
          <w:rFonts w:ascii="Calibri;sans-serif" w:hAnsi="Calibri;sans-serif"/>
          <w:b w:val="false"/>
          <w:i/>
          <w:color w:val="000000"/>
          <w:sz w:val="22"/>
        </w:rPr>
      </w:pPr>
      <w:r>
        <w:rPr>
          <w:rFonts w:ascii="Calibri;sans-serif" w:hAnsi="Calibri;sans-serif"/>
          <w:b w:val="false"/>
          <w:i/>
          <w:color w:val="000000"/>
          <w:sz w:val="22"/>
        </w:rPr>
        <w:t>[Signature Page Follows]</w:t>
      </w:r>
    </w:p>
    <w:p>
      <w:pPr>
        <w:pStyle w:val="TextBody"/>
        <w:spacing w:before="106" w:after="283"/>
        <w:jc w:val="center"/>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32" name="Frame2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1394" w:type="dxa"/>
        <w:jc w:val="left"/>
        <w:tblInd w:w="0" w:type="dxa"/>
        <w:tblCellMar>
          <w:top w:w="28" w:type="dxa"/>
          <w:left w:w="28" w:type="dxa"/>
          <w:bottom w:w="28" w:type="dxa"/>
          <w:right w:w="28" w:type="dxa"/>
        </w:tblCellMar>
      </w:tblPr>
      <w:tblGrid>
        <w:gridCol w:w="445"/>
        <w:gridCol w:w="392"/>
        <w:gridCol w:w="557"/>
      </w:tblGrid>
      <w:tr>
        <w:trPr/>
        <w:tc>
          <w:tcPr>
            <w:tcW w:w="44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Calibri;sans-serif" w:hAnsi="Calibri;sans-serif"/>
                <w:b/>
                <w:color w:val="000000"/>
                <w:sz w:val="22"/>
              </w:rPr>
            </w:pPr>
            <w:r>
              <w:rPr>
                <w:rFonts w:ascii="Calibri;sans-serif" w:hAnsi="Calibri;sans-serif"/>
                <w:b/>
                <w:color w:val="000000"/>
                <w:sz w:val="22"/>
              </w:rPr>
              <w:t>Exhibit 10.13</w:t>
            </w:r>
          </w:p>
        </w:tc>
      </w:tr>
    </w:tbl>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85" w:before="106" w:after="283"/>
        <w:ind w:left="0" w:right="0" w:firstLine="719"/>
        <w:jc w:val="both"/>
        <w:rPr>
          <w:rFonts w:ascii="Calibri;sans-serif" w:hAnsi="Calibri;sans-serif"/>
          <w:b w:val="false"/>
          <w:color w:val="000000"/>
          <w:sz w:val="22"/>
        </w:rPr>
      </w:pPr>
      <w:r>
        <w:rPr>
          <w:rFonts w:ascii="Calibri;sans-serif" w:hAnsi="Calibri;sans-serif"/>
          <w:b w:val="false"/>
          <w:color w:val="000000"/>
          <w:sz w:val="22"/>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Very truly yours,</w:t>
      </w:r>
    </w:p>
    <w:p>
      <w:pPr>
        <w:pStyle w:val="TextBody"/>
        <w:spacing w:before="0" w:after="0"/>
        <w:rPr/>
      </w:pPr>
      <w:r>
        <w:rPr/>
      </w:r>
    </w:p>
    <w:p>
      <w:pPr>
        <w:pStyle w:val="TextBody"/>
        <w:spacing w:before="0" w:after="0"/>
        <w:rPr/>
      </w:pPr>
      <w:r>
        <w:rPr/>
      </w:r>
    </w:p>
    <w:p>
      <w:pPr>
        <w:pStyle w:val="TextBody"/>
        <w:spacing w:lineRule="auto" w:line="240" w:before="0" w:after="0"/>
        <w:rPr/>
      </w:pPr>
      <w:r>
        <w:rPr>
          <w:rFonts w:ascii="Calibri;sans-serif" w:hAnsi="Calibri;sans-serif"/>
          <w:b w:val="false"/>
          <w:color w:val="000000"/>
          <w:sz w:val="22"/>
        </w:rPr>
        <w:t>By</w:t>
      </w:r>
      <w:r>
        <w:rPr>
          <w:rFonts w:ascii="Calibri;sans-serif" w:hAnsi="Calibri;sans-serif"/>
          <w:b w:val="false"/>
          <w:color w:val="000000"/>
          <w:sz w:val="20"/>
        </w:rPr>
        <w:t xml:space="preserve">: </w:t>
      </w:r>
      <w:r>
        <w:rPr>
          <w:rFonts w:ascii="Calibri;sans-serif" w:hAnsi="Calibri;sans-serif"/>
          <w:b w:val="false"/>
          <w:color w:val="000000"/>
          <w:sz w:val="20"/>
          <w:u w:val="single"/>
        </w:rPr>
        <w:t xml:space="preserve">/s/ Vivek Garipalli </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Vivek Garipalli, CEO &amp; Co-Founder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 w:after="283"/>
        <w:rPr/>
      </w:pPr>
      <w:r>
        <w:rPr/>
      </w:r>
    </w:p>
    <w:p>
      <w:pPr>
        <w:pStyle w:val="TextBody"/>
        <w:spacing w:lineRule="auto" w:line="240" w:before="106" w:after="283"/>
        <w:rPr>
          <w:rFonts w:ascii="Calibri;sans-serif" w:hAnsi="Calibri;sans-serif"/>
          <w:b/>
          <w:color w:val="000000"/>
          <w:sz w:val="22"/>
        </w:rPr>
      </w:pPr>
      <w:r>
        <w:rPr>
          <w:rFonts w:ascii="Calibri;sans-serif" w:hAnsi="Calibri;sans-serif"/>
          <w:b/>
          <w:color w:val="000000"/>
          <w:sz w:val="22"/>
        </w:rPr>
        <w:t>Agreed to and Accepted by:</w:t>
      </w:r>
    </w:p>
    <w:p>
      <w:pPr>
        <w:pStyle w:val="TextBody"/>
        <w:spacing w:before="0" w:after="0"/>
        <w:rPr/>
      </w:pPr>
      <w:r>
        <w:rPr/>
      </w:r>
    </w:p>
    <w:p>
      <w:pPr>
        <w:pStyle w:val="TextBody"/>
        <w:spacing w:before="0" w:after="0"/>
        <w:rPr/>
      </w:pPr>
      <w:r>
        <w:rPr/>
      </w:r>
    </w:p>
    <w:p>
      <w:pPr>
        <w:pStyle w:val="TextBody"/>
        <w:spacing w:before="106" w:after="283"/>
        <w:rPr/>
      </w:pPr>
      <w:r>
        <w:rPr/>
      </w:r>
    </w:p>
    <w:p>
      <w:pPr>
        <w:pStyle w:val="TextBody"/>
        <w:spacing w:before="0" w:after="0"/>
        <w:rPr/>
      </w:pPr>
      <w:r>
        <w:rPr/>
      </w:r>
    </w:p>
    <w:p>
      <w:pPr>
        <w:pStyle w:val="TextBody"/>
        <w:spacing w:lineRule="auto" w:line="240" w:before="0" w:after="0"/>
        <w:rPr>
          <w:rFonts w:ascii="Calibri;sans-serif" w:hAnsi="Calibri;sans-serif"/>
          <w:b w:val="false"/>
          <w:color w:val="000000"/>
          <w:sz w:val="22"/>
          <w:u w:val="single"/>
        </w:rPr>
      </w:pPr>
      <w:r>
        <w:rPr>
          <w:rFonts w:ascii="Calibri;sans-serif" w:hAnsi="Calibri;sans-serif"/>
          <w:b w:val="false"/>
          <w:color w:val="000000"/>
          <w:sz w:val="22"/>
          <w:u w:val="single"/>
        </w:rPr>
        <w:t xml:space="preserve">/s/ Prabhdeep Singh </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Prabhdeep Singh</w:t>
      </w:r>
    </w:p>
    <w:p>
      <w:pPr>
        <w:pStyle w:val="TextBody"/>
        <w:spacing w:lineRule="auto" w:line="240" w:before="139" w:after="283"/>
        <w:rPr>
          <w:rFonts w:ascii="Arial;sans-serif" w:hAnsi="Arial;sans-serif"/>
          <w:b w:val="false"/>
          <w:color w:val="000000"/>
          <w:sz w:val="18"/>
          <w:highlight w:val="black"/>
        </w:rPr>
      </w:pPr>
      <w:r>
        <w:rPr>
          <w:rFonts w:ascii="Arial;sans-serif" w:hAnsi="Arial;sans-serif"/>
          <w:b w:val="false"/>
          <w:color w:val="000000"/>
          <w:sz w:val="18"/>
          <w:highlight w:val="black"/>
        </w:rPr>
        <w:t>241 Atlantic Avenue, 5A</w:t>
      </w:r>
    </w:p>
    <w:p>
      <w:pPr>
        <w:pStyle w:val="TextBody"/>
        <w:spacing w:lineRule="auto" w:line="240" w:before="31" w:after="283"/>
        <w:rPr/>
      </w:pPr>
      <w:r>
        <w:rPr>
          <w:rFonts w:ascii="Arial;sans-serif" w:hAnsi="Arial;sans-serif"/>
          <w:b w:val="false"/>
          <w:color w:val="000000"/>
          <w:sz w:val="18"/>
          <w:highlight w:val="black"/>
          <w:u w:val="single"/>
        </w:rPr>
        <w:t>Brooklyn, NY 11201</w:t>
      </w:r>
      <w:r>
        <w:rPr>
          <w:color w:val="000000"/>
          <w:u w:val="single"/>
        </w:rPr>
        <w:t>    </w:t>
      </w:r>
    </w:p>
    <w:p>
      <w:pPr>
        <w:pStyle w:val="TextBody"/>
        <w:spacing w:before="0" w:after="0"/>
        <w:rPr/>
      </w:pPr>
      <w:r>
        <w:rPr/>
      </w:r>
    </w:p>
    <w:p>
      <w:pPr>
        <w:pStyle w:val="TextBody"/>
        <w:spacing w:before="8" w:after="283"/>
        <w:ind w:left="0" w:right="0" w:firstLine="720"/>
        <w:rPr/>
      </w:pPr>
      <w:r>
        <w:rPr/>
      </w:r>
    </w:p>
    <w:p>
      <w:pPr>
        <w:pStyle w:val="TextBody"/>
        <w:spacing w:lineRule="auto" w:line="240" w:before="39" w:after="283"/>
        <w:rPr>
          <w:rFonts w:ascii="Calibri;sans-serif" w:hAnsi="Calibri;sans-serif"/>
          <w:b w:val="false"/>
          <w:color w:val="000000"/>
          <w:sz w:val="22"/>
        </w:rPr>
      </w:pPr>
      <w:r>
        <w:rPr>
          <w:rFonts w:ascii="Calibri;sans-serif" w:hAnsi="Calibri;sans-serif"/>
          <w:b w:val="false"/>
          <w:color w:val="000000"/>
          <w:sz w:val="22"/>
        </w:rPr>
        <w:t>Address</w:t>
      </w:r>
    </w:p>
    <w:p>
      <w:pPr>
        <w:pStyle w:val="TextBody"/>
        <w:spacing w:before="6" w:after="283"/>
        <w:rPr/>
      </w:pPr>
      <w:r>
        <w:rPr/>
      </w:r>
    </w:p>
    <w:p>
      <w:pPr>
        <w:pStyle w:val="TextBody"/>
        <w:spacing w:lineRule="auto" w:line="237" w:before="102" w:after="283"/>
        <w:rPr>
          <w:rFonts w:ascii="Arial;sans-serif" w:hAnsi="Arial;sans-serif"/>
          <w:b w:val="false"/>
          <w:color w:val="000000"/>
          <w:sz w:val="18"/>
        </w:rPr>
      </w:pPr>
      <w:r>
        <w:rPr>
          <w:rFonts w:ascii="Arial;sans-serif" w:hAnsi="Arial;sans-serif"/>
          <w:b w:val="false"/>
          <w:color w:val="000000"/>
          <w:sz w:val="18"/>
        </w:rPr>
        <w:t>6/15/2021</w:t>
      </w:r>
    </w:p>
    <w:p>
      <w:pPr>
        <w:pStyle w:val="TextBody"/>
        <w:spacing w:lineRule="auto" w:line="290" w:before="0" w:after="0"/>
        <w:rPr/>
      </w:pPr>
      <w:r>
        <w:rPr>
          <w:rFonts w:ascii="Calibri;sans-serif" w:hAnsi="Calibri;sans-serif"/>
          <w:b w:val="false"/>
          <w:color w:val="000000"/>
          <w:sz w:val="22"/>
        </w:rPr>
        <w:t xml:space="preserve">Date: </w:t>
      </w:r>
      <w:r>
        <w:rPr>
          <w:color w:val="000000"/>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33" name="Frame2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ATTACHMENT A</w:t>
      </w:r>
    </w:p>
    <w:p>
      <w:pPr>
        <w:pStyle w:val="TextBody"/>
        <w:spacing w:before="0" w:after="0"/>
        <w:jc w:val="center"/>
        <w:rPr/>
      </w:pPr>
      <w:r>
        <w:rPr/>
      </w:r>
    </w:p>
    <w:p>
      <w:pPr>
        <w:pStyle w:val="TextBody"/>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SEPARATION AGREEMENT AND RELEASE</w:t>
      </w:r>
    </w:p>
    <w:p>
      <w:pPr>
        <w:pStyle w:val="TextBody"/>
        <w:spacing w:before="4"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This Confidential Separation and Release Agreement (“Agreement”) sets forth the agreement reached concerning the separation of [EMPLOYEE NAME] (herein referred to as “you,” “your” or similar words, as the context requires) from employment with [ENTITY NAME], and/or its affiliates (collectively, the “Company”).</w:t>
      </w:r>
    </w:p>
    <w:p>
      <w:pPr>
        <w:pStyle w:val="TextBody"/>
        <w:spacing w:before="5" w:after="283"/>
        <w:rPr/>
      </w:pPr>
      <w:r>
        <w:rPr/>
      </w:r>
    </w:p>
    <w:p>
      <w:pPr>
        <w:pStyle w:val="TextBody"/>
        <w:spacing w:lineRule="auto" w:line="300" w:before="0" w:after="0"/>
        <w:ind w:left="0" w:right="0" w:firstLine="1215"/>
        <w:rPr>
          <w:rFonts w:ascii="Times New Roman;sans-serif" w:hAnsi="Times New Roman;sans-serif"/>
          <w:b w:val="false"/>
          <w:color w:val="000000"/>
          <w:sz w:val="24"/>
        </w:rPr>
      </w:pPr>
      <w:r>
        <w:rPr>
          <w:rFonts w:ascii="Times New Roman;sans-serif" w:hAnsi="Times New Roman;sans-serif"/>
          <w:b w:val="false"/>
          <w:color w:val="000000"/>
          <w:sz w:val="24"/>
        </w:rPr>
        <w:t>WHEREAS, your employment with the Company is ending effective [DATE], (the “Separation Date”), and thereafter you no longer will be employed with the Company; and</w:t>
      </w:r>
    </w:p>
    <w:p>
      <w:pPr>
        <w:pStyle w:val="TextBody"/>
        <w:spacing w:before="7"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WHEREAS, you and the Company desire to end your employment relationship amicably, and settle, compromise and resolve any and all claims and disputes, whether known or unknown, which you may have against the Company at any time up to and including the date you sign this Agreement;</w:t>
      </w:r>
    </w:p>
    <w:p>
      <w:pPr>
        <w:pStyle w:val="TextBody"/>
        <w:spacing w:before="8"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promises contained in this Agreement, you and the Company agree as follows:</w:t>
      </w:r>
    </w:p>
    <w:p>
      <w:pPr>
        <w:pStyle w:val="TextBody"/>
        <w:spacing w:before="3" w:after="283"/>
        <w:rPr/>
      </w:pPr>
      <w:r>
        <w:rPr/>
      </w:r>
    </w:p>
    <w:p>
      <w:pPr>
        <w:pStyle w:val="TextBody"/>
        <w:spacing w:lineRule="auto" w:line="288" w:before="1" w:after="283"/>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Consideration for Execution of this Agreement.</w:t>
      </w:r>
      <w:r>
        <w:rPr>
          <w:color w:val="000000"/>
        </w:rPr>
        <w:t xml:space="preserve"> </w:t>
      </w:r>
      <w:r>
        <w:rPr>
          <w:rFonts w:ascii="Times New Roman;sans-serif" w:hAnsi="Times New Roman;sans-serif"/>
          <w:b w:val="false"/>
          <w:color w:val="000000"/>
          <w:sz w:val="24"/>
        </w:rPr>
        <w:t>As consideration for your promises and obligations under this Agreement, the Company will provide you with the following consideration to which you are not otherwise entitled, provided you sign this Agreement within seven (7) days of receipt but not before your actual Separation Date:</w:t>
      </w:r>
    </w:p>
    <w:p>
      <w:pPr>
        <w:pStyle w:val="TextBody"/>
        <w:spacing w:before="10" w:after="283"/>
        <w:rPr/>
      </w:pPr>
      <w:r>
        <w:rPr/>
      </w:r>
    </w:p>
    <w:p>
      <w:pPr>
        <w:pStyle w:val="TextBody"/>
        <w:spacing w:lineRule="auto" w:line="240" w:before="0" w:after="0"/>
        <w:ind w:left="0" w:right="0" w:hanging="361"/>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Severance Payment</w:t>
      </w:r>
      <w:r>
        <w:rPr>
          <w:rFonts w:ascii="Times New Roman;sans-serif" w:hAnsi="Times New Roman;sans-serif"/>
          <w:b w:val="false"/>
          <w:color w:val="000000"/>
          <w:sz w:val="24"/>
        </w:rPr>
        <w:t>. The Company will pay you an amount equivalent to [ ] ($[</w:t>
      </w:r>
    </w:p>
    <w:p>
      <w:pPr>
        <w:pStyle w:val="TextBody"/>
        <w:spacing w:lineRule="auto" w:line="288" w:before="1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weeks of your regular base salary, in the gross amount of [ ] ($[ ]), less applicable taxes and withholdings (the “Severance Payment”). The Severance Payment will be paid in a one-time, lump sum payment and payable upon the next regularly scheduled Company payroll date after your signed Agreement is received by the Company.</w:t>
      </w:r>
    </w:p>
    <w:p>
      <w:pPr>
        <w:pStyle w:val="TextBody"/>
        <w:spacing w:before="7" w:after="283"/>
        <w:rPr/>
      </w:pPr>
      <w:r>
        <w:rPr/>
      </w:r>
    </w:p>
    <w:p>
      <w:pPr>
        <w:pStyle w:val="TextBody"/>
        <w:spacing w:lineRule="auto" w:line="264" w:before="1" w:after="283"/>
        <w:ind w:left="0" w:right="0" w:hanging="0"/>
        <w:rPr>
          <w:rFonts w:ascii="Times New Roman;sans-serif" w:hAnsi="Times New Roman;sans-serif"/>
          <w:b w:val="false"/>
          <w:color w:val="000000"/>
          <w:sz w:val="24"/>
        </w:rPr>
      </w:pPr>
      <w:r>
        <w:rPr>
          <w:rFonts w:ascii="Times New Roman;sans-serif" w:hAnsi="Times New Roman;sans-serif"/>
          <w:b w:val="false"/>
          <w:color w:val="000000"/>
          <w:sz w:val="24"/>
        </w:rPr>
        <w:t>You acknowledge and agree that you would not be otherwise entitled to any of the above consideration but for your signing this Agreement and adhering to its terms and conditions.</w:t>
      </w:r>
    </w:p>
    <w:p>
      <w:pPr>
        <w:pStyle w:val="TextBody"/>
        <w:spacing w:before="0" w:after="0"/>
        <w:rPr/>
      </w:pPr>
      <w:r>
        <w:rPr/>
      </w:r>
    </w:p>
    <w:p>
      <w:pPr>
        <w:pStyle w:val="TextBody"/>
        <w:spacing w:lineRule="auto" w:line="292" w:before="0" w:after="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General Release of Claims.</w:t>
      </w:r>
      <w:r>
        <w:rPr>
          <w:color w:val="000000"/>
        </w:rPr>
        <w:t xml:space="preserve"> </w:t>
      </w:r>
      <w:r>
        <w:rPr>
          <w:rFonts w:ascii="Times New Roman;sans-serif" w:hAnsi="Times New Roman;sans-serif"/>
          <w:b w:val="false"/>
          <w:color w:val="000000"/>
          <w:sz w:val="24"/>
        </w:rPr>
        <w:t>You agree to release and forever discharge the Company, the Company’s affiliates, subsidiaries, parents, predecessors, successors and assigns, and the officers, directors, shareholders, agents, employees, counsel and insurers of each of them (together, the “Released Parties”) from any and all claims you may have or have had against any of the Released Parties arising prior to or on the dates you execute this Agreement, including without limitation any and all claims arising out of your employment with the Company and/or the termination of that employment. You understand and agree that this release is intended to waive all claims of every kind and nature, whether known or unknown, actual or contingent, asserted or unasserted, arising under common law, statutory law or otherwise. This release includes any and all causes of actions or claims you have had, now have, or may have up to the dates you execute this Agreement including, without limitation, any claims arising pursuant 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34" name="Frame2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Age Discrimination in Employment Act (“ADEA”), Title VII of the Civil Rights Act, the Family and Medical Leave Act, and the Americans with Disabilities Act, and common, federal, state, and local laws, regulations, rules, and ordinances. You also waive any claim to reinstatement or re-employment with the Company following your Separation Date.</w:t>
      </w:r>
    </w:p>
    <w:p>
      <w:pPr>
        <w:pStyle w:val="TextBody"/>
        <w:spacing w:before="10"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You expressly acknowledge and represent that you have received all wages, benefits, compensation, reimbursements, vacation and paid time off, or any other remuneration to which you were entitled as an employee of the Company and are not currently aware of any facts or circumstances constituting a claim or cause of action you could bring for violation of the Fair Labor Standards Act (“FLSA”) or any other federal, state or local constitution, statute, rule, regulation, or common law that applies to your employment relationship. You expressly acknowledge and represent that no one has interfered with your ability to report possible violations of any law and it is Released Parties’ policy to encourage such reporting. You further acknowledge and represent that you have not suffered any on-the-job injury for which you have not already filed a claim, and the end of your employment is not related to any such injury.</w:t>
      </w:r>
    </w:p>
    <w:p>
      <w:pPr>
        <w:pStyle w:val="TextBody"/>
        <w:spacing w:before="7"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No claim of any sort is exempt from the above release, except claims that the law does not allow you to waive by signing this Agreement, such as claims for workers’ compensation benefits (but it does apply to, waive and affect claims of discrimination and/or retaliation on the basis of having made a workers’ compensation claim), claims for unemployment benefits, or your rights to any vested benefits to which you are entitled under the terms of the applicable employee benefit plan. For the purpose of implementing a full and complete release, you expressly acknowledge that the release given in this Agreement is intended to include, without limitation, claims that you did not know or suspect to exist in your favor at the time of the date of your execution of this Agreement, regardless of whether the knowledge of such claims, or the facts upon with which they might be based, would have materially affected the settlement of this matter; and that the consideration provided under this Agreement was also for the release of those claims and contemplates the extinguishment of any such unknown claims.</w:t>
      </w:r>
    </w:p>
    <w:p>
      <w:pPr>
        <w:pStyle w:val="TextBody"/>
        <w:spacing w:before="5" w:after="283"/>
        <w:rPr/>
      </w:pPr>
      <w:r>
        <w:rPr/>
      </w:r>
    </w:p>
    <w:p>
      <w:pPr>
        <w:pStyle w:val="TextBody"/>
        <w:spacing w:lineRule="auto" w:line="240" w:before="0" w:after="0"/>
        <w:ind w:left="0" w:right="0" w:hanging="63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Time to Consider/Effective Date</w:t>
      </w:r>
      <w:r>
        <w:rPr>
          <w:rFonts w:ascii="Times New Roman;sans-serif" w:hAnsi="Times New Roman;sans-serif"/>
          <w:b w:val="false"/>
          <w:color w:val="000000"/>
          <w:sz w:val="24"/>
        </w:rPr>
        <w:t>.</w:t>
      </w:r>
    </w:p>
    <w:p>
      <w:pPr>
        <w:pStyle w:val="TextBody"/>
        <w:spacing w:before="0" w:after="0"/>
        <w:rPr/>
      </w:pPr>
      <w:r>
        <w:rPr/>
      </w:r>
    </w:p>
    <w:p>
      <w:pPr>
        <w:pStyle w:val="TextBody"/>
        <w:spacing w:before="9" w:after="283"/>
        <w:rPr/>
      </w:pPr>
      <w:r>
        <w:rPr/>
      </w:r>
    </w:p>
    <w:p>
      <w:pPr>
        <w:pStyle w:val="TextBody"/>
        <w:spacing w:lineRule="auto" w:line="288" w:before="1"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Acknowledgments/Time to Consider</w:t>
      </w:r>
      <w:r>
        <w:rPr>
          <w:rFonts w:ascii="Times New Roman;sans-serif" w:hAnsi="Times New Roman;sans-serif"/>
          <w:b w:val="false"/>
          <w:color w:val="000000"/>
          <w:sz w:val="24"/>
        </w:rPr>
        <w:t>. You acknowledge and agree that (a) you have read and understand the terms of this Agreement; (b) you have been given seven (7) days to consider whether or not to enter into this Agreement (although you may elect not to use the 7-day period at your option); and (c) by signing this Agreement, you acknowledge that you do so freely, knowingly, and voluntarily.</w:t>
      </w:r>
    </w:p>
    <w:p>
      <w:pPr>
        <w:pStyle w:val="TextBody"/>
        <w:spacing w:before="10" w:after="283"/>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Agreement shall become effective and enforceable on the date you sign this Agreement (“Effective Date”).</w:t>
      </w:r>
    </w:p>
    <w:p>
      <w:pPr>
        <w:pStyle w:val="TextBody"/>
        <w:spacing w:before="3" w:after="283"/>
        <w:rPr/>
      </w:pPr>
      <w:r>
        <w:rPr/>
      </w:r>
    </w:p>
    <w:p>
      <w:pPr>
        <w:pStyle w:val="TextBody"/>
        <w:spacing w:lineRule="auto" w:line="288" w:before="1" w:after="283"/>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Restrictive Covenants.</w:t>
      </w:r>
      <w:r>
        <w:rPr>
          <w:color w:val="000000"/>
        </w:rPr>
        <w:t xml:space="preserve"> </w:t>
      </w:r>
      <w:r>
        <w:rPr>
          <w:rFonts w:ascii="Times New Roman;sans-serif" w:hAnsi="Times New Roman;sans-serif"/>
          <w:b w:val="false"/>
          <w:color w:val="000000"/>
          <w:sz w:val="24"/>
        </w:rPr>
        <w:t>You agree and acknowledge that, notwithstanding anything stated in this Agreement, you shall remain bound by the terms of any other agreement relating to non- competition, non-solicitation, confidentiality, intellectual property, or inventions that you executed prior to commencing employment with the Company, or during your employment 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35" name="Frame2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any Company policies concerning non-competition, non-solicitation, confidentiality, intellectual property, or inventions that were in force at the time of your separation.</w:t>
      </w:r>
    </w:p>
    <w:p>
      <w:pPr>
        <w:pStyle w:val="TextBody"/>
        <w:spacing w:before="2" w:after="283"/>
        <w:rPr/>
      </w:pPr>
      <w:r>
        <w:rPr/>
      </w:r>
    </w:p>
    <w:p>
      <w:pPr>
        <w:pStyle w:val="TextBody"/>
        <w:spacing w:lineRule="auto" w:line="288" w:before="1" w:after="283"/>
        <w:ind w:left="0" w:right="0" w:hanging="36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Non-Litigation Covenant</w:t>
      </w:r>
      <w:r>
        <w:rPr>
          <w:rFonts w:ascii="Times New Roman;sans-serif" w:hAnsi="Times New Roman;sans-serif"/>
          <w:b/>
          <w:color w:val="000000"/>
          <w:sz w:val="24"/>
        </w:rPr>
        <w:t xml:space="preserve">. </w:t>
      </w:r>
      <w:r>
        <w:rPr>
          <w:rFonts w:ascii="Times New Roman;sans-serif" w:hAnsi="Times New Roman;sans-serif"/>
          <w:b w:val="false"/>
          <w:color w:val="000000"/>
          <w:sz w:val="24"/>
        </w:rPr>
        <w:t>You further agree not to sue Company or any Releasee with regard to any claim released in Section 2 of this Agreement. You understand that the provisions of this Agreement shall not be construed as preventing you from filing a charge with or cooperating or participating in any investigation or proceeding conducted by any governmental agency, only to the extent you are permitted to do so by law, notwithstanding any provisions of any agreement to the contrary. Both parties acknowledge that this Agreement does not limit your right to communicate with governmental agencies, including filing or participating in an investigative proceeding. Such communication, whether initiated by you or an agency, is not limited by this Agreement. However, you expressly release, waive, and disclaim any right to personal compensation or other benefit, including cost and attorneys’ fees, that may otherwise inure to you as a result of you filing any such charge with a government agency. You understand that the provisions of this paragraph mean that you cannot bring a personal, collective or class action lawsuit or arbitration in any forum against the Releasees for any reason for claims you may have as of the date of this Agreement.</w:t>
      </w:r>
    </w:p>
    <w:p>
      <w:pPr>
        <w:pStyle w:val="TextBody"/>
        <w:spacing w:before="10" w:after="283"/>
        <w:rPr/>
      </w:pPr>
      <w:r>
        <w:rPr/>
      </w:r>
    </w:p>
    <w:p>
      <w:pPr>
        <w:pStyle w:val="TextBody"/>
        <w:spacing w:lineRule="auto" w:line="288" w:before="0" w:after="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 xml:space="preserve">Waiver of Relator Recover. </w:t>
      </w:r>
      <w:r>
        <w:rPr>
          <w:rFonts w:ascii="Times New Roman;sans-serif" w:hAnsi="Times New Roman;sans-serif"/>
          <w:b w:val="false"/>
          <w:color w:val="000000"/>
          <w:sz w:val="24"/>
        </w:rPr>
        <w:t xml:space="preserve">To the fullest extent permitted by law, you further agree to release, waive, and forever discharge your right to any portion of any settlement, judgment, or other recovery as a Relator under the </w:t>
      </w:r>
      <w:r>
        <w:rPr>
          <w:rFonts w:ascii="Times New Roman;sans-serif" w:hAnsi="Times New Roman;sans-serif"/>
          <w:b w:val="false"/>
          <w:i/>
          <w:color w:val="000000"/>
          <w:sz w:val="24"/>
        </w:rPr>
        <w:t xml:space="preserve">qui tam </w:t>
      </w:r>
      <w:r>
        <w:rPr>
          <w:rFonts w:ascii="Times New Roman;sans-serif" w:hAnsi="Times New Roman;sans-serif"/>
          <w:b w:val="false"/>
          <w:color w:val="000000"/>
          <w:sz w:val="24"/>
        </w:rPr>
        <w:t>provisions of the False Claims Act, 31 U.S.C. § 3730, or analogous state false claims acts, in any lawsuit arising from, or in any way related to, any transactions or occurrences involving Company, and other companies Company dealt with, their affiliated or related entities through common identity of ownership (in whole or in part) from the beginning of time until the present, including but not limited to, any right to receive expenses, attorneys’ fees, and costs under 31 U.S.C. § 3730(d) or analogous state laws.</w:t>
      </w:r>
    </w:p>
    <w:p>
      <w:pPr>
        <w:pStyle w:val="TextBody"/>
        <w:spacing w:before="3" w:after="283"/>
        <w:rPr/>
      </w:pPr>
      <w:r>
        <w:rPr/>
      </w:r>
    </w:p>
    <w:p>
      <w:pPr>
        <w:pStyle w:val="TextBody"/>
        <w:spacing w:lineRule="auto" w:line="288" w:before="0" w:after="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You acknowledge that during your employment you have learned Confidential Information relating to the business conducted and to be conducted by the Company. You agree that you have not and will not disclose or use or authorize any third party to disclose or use any such Confidential Information, without prior written approval of the Company. As used in this Agreement, “Confidential Information” means all information belonging to the Company or provided to the Company by a customer that is not known generally to the public or the Company’s competitors and includes all trade secrets, client lists and information related to client files, know-how, show-how, technical, operating, financial, and other business information and materials. Confidential Information shall not, however, include any general know-how or skills that you possess whether obtained through your employment at the Company or elsewhere. Confidential Information also does not include information that (i) is publicly known or becomes publicly known through no fault of yours, or (ii) is generally or readily obtainable by the public. You understand that your obligations related to Confidential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36" name="Frame2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are in addition to, and not in lieu of, your obligations with regard to the protection of the Company’s trade secrets under the law governing misappropriation of the Company’s trade secrets, and any other agreements you may have with the Company of similar subject matter.</w:t>
      </w:r>
    </w:p>
    <w:p>
      <w:pPr>
        <w:pStyle w:val="TextBody"/>
        <w:spacing w:before="0" w:after="0"/>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You may not be held criminally or civilly liable under any Federal or State trade secret law for the disclosure of a trade secret that is made: (a) in confidence to a Federal, State, or local government official, either directly or indirectly, or to an attorney, and provided that such disclosure is solely for the purpose of reporting or investigating a suspected violation of the law; or (b) in a complaint or other document filed in a lawsuit or other proceeding, provided that such filing is made under seal. Additionally, in the event you file a lawsuit against the Company for retaliation by the Company against you for reporting a suspected violation of law, you understand that you have the right to provide trade secret information to your attorney and use the trade secret information in the court proceeding, although you must file any document containing the trade secret under seal and you may not disclose the trade secret, except pursuant to court order.</w:t>
      </w:r>
    </w:p>
    <w:p>
      <w:pPr>
        <w:pStyle w:val="TextBody"/>
        <w:spacing w:before="6" w:after="283"/>
        <w:rPr/>
      </w:pPr>
      <w:r>
        <w:rPr/>
      </w:r>
    </w:p>
    <w:p>
      <w:pPr>
        <w:pStyle w:val="TextBody"/>
        <w:spacing w:lineRule="auto" w:line="288" w:before="0" w:after="0"/>
        <w:ind w:left="0" w:right="0" w:firstLine="709"/>
        <w:jc w:val="both"/>
        <w:rPr>
          <w:rFonts w:ascii="Times New Roman;sans-serif" w:hAnsi="Times New Roman;sans-serif"/>
          <w:b w:val="false"/>
          <w:color w:val="000000"/>
          <w:sz w:val="24"/>
        </w:rPr>
      </w:pPr>
      <w:r>
        <w:rPr>
          <w:rFonts w:ascii="Times New Roman;sans-serif" w:hAnsi="Times New Roman;sans-serif"/>
          <w:b w:val="false"/>
          <w:color w:val="000000"/>
          <w:sz w:val="24"/>
        </w:rPr>
        <w:t>By signing this Agreement, you represent and warrant that you will not and have not disclosed any Confidential Information to a third party, or, except as permitted, consistent with Company policy, with respect to your personal mobile device(s) used for business purposes, sent/downloaded any Confidential Information to your personal email account(s), personal computer(s), personal mobile device(s), and/or external and removable thumb or flash drives. Insofar as you have printed any Confidential Information or sent/downloaded any Confidential Information on your personal mobile device(s), you represent and warrant that you have shredded and/or deleted all such information upon termination of your employment.</w:t>
      </w:r>
    </w:p>
    <w:p>
      <w:pPr>
        <w:pStyle w:val="TextBody"/>
        <w:spacing w:before="8" w:after="283"/>
        <w:rPr/>
      </w:pPr>
      <w:r>
        <w:rPr/>
      </w:r>
    </w:p>
    <w:p>
      <w:pPr>
        <w:pStyle w:val="TextBody"/>
        <w:spacing w:lineRule="auto" w:line="288" w:before="0" w:after="0"/>
        <w:ind w:left="0" w:right="0" w:firstLine="709"/>
        <w:jc w:val="both"/>
        <w:rPr/>
      </w:pPr>
      <w:r>
        <w:rPr>
          <w:rFonts w:ascii="Times New Roman;sans-serif" w:hAnsi="Times New Roman;sans-serif"/>
          <w:b/>
          <w:color w:val="000000"/>
          <w:sz w:val="24"/>
        </w:rPr>
        <w:t xml:space="preserve">PROTECTED RIGHTS: Nothing in this Agreement is intended to waive claims: (i) for vested rights under ERISA-covered employee benefit plans as applicable on the date you sign this Agreement; (ii) that may arise after the parties sign this Agreement; or (iii) which cannot be released by private agreement. In addition, nothing in this Agreement including but not limited to the release of claims, cooperation, non-disparagement, covenant not to sue, acknowledgements and representations, shall be construed to waive your right to testify in an administrative, legislative, or judicial proceeding concerning alleged criminal conduct on the part of the Company, or on the part of the agents or employees of the Company, when you have been required or requested to attend such a proceeding pursuant to a court order, subpoena, or written request from an administrative agency or the legislature, or shall prevent you from filing a charge or complaint with or from participating in an investigation or proceeding conducted by the Equal Employment Opportunity Commission (EEOC), National Labor Relations Board (NLRB), or any other any federal, state or local agency charged with the enforcement of any laws, or from exercising rights under Section 7 of the National Labor Relations Act </w:t>
      </w:r>
      <w:r>
        <w:rPr>
          <w:rFonts w:ascii="Times New Roman;sans-serif" w:hAnsi="Times New Roman;sans-serif"/>
          <w:b w:val="false"/>
          <w:color w:val="000000"/>
          <w:sz w:val="24"/>
        </w:rPr>
        <w:t>(</w:t>
      </w:r>
      <w:r>
        <w:rPr>
          <w:rFonts w:ascii="Times New Roman;sans-serif" w:hAnsi="Times New Roman;sans-serif"/>
          <w:b/>
          <w:color w:val="000000"/>
          <w:sz w:val="24"/>
        </w:rPr>
        <w:t>NLRA) to engage in joint activity with other employee, although by signing this release you are waiving rights to individual relief based on claims asserted in such a charge or complaint, or asserted by any third-party on your behalf, except where such a waiver of individual relief is prohibited.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37" name="Frame2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both"/>
        <w:rPr>
          <w:rFonts w:ascii="Times New Roman;sans-serif" w:hAnsi="Times New Roman;sans-serif"/>
          <w:b/>
          <w:color w:val="000000"/>
          <w:sz w:val="24"/>
        </w:rPr>
      </w:pPr>
      <w:r>
        <w:rPr>
          <w:rFonts w:ascii="Times New Roman;sans-serif" w:hAnsi="Times New Roman;sans-serif"/>
          <w:b/>
          <w:color w:val="000000"/>
          <w:sz w:val="24"/>
        </w:rPr>
        <w:t>ALTHOUGH THE PARTIES MAY HAVE AGREED TO KEEP THIS AGREEMENT, ITS TERMS AND UNDERLYING DETAILS CONFIDENTIAL, SUCH A PROVISION IS UNENFORCEABLE AS TO THE UNDERLYING DETAILS OF ANY CLAIM OF HARASSMENT, DISCRIMINATION OR RETALIATION AND IS UNENFORCEABLE AGAINST THE EMPLOYER IF THE EMPLOYEE PUBLICLY REVEALS SUFFICIENT DETAILS OF THE CLAIM SO THAT THE EMPLOYER IS REASONABLY IDENTIFIABLE.</w:t>
      </w:r>
    </w:p>
    <w:p>
      <w:pPr>
        <w:pStyle w:val="TextBody"/>
        <w:spacing w:before="5" w:after="283"/>
        <w:rPr/>
      </w:pPr>
      <w:r>
        <w:rPr/>
      </w:r>
    </w:p>
    <w:p>
      <w:pPr>
        <w:pStyle w:val="TextBody"/>
        <w:spacing w:lineRule="auto" w:line="288" w:before="0" w:after="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No Recognition of Wrongdoing.</w:t>
      </w:r>
      <w:r>
        <w:rPr>
          <w:color w:val="000000"/>
        </w:rPr>
        <w:t xml:space="preserve"> </w:t>
      </w:r>
      <w:r>
        <w:rPr>
          <w:rFonts w:ascii="Times New Roman;sans-serif" w:hAnsi="Times New Roman;sans-serif"/>
          <w:b w:val="false"/>
          <w:color w:val="000000"/>
          <w:sz w:val="24"/>
        </w:rPr>
        <w:t>The signing of this Agreement and payment of the consideration described in it do not represent any admission of wrongdoing or violation of any statute, agreement, or common law by the Company. You represent that, as of the date(s) you sign this Agreement, except as to concerns that you have already raised with the Company, you are not aware of and have not engaged in any activity that would constitute wrongful conduct including, but not limited to, fraud, misrepresentation, violation of any federal, state or local law or regulation, or any conduct contrary to existing policies of the Company. You further represent that you have complied with any existing obligations up through the date(s) of your signing this Agreement.</w:t>
      </w:r>
    </w:p>
    <w:p>
      <w:pPr>
        <w:pStyle w:val="TextBody"/>
        <w:spacing w:before="8" w:after="283"/>
        <w:rPr/>
      </w:pPr>
      <w:r>
        <w:rPr/>
      </w:r>
    </w:p>
    <w:p>
      <w:pPr>
        <w:pStyle w:val="TextBody"/>
        <w:spacing w:lineRule="auto" w:line="288" w:before="0" w:after="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Confidentiality of Agreement</w:t>
      </w:r>
      <w:r>
        <w:rPr>
          <w:rFonts w:ascii="Times New Roman;sans-serif" w:hAnsi="Times New Roman;sans-serif"/>
          <w:b w:val="false"/>
          <w:color w:val="000000"/>
          <w:sz w:val="24"/>
        </w:rPr>
        <w:t>. You agree that the terms and conditions of this Agreement are intended to remain strictly confidential between you and the Company. You have not and will not communicate this Agreement’s terms to any third party (including fellow employees), whether verbally or in writing, by any means, including by social media such as Twitter, Facebook, and the like. Any disclosure by you will cause the Company irreparable harm that money cannot undo. Accordingly, violation of this section will entitle the Company to temporary and permanent injunctive relief. You further agree that have not and you will not disclose the terms of this Agreement to any other person, excluding your attorney(s), accountant(s), and lender(s), and your spouse, if any, to the extent needed for legal advice, income tax reporting purposes, or other financial purposes, or as otherwise required by law. You agree that, to the extent you make any permissible disclosures to your spouse, you will instruct your spouse to keep the information strictly confidential, and you further agree that you will be in breach of this Agreement if they make any further disclosure of such information beyond the disclosures permitted in this paragraph.</w:t>
      </w:r>
    </w:p>
    <w:p>
      <w:pPr>
        <w:pStyle w:val="TextBody"/>
        <w:spacing w:before="7" w:after="283"/>
        <w:rPr/>
      </w:pPr>
      <w:r>
        <w:rPr/>
      </w:r>
    </w:p>
    <w:p>
      <w:pPr>
        <w:pStyle w:val="TextBody"/>
        <w:spacing w:lineRule="auto" w:line="288" w:before="0" w:after="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Non-Disparagement.</w:t>
      </w:r>
      <w:r>
        <w:rPr>
          <w:color w:val="000000"/>
        </w:rPr>
        <w:t xml:space="preserve"> </w:t>
      </w:r>
      <w:r>
        <w:rPr>
          <w:rFonts w:ascii="Times New Roman;sans-serif" w:hAnsi="Times New Roman;sans-serif"/>
          <w:b w:val="false"/>
          <w:color w:val="000000"/>
          <w:sz w:val="24"/>
        </w:rPr>
        <w:t>You agree that you will not knowingly make any disparaging and/or defamatory statements about the Company’s current or former customers, contractors, vendors or employees to the media or to any other person,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You also agree not to knowingly make any defamatory statements about the Company to the media or to any other person, including on social media. However, nothing in this Agreement shall prohibit you from providing truthful disclosures to an appropriate government agency, arbitrator or court related to alleged violations of law. To the extent you are covered by Section 7 of the NLRA because you are an employee who is not in a supervisor or management role, nothing in this Agreement shall be construed to prohibit you from using information that you acquire regarding the wages,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38" name="Frame2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benefits, or other terms and conditions of employment at the Company for any purpose protected under the NLRA.</w:t>
      </w:r>
    </w:p>
    <w:p>
      <w:pPr>
        <w:pStyle w:val="TextBody"/>
        <w:spacing w:before="4" w:after="283"/>
        <w:rPr/>
      </w:pPr>
      <w:r>
        <w:rPr/>
      </w:r>
    </w:p>
    <w:p>
      <w:pPr>
        <w:pStyle w:val="TextBody"/>
        <w:spacing w:lineRule="auto" w:line="288" w:before="0" w:after="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Pending Claims.</w:t>
      </w:r>
      <w:r>
        <w:rPr>
          <w:color w:val="000000"/>
        </w:rPr>
        <w:t xml:space="preserve"> </w:t>
      </w:r>
      <w:r>
        <w:rPr>
          <w:rFonts w:ascii="Times New Roman;sans-serif" w:hAnsi="Times New Roman;sans-serif"/>
          <w:b w:val="false"/>
          <w:color w:val="000000"/>
          <w:sz w:val="24"/>
        </w:rPr>
        <w:t>You represent and warrant that you have no charges, lawsuits, or actions pending in your name against any of the Released Parties relating to any claim that has been released in this Agreement. You also represent and warrant that you have not assigned or transferred to any third party any right or claim against any of the Released Parties that you have released in this Agreement.</w:t>
      </w:r>
    </w:p>
    <w:p>
      <w:pPr>
        <w:pStyle w:val="TextBody"/>
        <w:spacing w:before="10" w:after="283"/>
        <w:rPr/>
      </w:pPr>
      <w:r>
        <w:rPr/>
      </w:r>
    </w:p>
    <w:p>
      <w:pPr>
        <w:pStyle w:val="TextBody"/>
        <w:spacing w:lineRule="auto" w:line="288" w:before="0" w:after="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Return of Materials.</w:t>
      </w:r>
      <w:r>
        <w:rPr>
          <w:color w:val="000000"/>
        </w:rPr>
        <w:t xml:space="preserve"> </w:t>
      </w:r>
      <w:r>
        <w:rPr>
          <w:rFonts w:ascii="Times New Roman;sans-serif" w:hAnsi="Times New Roman;sans-serif"/>
          <w:b w:val="false"/>
          <w:color w:val="000000"/>
          <w:sz w:val="24"/>
        </w:rPr>
        <w:t>No later than the Separation Date, you represent that you have returned to the Company, and have not retained in any form or format, all Company documents and other Company property that you had in your possession at any time. You also represent that, no later than the Separation Date, you have returned all Company laptops, iPads, iPhones, credit cards, entry cards, identification badges and keys, and all other Company equipment that you had in your possession at any time. You also represent that you have used good faith, reasonable efforts to permanently delete from any electronic media in your possession, custody, or control (such as computers, cell phones, hand-held devices, back-up devices, zip drives, PDAs, etc.), or to which you have access (such as remote e-mail exchange servers, back-up servers, off-site storage, etc.), all documents or electronically stored images containing Confidential Information of the Company.</w:t>
      </w:r>
    </w:p>
    <w:p>
      <w:pPr>
        <w:pStyle w:val="TextBody"/>
        <w:spacing w:before="6" w:after="283"/>
        <w:rPr/>
      </w:pPr>
      <w:r>
        <w:rPr/>
      </w:r>
    </w:p>
    <w:p>
      <w:pPr>
        <w:pStyle w:val="TextBody"/>
        <w:spacing w:lineRule="auto" w:line="288" w:before="1" w:after="283"/>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Remedies for Breach</w:t>
      </w:r>
      <w:r>
        <w:rPr>
          <w:rFonts w:ascii="Times New Roman;sans-serif" w:hAnsi="Times New Roman;sans-serif"/>
          <w:b w:val="false"/>
          <w:color w:val="000000"/>
          <w:sz w:val="24"/>
        </w:rPr>
        <w:t>. If a court or arbitrator determines that you have violated, breached, or are about to breach any provision of this Agreement, or if you bring an action against the Company in violation of this Agreement, or if you bring an action asking that the Agreement be declared invalid, void, or unenforceable (except for any protected claims under the ADEA), the Company may immediately cease any payments pursuant to this Agreement, and you shall be required to reimburse the Company for all amounts paid to you under this Agreement, except for</w:t>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$1,000 of the payment made under Section 1(a) of the Agreement. Any and all such disputes between you and the Company shall be resolved by binding arbitration in accordance with the Company’s arbitration policy that you agreed to as a condition of employment with the Company. Nothing in this Section shall be construed as prohibiting the Company from pursuing any remedies available to it for breach of the Agreement, including injunctive relief and the recovery of any damages that it is able to prove. By your signature below, you represent that as of the date that you execute this Agreement, you have not breached any obligations or covenants contained in this Agreement. Further, except in the case of a legal action by you challenging or seeking a determination in good faith of the validity of the ADEA waiver, if either party to this agreement brings an action to enforce its rights under this Agreement, the prevailing party will be entitled to recover its costs and expenses, including the costs of mediation, arbitration, litigation, court fees, and reasonable attorneys’ fees incurred in connection with such action.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Controlling Law; Jurisdiction and Venue.</w:t>
      </w:r>
      <w:r>
        <w:rPr>
          <w:color w:val="000000"/>
        </w:rPr>
        <w:t xml:space="preserve"> </w:t>
      </w:r>
      <w:r>
        <w:rPr>
          <w:rFonts w:ascii="Times New Roman;sans-serif" w:hAnsi="Times New Roman;sans-serif"/>
          <w:b w:val="false"/>
          <w:color w:val="000000"/>
          <w:sz w:val="24"/>
        </w:rPr>
        <w:t>This Agreement shall be construed in accordance with and governed by the laws of the State of your employment, without reference to principles of conflict of laws that would require application of the law of another jurisdiction. The Company and you irrevocably consent solely to the jurisdiction of the federal and state courts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39" name="Frame2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rPr>
          <w:rFonts w:ascii="Times New Roman;sans-serif" w:hAnsi="Times New Roman;sans-serif"/>
          <w:b w:val="false"/>
          <w:color w:val="000000"/>
          <w:sz w:val="24"/>
        </w:rPr>
      </w:pPr>
      <w:r>
        <w:rPr>
          <w:rFonts w:ascii="Times New Roman;sans-serif" w:hAnsi="Times New Roman;sans-serif"/>
          <w:b w:val="false"/>
          <w:color w:val="000000"/>
          <w:sz w:val="24"/>
        </w:rPr>
        <w:t>in the State of your employment for the resolution of any disputes arising under or respect to this Agreement.</w:t>
      </w:r>
    </w:p>
    <w:p>
      <w:pPr>
        <w:pStyle w:val="TextBody"/>
        <w:spacing w:before="0" w:after="0"/>
        <w:rPr/>
      </w:pPr>
      <w:r>
        <w:rPr/>
      </w:r>
    </w:p>
    <w:p>
      <w:pPr>
        <w:pStyle w:val="TextBody"/>
        <w:spacing w:lineRule="auto" w:line="288" w:before="1" w:after="283"/>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Entire Agreement.</w:t>
      </w:r>
      <w:r>
        <w:rPr>
          <w:color w:val="000000"/>
        </w:rPr>
        <w:t xml:space="preserve"> </w:t>
      </w:r>
      <w:r>
        <w:rPr>
          <w:rFonts w:ascii="Times New Roman;sans-serif" w:hAnsi="Times New Roman;sans-serif"/>
          <w:b w:val="false"/>
          <w:color w:val="000000"/>
          <w:sz w:val="24"/>
        </w:rPr>
        <w:t>This Agreement, and any restrictive covenant and arbitration agreements and policies referenced in Sections 4 (Restrictive Covenants) and 11 (Remedies for Breach) of this Agreement, together (i) constitute the entire agreement between the Company and you regarding the separation of your employment, (ii) survive the termination of your employment, and (iii) supersede and cancel all prior and contemporaneous written and oral agreements, if any, except as specifically provided for herein. You affirm that, by entering into this Agreement, you are not relying upon any other oral or written promise or statement made by anyone at any time on behalf of the Company. This Agreement may not be changed or altered, except by a writing signed by the Company and you. This Agreement may be executed, including execution by facsimile or electronically transmitted signature, in multiple counterparts, each of which will be deemed an original, and all of which together will be deemed to be one and the same instrument.</w:t>
      </w:r>
    </w:p>
    <w:p>
      <w:pPr>
        <w:pStyle w:val="TextBody"/>
        <w:spacing w:before="5" w:after="283"/>
        <w:rPr/>
      </w:pPr>
      <w:r>
        <w:rPr/>
      </w:r>
    </w:p>
    <w:p>
      <w:pPr>
        <w:pStyle w:val="TextBody"/>
        <w:spacing w:lineRule="auto" w:line="288" w:before="0" w:after="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of the provisions, terms or clauses of this Agreement are declared illegal, unenforceable, or ineffective, those provisions, terms and clauses shall be deemed severable, and all other provisions, terms and clauses of this Agreement shall remain valid and binding upon both parties.</w:t>
      </w:r>
    </w:p>
    <w:p>
      <w:pPr>
        <w:pStyle w:val="TextBody"/>
        <w:spacing w:before="10" w:after="283"/>
        <w:rPr/>
      </w:pPr>
      <w:r>
        <w:rPr/>
      </w:r>
    </w:p>
    <w:p>
      <w:pPr>
        <w:pStyle w:val="TextBody"/>
        <w:spacing w:lineRule="auto" w:line="288" w:before="0" w:after="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Representation.</w:t>
      </w:r>
      <w:r>
        <w:rPr>
          <w:color w:val="000000"/>
        </w:rPr>
        <w:t xml:space="preserve"> </w:t>
      </w:r>
      <w:r>
        <w:rPr>
          <w:rFonts w:ascii="Times New Roman;sans-serif" w:hAnsi="Times New Roman;sans-serif"/>
          <w:b w:val="false"/>
          <w:color w:val="000000"/>
          <w:sz w:val="24"/>
        </w:rPr>
        <w:t>You agree that no promise or inducement has been offered except as set forth in this Agreement, and that you are signing this Agreement without reliance upon any statement or representation by the Company or any representative or agent of the Company except as set forth in this Agreement.</w:t>
      </w:r>
    </w:p>
    <w:p>
      <w:pPr>
        <w:pStyle w:val="TextBody"/>
        <w:spacing w:before="0" w:after="0"/>
        <w:rPr/>
      </w:pPr>
      <w:r>
        <w:rPr/>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HAVE CAREFULLY READ AND FULLY UNDERSTAND AND VOLUNTARILY AGREE TO ALL THE TERMS OF THIS CONFIDENTIAL SEPARATION AGREEMENT AND RELEASE IN EXCHANGE FOR THE ADDITIONAL BENEFITS TO WHICH I WOULD OTHERWISE NOT BE ENTITLED.</w:t>
      </w:r>
    </w:p>
    <w:p>
      <w:pPr>
        <w:pStyle w:val="TextBody"/>
        <w:spacing w:before="0" w:after="0"/>
        <w:rPr/>
      </w:pPr>
      <w:r>
        <w:rPr/>
      </w:r>
    </w:p>
    <w:p>
      <w:pPr>
        <w:pStyle w:val="TextBody"/>
        <w:spacing w:before="6"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Dated:</w:t>
      </w:r>
    </w:p>
    <w:p>
      <w:pPr>
        <w:pStyle w:val="TextBody"/>
        <w:spacing w:before="5"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AGREED TO AND ACCEPTED:    </w:t>
      </w:r>
    </w:p>
    <w:p>
      <w:pPr>
        <w:pStyle w:val="TextBody"/>
        <w:spacing w:before="0" w:after="0"/>
        <w:rPr/>
      </w:pPr>
      <w:r>
        <w:rPr/>
      </w:r>
    </w:p>
    <w:p>
      <w:pPr>
        <w:pStyle w:val="TextBody"/>
        <w:spacing w:lineRule="auto" w:line="240" w:before="0" w:after="0"/>
        <w:ind w:left="0" w:right="0" w:firstLine="720"/>
        <w:rPr>
          <w:rFonts w:ascii="Calibri;sans-serif" w:hAnsi="Calibri;sans-serif"/>
          <w:b w:val="false"/>
          <w:color w:val="000000"/>
          <w:sz w:val="22"/>
        </w:rPr>
      </w:pPr>
      <w:r>
        <w:rPr>
          <w:rFonts w:ascii="Calibri;sans-serif" w:hAnsi="Calibri;sans-serif"/>
          <w:b w:val="false"/>
          <w:color w:val="000000"/>
          <w:sz w:val="22"/>
        </w:rPr>
        <w:t>________________________________    CLOVER HEALTH INVESTMENTS, CORP.</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Employee Name</w:t>
      </w:r>
    </w:p>
    <w:p>
      <w:pPr>
        <w:pStyle w:val="TextBody"/>
        <w:spacing w:before="0" w:after="0"/>
        <w:rPr/>
      </w:pPr>
      <w:r>
        <w:rPr/>
      </w:r>
    </w:p>
    <w:p>
      <w:pPr>
        <w:pStyle w:val="TextBody"/>
        <w:spacing w:before="0" w:after="0"/>
        <w:ind w:left="0" w:right="0" w:firstLine="720"/>
        <w:rPr/>
      </w:pPr>
      <w:r>
        <w:rPr/>
      </w:r>
    </w:p>
    <w:p>
      <w:pPr>
        <w:pStyle w:val="TextBody"/>
        <w:spacing w:lineRule="auto" w:line="240" w:before="0" w:after="0"/>
        <w:ind w:left="0" w:right="0" w:firstLine="720"/>
        <w:rPr>
          <w:rFonts w:ascii="Calibri;sans-serif" w:hAnsi="Calibri;sans-serif"/>
          <w:b w:val="false"/>
          <w:color w:val="000000"/>
          <w:sz w:val="22"/>
        </w:rPr>
      </w:pPr>
      <w:r>
        <w:rPr>
          <w:rFonts w:ascii="Calibri;sans-serif" w:hAnsi="Calibri;sans-serif"/>
          <w:b w:val="false"/>
          <w:color w:val="000000"/>
          <w:sz w:val="22"/>
        </w:rPr>
        <w:t>________________________________    By: __________________________________</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Signature     Signature</w:t>
      </w:r>
    </w:p>
    <w:p>
      <w:pPr>
        <w:pStyle w:val="TextBody"/>
        <w:spacing w:before="0" w:after="0"/>
        <w:rPr/>
      </w:pPr>
      <w:r>
        <w:rPr/>
      </w:r>
    </w:p>
    <w:p>
      <w:pPr>
        <w:pStyle w:val="TextBody"/>
        <w:spacing w:lineRule="auto" w:line="240" w:before="0" w:after="0"/>
        <w:ind w:left="0" w:right="0" w:firstLine="720"/>
        <w:rPr>
          <w:rFonts w:ascii="Calibri;sans-serif" w:hAnsi="Calibri;sans-serif"/>
          <w:b w:val="false"/>
          <w:color w:val="000000"/>
          <w:sz w:val="22"/>
        </w:rPr>
      </w:pPr>
      <w:r>
        <w:rPr>
          <w:rFonts w:ascii="Calibri;sans-serif" w:hAnsi="Calibri;sans-serif"/>
          <w:b w:val="false"/>
          <w:color w:val="000000"/>
          <w:sz w:val="22"/>
        </w:rPr>
        <w:t>__________________________________</w:t>
      </w:r>
    </w:p>
    <w:p>
      <w:pPr>
        <w:pStyle w:val="TextBody"/>
        <w:spacing w:lineRule="auto" w:line="240" w:before="1" w:after="283"/>
        <w:rPr>
          <w:rFonts w:ascii="Calibri;sans-serif" w:hAnsi="Calibri;sans-serif"/>
          <w:b w:val="false"/>
          <w:color w:val="000000"/>
          <w:sz w:val="27"/>
        </w:rPr>
      </w:pPr>
      <w:r>
        <w:rPr>
          <w:rFonts w:ascii="Calibri;sans-serif" w:hAnsi="Calibri;sans-serif"/>
          <w:b w:val="false"/>
          <w:color w:val="000000"/>
          <w:sz w:val="27"/>
        </w:rPr>
        <w:t>Name</w:t>
      </w:r>
    </w:p>
    <w:p>
      <w:pPr>
        <w:pStyle w:val="TextBody"/>
        <w:spacing w:before="0" w:after="0"/>
        <w:rPr/>
      </w:pPr>
      <w:r>
        <w:rPr/>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__________________________________</w:t>
      </w:r>
    </w:p>
    <w:p>
      <w:pPr>
        <w:pStyle w:val="TextBody"/>
        <w:spacing w:lineRule="auto" w:line="240" w:before="0" w:after="0"/>
        <w:rPr>
          <w:rFonts w:ascii="Calibri;sans-serif" w:hAnsi="Calibri;sans-serif"/>
          <w:b w:val="false"/>
          <w:color w:val="000000"/>
          <w:sz w:val="22"/>
        </w:rPr>
      </w:pPr>
      <w:r>
        <w:rPr>
          <w:rFonts w:ascii="Calibri;sans-serif" w:hAnsi="Calibri;sans-serif"/>
          <w:b w:val="false"/>
          <w:color w:val="000000"/>
          <w:sz w:val="22"/>
        </w:rPr>
        <w:t>Title</w:t>
      </w:r>
    </w:p>
    <w:p>
      <w:pPr>
        <w:pStyle w:val="TextBody"/>
        <w:spacing w:lineRule="auto" w:line="585" w:before="0" w:after="0"/>
        <w:ind w:left="0" w:right="0" w:hanging="5040"/>
        <w:rPr>
          <w:rFonts w:ascii="Times New Roman;sans-serif" w:hAnsi="Times New Roman;sans-serif"/>
          <w:b w:val="false"/>
          <w:color w:val="000000"/>
          <w:sz w:val="24"/>
        </w:rPr>
      </w:pPr>
      <w:r>
        <w:rPr>
          <w:rFonts w:ascii="Times New Roman;sans-serif" w:hAnsi="Times New Roman;sans-serif"/>
          <w:b w:val="false"/>
          <w:color w:val="000000"/>
          <w:sz w:val="24"/>
        </w:rPr>
        <w:t>Dated: _______________________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40" name="Frame2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ATTACHMENT B</w:t>
      </w:r>
    </w:p>
    <w:p>
      <w:pPr>
        <w:pStyle w:val="TextBody"/>
        <w:spacing w:before="0" w:after="0"/>
        <w:jc w:val="center"/>
        <w:rPr/>
      </w:pPr>
      <w:r>
        <w:rPr/>
      </w:r>
    </w:p>
    <w:p>
      <w:pPr>
        <w:pStyle w:val="TextBody"/>
        <w:spacing w:lineRule="auto" w:line="240" w:before="0" w:after="0"/>
        <w:jc w:val="center"/>
        <w:rPr>
          <w:rFonts w:ascii="Calibri;sans-serif" w:hAnsi="Calibri;sans-serif"/>
          <w:b/>
          <w:color w:val="000000"/>
          <w:sz w:val="28"/>
        </w:rPr>
      </w:pPr>
      <w:r>
        <w:rPr>
          <w:rFonts w:ascii="Calibri;sans-serif" w:hAnsi="Calibri;sans-serif"/>
          <w:b/>
          <w:color w:val="000000"/>
          <w:sz w:val="28"/>
        </w:rPr>
        <w:t>Nondisclosure, Confidentiality, and Nonsolicitation Agreement</w:t>
      </w:r>
    </w:p>
    <w:p>
      <w:pPr>
        <w:pStyle w:val="TextBody"/>
        <w:spacing w:before="7" w:after="283"/>
        <w:rPr/>
      </w:pPr>
      <w:r>
        <w:rPr/>
      </w:r>
    </w:p>
    <w:p>
      <w:pPr>
        <w:pStyle w:val="TextBody"/>
        <w:spacing w:lineRule="auto" w:line="264" w:before="0" w:after="0"/>
        <w:ind w:left="0" w:right="0" w:firstLine="397"/>
        <w:jc w:val="both"/>
        <w:rPr>
          <w:rFonts w:ascii="Arial;sans-serif" w:hAnsi="Arial;sans-serif"/>
          <w:b w:val="false"/>
          <w:color w:val="000000"/>
          <w:sz w:val="23"/>
        </w:rPr>
      </w:pPr>
      <w:r>
        <w:rPr>
          <w:rFonts w:ascii="Arial;sans-serif" w:hAnsi="Arial;sans-serif"/>
          <w:b w:val="false"/>
          <w:color w:val="000000"/>
          <w:sz w:val="23"/>
        </w:rPr>
        <w:t>In consideration of my employment or the continuation of my employment by Clover Health or any of its successors, assigns, affiliates or subsidiary companies (each hereinafter referred to as the "Company"), I agree as follows:</w:t>
      </w:r>
    </w:p>
    <w:p>
      <w:pPr>
        <w:pStyle w:val="TextBody"/>
        <w:spacing w:before="4" w:after="283"/>
        <w:rPr/>
      </w:pPr>
      <w:r>
        <w:rPr/>
      </w:r>
    </w:p>
    <w:p>
      <w:pPr>
        <w:pStyle w:val="TextBody"/>
        <w:spacing w:lineRule="auto" w:line="240" w:before="0" w:after="0"/>
        <w:ind w:left="0" w:right="0" w:hanging="256"/>
        <w:rPr/>
      </w:pPr>
      <w:r>
        <w:rPr>
          <w:rFonts w:ascii="Arial;sans-serif" w:hAnsi="Arial;sans-serif"/>
          <w:b w:val="false"/>
          <w:color w:val="000000"/>
          <w:sz w:val="23"/>
        </w:rPr>
        <w:t>1.</w:t>
      </w:r>
      <w:r>
        <w:rPr>
          <w:rFonts w:ascii="Arial;sans-serif" w:hAnsi="Arial;sans-serif"/>
          <w:b w:val="false"/>
          <w:color w:val="000000"/>
          <w:sz w:val="23"/>
          <w:u w:val="single"/>
        </w:rPr>
        <w:t>TRADE SECRETS AND CONFIDENTIAL INFORMATION</w:t>
      </w:r>
      <w:r>
        <w:rPr>
          <w:rFonts w:ascii="Arial;sans-serif" w:hAnsi="Arial;sans-serif"/>
          <w:b w:val="false"/>
          <w:color w:val="000000"/>
          <w:sz w:val="23"/>
        </w:rPr>
        <w:t>.</w:t>
      </w:r>
    </w:p>
    <w:p>
      <w:pPr>
        <w:pStyle w:val="TextBody"/>
        <w:spacing w:before="8" w:after="283"/>
        <w:rPr/>
      </w:pPr>
      <w:r>
        <w:rPr/>
      </w:r>
    </w:p>
    <w:p>
      <w:pPr>
        <w:pStyle w:val="TextBody"/>
        <w:spacing w:lineRule="auto" w:line="266" w:before="101" w:after="283"/>
        <w:ind w:left="0" w:right="0" w:hanging="354"/>
        <w:jc w:val="both"/>
        <w:rPr/>
      </w:pPr>
      <w:r>
        <w:rPr>
          <w:rFonts w:ascii="Arial;sans-serif" w:hAnsi="Arial;sans-serif"/>
          <w:b w:val="false"/>
          <w:color w:val="000000"/>
          <w:sz w:val="23"/>
        </w:rPr>
        <w:t>a.</w:t>
      </w:r>
      <w:r>
        <w:rPr>
          <w:rFonts w:ascii="Arial;sans-serif" w:hAnsi="Arial;sans-serif"/>
          <w:b w:val="false"/>
          <w:color w:val="000000"/>
          <w:sz w:val="23"/>
          <w:u w:val="single"/>
        </w:rPr>
        <w:t>Confidentiality and Confidential Information.</w:t>
      </w:r>
      <w:r>
        <w:rPr>
          <w:color w:val="000000"/>
        </w:rPr>
        <w:t xml:space="preserve"> </w:t>
      </w:r>
      <w:r>
        <w:rPr>
          <w:rFonts w:ascii="Arial;sans-serif" w:hAnsi="Arial;sans-serif"/>
          <w:b w:val="false"/>
          <w:color w:val="000000"/>
          <w:sz w:val="23"/>
        </w:rPr>
        <w:t>I acknowledge that during the course of my employment, I will obtain, receive or gain access to certain valuable, proprietary or confidential information of the Company, its vendors, suppliers, customers, and its/their affiliates and/or subsidiaries, that is not otherwise generally known to the public, relating or pertaining to the Company's business, projects, products, customers, suppliers, inventions or trade secrets, including but not limited to: business and financial information; Company techniques, operations and methods of conducting business; computer programs, software and code, flowcharts, architecture, data structures, and data reporting methodologies; unpublished know how, whether patented or unpatented; customer names, addresses, buying habits, needs and the methods of fulfilling those needs; supplier names, addresses and pricing policies; information regarding the skills, ability and compensation of other employees; and Company pricing policies, profit margins, marketing strategies and research projects or developments relating to any aspect of the present or actual anticipated business of the Company (hereinafter collectively the “Confidential Information”). I further acknowledge that such Confidential Information may be in oral, written or electronic form and need not be marked or identified as “confidential.” I promise and agree that during my employment with the Company and at all times thereafter, I shall hold in strictest confidence and shall not publish, disclose or communicate any Confidential Information to any person or entity, except as required in connection with my work for the Company, and I shall not use or acquire for my own purposes or the purposes of any others, including any future employers or companies, any Confidential Information of the Company without the prior written approval of a duly authorized officer of the Company.</w:t>
      </w:r>
    </w:p>
    <w:p>
      <w:pPr>
        <w:pStyle w:val="TextBody"/>
        <w:spacing w:before="5" w:after="283"/>
        <w:rPr/>
      </w:pPr>
      <w:r>
        <w:rPr/>
      </w:r>
    </w:p>
    <w:p>
      <w:pPr>
        <w:pStyle w:val="TextBody"/>
        <w:spacing w:lineRule="auto" w:line="264" w:before="0" w:after="0"/>
        <w:ind w:left="0" w:right="0" w:hanging="348"/>
        <w:jc w:val="both"/>
        <w:rPr/>
      </w:pPr>
      <w:r>
        <w:rPr>
          <w:rFonts w:ascii="Arial;sans-serif" w:hAnsi="Arial;sans-serif"/>
          <w:b w:val="false"/>
          <w:color w:val="000000"/>
          <w:sz w:val="23"/>
        </w:rPr>
        <w:t>b.</w:t>
      </w:r>
      <w:r>
        <w:rPr>
          <w:rFonts w:ascii="Arial;sans-serif" w:hAnsi="Arial;sans-serif"/>
          <w:b w:val="false"/>
          <w:color w:val="000000"/>
          <w:sz w:val="23"/>
          <w:u w:val="single"/>
        </w:rPr>
        <w:t xml:space="preserve">Confidentiality of Protected Health Information. </w:t>
      </w:r>
      <w:r>
        <w:rPr>
          <w:rFonts w:ascii="Arial;sans-serif" w:hAnsi="Arial;sans-serif"/>
          <w:b w:val="false"/>
          <w:color w:val="000000"/>
          <w:sz w:val="23"/>
        </w:rPr>
        <w:t>The definition of “Confidential Information” includes Protected Health Information (“PHI”) as the Health Insurance Portability and Accountability Act of 1996 (“HIPAA”) defines it. During their employment, Company employees may access, use, create, receive, transmit, maintain, and/or disclose PHI. In addition, employees will receive training on HIPAA and will have access to and review Company HIPAA policies that set forth confidentiality protections that all Company employees must adhere to in regard to the access, use and/or disclosure of PHI. I agree to comply with all Company, Inc. policies governing the confidentiality and protection of PHI and am responsible for preserving the confidentiality of PHI and Individually Identifiable Health Information (“IIHI”).</w:t>
      </w:r>
    </w:p>
    <w:p>
      <w:pPr>
        <w:pStyle w:val="TextBody"/>
        <w:spacing w:before="5" w:after="283"/>
        <w:rPr/>
      </w:pPr>
      <w:r>
        <w:rPr/>
      </w:r>
    </w:p>
    <w:p>
      <w:pPr>
        <w:pStyle w:val="TextBody"/>
        <w:spacing w:lineRule="auto" w:line="264" w:before="0" w:after="0"/>
        <w:ind w:left="0" w:right="0" w:hanging="354"/>
        <w:jc w:val="both"/>
        <w:rPr/>
      </w:pPr>
      <w:r>
        <w:rPr>
          <w:rFonts w:ascii="Arial;sans-serif" w:hAnsi="Arial;sans-serif"/>
          <w:b w:val="false"/>
          <w:color w:val="000000"/>
          <w:sz w:val="23"/>
        </w:rPr>
        <w:t>c.</w:t>
      </w:r>
      <w:r>
        <w:rPr>
          <w:rFonts w:ascii="Arial;sans-serif" w:hAnsi="Arial;sans-serif"/>
          <w:b w:val="false"/>
          <w:color w:val="000000"/>
          <w:sz w:val="23"/>
          <w:u w:val="single"/>
        </w:rPr>
        <w:t>Trade Secret Employee Notice Provision.</w:t>
      </w:r>
      <w:r>
        <w:rPr>
          <w:color w:val="000000"/>
        </w:rPr>
        <w:t xml:space="preserve"> </w:t>
      </w:r>
      <w:r>
        <w:rPr>
          <w:rFonts w:ascii="Arial;sans-serif" w:hAnsi="Arial;sans-serif"/>
          <w:b w:val="false"/>
          <w:color w:val="000000"/>
          <w:sz w:val="23"/>
        </w:rPr>
        <w:t>An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employee who files a lawsuit for retaliation for</w:t>
      </w:r>
    </w:p>
    <w:p>
      <w:pPr>
        <w:pStyle w:val="TextBody"/>
        <w:spacing w:lineRule="auto" w:line="264" w:before="6" w:after="283"/>
        <w:ind w:left="0" w:right="0" w:firstLine="8"/>
        <w:jc w:val="both"/>
        <w:rPr>
          <w:rFonts w:ascii="Arial;sans-serif" w:hAnsi="Arial;sans-serif"/>
          <w:b w:val="false"/>
          <w:color w:val="000000"/>
          <w:sz w:val="23"/>
        </w:rPr>
      </w:pPr>
      <w:r>
        <w:rPr>
          <w:rFonts w:ascii="Arial;sans-serif" w:hAnsi="Arial;sans-serif"/>
          <w:b w:val="false"/>
          <w:color w:val="000000"/>
          <w:sz w:val="23"/>
        </w:rPr>
        <w:t>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41" name="Frame2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0" w:after="0"/>
        <w:ind w:left="0" w:right="0" w:hanging="354"/>
        <w:jc w:val="both"/>
        <w:rPr/>
      </w:pPr>
      <w:r>
        <w:rPr>
          <w:rFonts w:ascii="Arial;sans-serif" w:hAnsi="Arial;sans-serif"/>
          <w:b w:val="false"/>
          <w:color w:val="000000"/>
          <w:sz w:val="23"/>
        </w:rPr>
        <w:t>d.</w:t>
      </w:r>
      <w:r>
        <w:rPr>
          <w:rFonts w:ascii="Arial;sans-serif" w:hAnsi="Arial;sans-serif"/>
          <w:b w:val="false"/>
          <w:color w:val="000000"/>
          <w:sz w:val="23"/>
          <w:u w:val="single"/>
        </w:rPr>
        <w:t>Prevention of Unauthorized Release of Company Confidential Information</w:t>
      </w:r>
      <w:r>
        <w:rPr>
          <w:rFonts w:ascii="Arial;sans-serif" w:hAnsi="Arial;sans-serif"/>
          <w:b w:val="false"/>
          <w:color w:val="000000"/>
          <w:sz w:val="23"/>
        </w:rPr>
        <w:t>. I agree to take reasonable measures to prevent unauthorized persons or entities from having access to, obtaining or being furnished with any Company Confidential Information in my possession.</w:t>
      </w:r>
    </w:p>
    <w:p>
      <w:pPr>
        <w:pStyle w:val="TextBody"/>
        <w:spacing w:before="1" w:after="283"/>
        <w:rPr/>
      </w:pPr>
      <w:r>
        <w:rPr/>
      </w:r>
    </w:p>
    <w:p>
      <w:pPr>
        <w:pStyle w:val="TextBody"/>
        <w:spacing w:lineRule="auto" w:line="264" w:before="0" w:after="0"/>
        <w:ind w:left="0" w:right="0" w:hanging="354"/>
        <w:jc w:val="both"/>
        <w:rPr/>
      </w:pPr>
      <w:r>
        <w:rPr>
          <w:rFonts w:ascii="Arial;sans-serif" w:hAnsi="Arial;sans-serif"/>
          <w:b w:val="false"/>
          <w:color w:val="000000"/>
          <w:sz w:val="23"/>
        </w:rPr>
        <w:t>e.</w:t>
      </w:r>
      <w:r>
        <w:rPr>
          <w:rFonts w:ascii="Arial;sans-serif" w:hAnsi="Arial;sans-serif"/>
          <w:b w:val="false"/>
          <w:color w:val="000000"/>
          <w:sz w:val="23"/>
          <w:u w:val="single"/>
        </w:rPr>
        <w:t>Confidential Information of Third Parties.</w:t>
      </w:r>
      <w:r>
        <w:rPr>
          <w:color w:val="000000"/>
        </w:rPr>
        <w:t xml:space="preserve"> </w:t>
      </w:r>
      <w:r>
        <w:rPr>
          <w:rFonts w:ascii="Arial;sans-serif" w:hAnsi="Arial;sans-serif"/>
          <w:b w:val="false"/>
          <w:color w:val="000000"/>
          <w:sz w:val="23"/>
        </w:rPr>
        <w:t>I agree to preserve as confidential any information that I learn or obtain in connection with my employment from a third party or relating to a third party, such as a client or customer, that is not readily available to the public and to treat such information as though it were Company Confidential Information.</w:t>
      </w:r>
    </w:p>
    <w:p>
      <w:pPr>
        <w:pStyle w:val="TextBody"/>
        <w:spacing w:before="7" w:after="283"/>
        <w:rPr/>
      </w:pPr>
      <w:r>
        <w:rPr/>
      </w:r>
    </w:p>
    <w:p>
      <w:pPr>
        <w:pStyle w:val="TextBody"/>
        <w:spacing w:lineRule="auto" w:line="264" w:before="1" w:after="283"/>
        <w:ind w:left="0" w:right="0" w:hanging="360"/>
        <w:jc w:val="both"/>
        <w:rPr/>
      </w:pPr>
      <w:r>
        <w:rPr>
          <w:rFonts w:ascii="Arial;sans-serif" w:hAnsi="Arial;sans-serif"/>
          <w:b w:val="false"/>
          <w:color w:val="000000"/>
          <w:sz w:val="23"/>
        </w:rPr>
        <w:t>f.</w:t>
      </w:r>
      <w:r>
        <w:rPr>
          <w:rFonts w:ascii="Arial;sans-serif" w:hAnsi="Arial;sans-serif"/>
          <w:b w:val="false"/>
          <w:color w:val="000000"/>
          <w:sz w:val="23"/>
          <w:u w:val="single"/>
        </w:rPr>
        <w:t>Confidential Information of Former Employers.</w:t>
      </w:r>
      <w:r>
        <w:rPr>
          <w:color w:val="000000"/>
        </w:rPr>
        <w:t xml:space="preserve"> </w:t>
      </w:r>
      <w:r>
        <w:rPr>
          <w:rFonts w:ascii="Arial;sans-serif" w:hAnsi="Arial;sans-serif"/>
          <w:b w:val="false"/>
          <w:color w:val="000000"/>
          <w:sz w:val="23"/>
        </w:rPr>
        <w:t>I agree not to disclose to the Company and not to use in any way in connection with my employment therewith any proprietary confidential information or trade secrets of any kind, or any embodiments thereof, of any previous employer or other third party.</w:t>
      </w:r>
    </w:p>
    <w:p>
      <w:pPr>
        <w:pStyle w:val="TextBody"/>
        <w:spacing w:before="6" w:after="283"/>
        <w:rPr/>
      </w:pPr>
      <w:r>
        <w:rPr/>
      </w:r>
    </w:p>
    <w:p>
      <w:pPr>
        <w:pStyle w:val="TextBody"/>
        <w:spacing w:lineRule="auto" w:line="264" w:before="0" w:after="0"/>
        <w:ind w:left="0" w:right="0" w:hanging="360"/>
        <w:jc w:val="both"/>
        <w:rPr/>
      </w:pPr>
      <w:r>
        <w:rPr>
          <w:rFonts w:ascii="Arial;sans-serif" w:hAnsi="Arial;sans-serif"/>
          <w:b w:val="false"/>
          <w:color w:val="000000"/>
          <w:sz w:val="23"/>
        </w:rPr>
        <w:t>g.</w:t>
      </w:r>
      <w:r>
        <w:rPr>
          <w:rFonts w:ascii="Arial;sans-serif" w:hAnsi="Arial;sans-serif"/>
          <w:b w:val="false"/>
          <w:color w:val="000000"/>
          <w:sz w:val="23"/>
          <w:u w:val="single"/>
        </w:rPr>
        <w:t>Termination of Employment.</w:t>
      </w:r>
      <w:r>
        <w:rPr>
          <w:color w:val="000000"/>
        </w:rPr>
        <w:t xml:space="preserve"> </w:t>
      </w:r>
      <w:r>
        <w:rPr>
          <w:rFonts w:ascii="Arial;sans-serif" w:hAnsi="Arial;sans-serif"/>
          <w:b w:val="false"/>
          <w:color w:val="000000"/>
          <w:sz w:val="23"/>
        </w:rPr>
        <w:t>I agree that, upon termination of my employment with the Company (voluntary or otherwise), or as otherwise requested by the Company, I will promptly return to the Company all Confidential Information and all things belonging to the Company, including all tools, equipment, devices or property of the Company, and that all documents, records, notebooks and tangible articles containing or embodying any Confidential Information, including copies thereof and whether stored in paper, electronic, magnetic or other form, then in my possession or control, whether prepared by me or others, will be left with the Company.</w:t>
      </w:r>
    </w:p>
    <w:p>
      <w:pPr>
        <w:pStyle w:val="TextBody"/>
        <w:spacing w:before="6" w:after="283"/>
        <w:rPr/>
      </w:pPr>
      <w:r>
        <w:rPr/>
      </w:r>
    </w:p>
    <w:p>
      <w:pPr>
        <w:pStyle w:val="TextBody"/>
        <w:spacing w:lineRule="auto" w:line="268" w:before="1" w:after="283"/>
        <w:ind w:left="0" w:right="0" w:hanging="347"/>
        <w:rPr/>
      </w:pPr>
      <w:r>
        <w:rPr>
          <w:rFonts w:ascii="Arial;sans-serif" w:hAnsi="Arial;sans-serif"/>
          <w:b w:val="false"/>
          <w:color w:val="000000"/>
          <w:sz w:val="23"/>
        </w:rPr>
        <w:t>h.</w:t>
      </w:r>
      <w:r>
        <w:rPr>
          <w:rFonts w:ascii="Arial;sans-serif" w:hAnsi="Arial;sans-serif"/>
          <w:b w:val="false"/>
          <w:color w:val="000000"/>
          <w:sz w:val="23"/>
          <w:u w:val="single"/>
        </w:rPr>
        <w:t>Exit Interview</w:t>
      </w:r>
      <w:r>
        <w:rPr>
          <w:rFonts w:ascii="Arial;sans-serif" w:hAnsi="Arial;sans-serif"/>
          <w:b w:val="false"/>
          <w:color w:val="000000"/>
          <w:sz w:val="23"/>
        </w:rPr>
        <w:t>. In consideration of my employment with the Company, I agree that, upon termination of my employment with the Company (voluntary or otherwise), I will attend an exit interview and execute a Termination Certificate in a form substantially similar as that attached hereto as “Exhibit A”, and understand the Company may notify my new employer of this Agreement.</w:t>
      </w:r>
    </w:p>
    <w:p>
      <w:pPr>
        <w:pStyle w:val="TextBody"/>
        <w:spacing w:before="3" w:after="283"/>
        <w:rPr/>
      </w:pPr>
      <w:r>
        <w:rPr/>
      </w:r>
    </w:p>
    <w:p>
      <w:pPr>
        <w:pStyle w:val="TextBody"/>
        <w:spacing w:lineRule="auto" w:line="240" w:before="1" w:after="283"/>
        <w:ind w:left="0" w:right="0" w:hanging="256"/>
        <w:rPr/>
      </w:pPr>
      <w:r>
        <w:rPr>
          <w:rFonts w:ascii="Arial;sans-serif" w:hAnsi="Arial;sans-serif"/>
          <w:b w:val="false"/>
          <w:color w:val="000000"/>
          <w:sz w:val="23"/>
        </w:rPr>
        <w:t>2.</w:t>
      </w:r>
      <w:r>
        <w:rPr>
          <w:rFonts w:ascii="Arial;sans-serif" w:hAnsi="Arial;sans-serif"/>
          <w:b w:val="false"/>
          <w:color w:val="000000"/>
          <w:sz w:val="23"/>
          <w:u w:val="single"/>
        </w:rPr>
        <w:t>DUTY OF LOYALTY, NON-SOLICITATION, and NONDISPARAGEMENT</w:t>
      </w:r>
    </w:p>
    <w:p>
      <w:pPr>
        <w:pStyle w:val="TextBody"/>
        <w:spacing w:before="7" w:after="283"/>
        <w:rPr/>
      </w:pPr>
      <w:r>
        <w:rPr/>
      </w:r>
    </w:p>
    <w:p>
      <w:pPr>
        <w:pStyle w:val="TextBody"/>
        <w:spacing w:lineRule="auto" w:line="264" w:before="103" w:after="283"/>
        <w:ind w:left="0" w:right="0" w:hanging="353"/>
        <w:jc w:val="both"/>
        <w:rPr/>
      </w:pPr>
      <w:r>
        <w:rPr>
          <w:rFonts w:ascii="Arial;sans-serif" w:hAnsi="Arial;sans-serif"/>
          <w:b w:val="false"/>
          <w:color w:val="000000"/>
          <w:sz w:val="23"/>
        </w:rPr>
        <w:t>a.</w:t>
      </w:r>
      <w:r>
        <w:rPr>
          <w:rFonts w:ascii="Arial;sans-serif" w:hAnsi="Arial;sans-serif"/>
          <w:b w:val="false"/>
          <w:color w:val="000000"/>
          <w:sz w:val="23"/>
          <w:u w:val="single"/>
        </w:rPr>
        <w:t>Duty of Loyalty</w:t>
      </w:r>
      <w:r>
        <w:rPr>
          <w:rFonts w:ascii="Arial;sans-serif" w:hAnsi="Arial;sans-serif"/>
          <w:b w:val="false"/>
          <w:color w:val="000000"/>
          <w:sz w:val="23"/>
        </w:rPr>
        <w:t>. I agree that at all times during my employment with the Company, I will not, without the Company’s express written consent, engage in any employment or business activity that is competitive with or that would otherwise conflict with the business of the Company, nor will I engage in any other activities that may conflict with my obligations or duty of loyalty to the Company.</w:t>
      </w:r>
    </w:p>
    <w:p>
      <w:pPr>
        <w:pStyle w:val="TextBody"/>
        <w:spacing w:before="4" w:after="283"/>
        <w:rPr/>
      </w:pPr>
      <w:r>
        <w:rPr/>
      </w:r>
    </w:p>
    <w:p>
      <w:pPr>
        <w:pStyle w:val="TextBody"/>
        <w:spacing w:lineRule="auto" w:line="264" w:before="0" w:after="0"/>
        <w:ind w:left="0" w:right="0" w:hanging="354"/>
        <w:jc w:val="both"/>
        <w:rPr/>
      </w:pPr>
      <w:r>
        <w:rPr>
          <w:rFonts w:ascii="Arial;sans-serif" w:hAnsi="Arial;sans-serif"/>
          <w:b w:val="false"/>
          <w:color w:val="000000"/>
          <w:sz w:val="23"/>
        </w:rPr>
        <w:t>b.</w:t>
      </w:r>
      <w:r>
        <w:rPr>
          <w:rFonts w:ascii="Arial;sans-serif" w:hAnsi="Arial;sans-serif"/>
          <w:b w:val="false"/>
          <w:color w:val="000000"/>
          <w:sz w:val="23"/>
          <w:u w:val="single"/>
        </w:rPr>
        <w:t>Obligations to Prior Employers or Others</w:t>
      </w:r>
      <w:r>
        <w:rPr>
          <w:rFonts w:ascii="Arial;sans-serif" w:hAnsi="Arial;sans-serif"/>
          <w:b w:val="false"/>
          <w:color w:val="000000"/>
          <w:sz w:val="23"/>
        </w:rPr>
        <w:t>. Except for those described below (if any), I do not have any non-disclosure, non-compete or other obligations to any previous employer or other person or entity that would conflict with my obligations under this Agreement or the performance of my duties for the Company. I have previously provided copies of each of the agreements described below, if any, to the Company.</w:t>
      </w:r>
    </w:p>
    <w:p>
      <w:pPr>
        <w:pStyle w:val="TextBody"/>
        <w:spacing w:before="2" w:after="283"/>
        <w:rPr/>
      </w:pPr>
      <w:r>
        <w:rPr/>
      </w:r>
    </w:p>
    <w:p>
      <w:pPr>
        <w:pStyle w:val="TextBody"/>
        <w:spacing w:lineRule="auto" w:line="240" w:before="0" w:after="0"/>
        <w:rPr>
          <w:rFonts w:ascii="Arial;sans-serif" w:hAnsi="Arial;sans-serif"/>
          <w:b w:val="false"/>
          <w:color w:val="000000"/>
          <w:sz w:val="23"/>
        </w:rPr>
      </w:pPr>
      <w:r>
        <w:rPr>
          <w:rFonts w:ascii="Arial;sans-serif" w:hAnsi="Arial;sans-serif"/>
          <w:b w:val="false"/>
          <w:color w:val="000000"/>
          <w:sz w:val="23"/>
        </w:rPr>
        <w:t>LIST ANY EXCEPTIONS.</w:t>
      </w:r>
    </w:p>
    <w:p>
      <w:pPr>
        <w:pStyle w:val="TextBody"/>
        <w:spacing w:before="6" w:after="283"/>
        <w:rPr/>
      </w:pPr>
      <w:r>
        <w:rPr/>
        <w:drawing>
          <wp:inline distT="0" distB="63500" distL="0" distR="0">
            <wp:extent cx="6248400" cy="14605"/>
            <wp:effectExtent l="0" t="0" r="0" b="0"/>
            <wp:docPr id="2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 descr=""/>
                    <pic:cNvPicPr>
                      <a:picLocks noChangeAspect="1" noChangeArrowheads="1"/>
                    </pic:cNvPicPr>
                  </pic:nvPicPr>
                  <pic:blipFill>
                    <a:blip r:embed="rId36"/>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 descr=""/>
                    <pic:cNvPicPr>
                      <a:picLocks noChangeAspect="1" noChangeArrowheads="1"/>
                    </pic:cNvPicPr>
                  </pic:nvPicPr>
                  <pic:blipFill>
                    <a:blip r:embed="rId37"/>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 descr=""/>
                    <pic:cNvPicPr>
                      <a:picLocks noChangeAspect="1" noChangeArrowheads="1"/>
                    </pic:cNvPicPr>
                  </pic:nvPicPr>
                  <pic:blipFill>
                    <a:blip r:embed="rId38"/>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 descr=""/>
                    <pic:cNvPicPr>
                      <a:picLocks noChangeAspect="1" noChangeArrowheads="1"/>
                    </pic:cNvPicPr>
                  </pic:nvPicPr>
                  <pic:blipFill>
                    <a:blip r:embed="rId39"/>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 descr=""/>
                    <pic:cNvPicPr>
                      <a:picLocks noChangeAspect="1" noChangeArrowheads="1"/>
                    </pic:cNvPicPr>
                  </pic:nvPicPr>
                  <pic:blipFill>
                    <a:blip r:embed="rId40"/>
                    <a:stretch>
                      <a:fillRect/>
                    </a:stretch>
                  </pic:blipFill>
                  <pic:spPr bwMode="auto">
                    <a:xfrm>
                      <a:off x="0" y="0"/>
                      <a:ext cx="6248400" cy="14605"/>
                    </a:xfrm>
                    <a:prstGeom prst="rect">
                      <a:avLst/>
                    </a:prstGeom>
                  </pic:spPr>
                </pic:pic>
              </a:graphicData>
            </a:graphic>
          </wp:inline>
        </w:drawing>
      </w:r>
    </w:p>
    <w:p>
      <w:pPr>
        <w:pStyle w:val="TextBody"/>
        <w:spacing w:before="10" w:after="283"/>
        <w:rPr/>
      </w:pPr>
      <w:r>
        <w:rPr/>
      </w:r>
    </w:p>
    <w:p>
      <w:pPr>
        <w:pStyle w:val="TextBody"/>
        <w:spacing w:before="5"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47" name="Frame2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4" w:before="104" w:after="283"/>
        <w:ind w:left="0" w:right="0" w:hanging="358"/>
        <w:jc w:val="both"/>
        <w:rPr/>
      </w:pPr>
      <w:r>
        <w:rPr>
          <w:rFonts w:ascii="Arial;sans-serif" w:hAnsi="Arial;sans-serif"/>
          <w:b w:val="false"/>
          <w:color w:val="000000"/>
          <w:sz w:val="23"/>
        </w:rPr>
        <w:t>c.</w:t>
      </w:r>
      <w:r>
        <w:rPr>
          <w:rFonts w:ascii="Arial;sans-serif" w:hAnsi="Arial;sans-serif"/>
          <w:b w:val="false"/>
          <w:color w:val="000000"/>
          <w:sz w:val="23"/>
          <w:u w:val="single"/>
        </w:rPr>
        <w:t>Solicitation of Employees</w:t>
      </w:r>
      <w:r>
        <w:rPr>
          <w:rFonts w:ascii="Arial;sans-serif" w:hAnsi="Arial;sans-serif"/>
          <w:b w:val="false"/>
          <w:color w:val="000000"/>
          <w:sz w:val="23"/>
        </w:rPr>
        <w:t>. During my employment with the Company, and for a one (1) year period after the date my employment ends (voluntary or otherwise), I covenant and agree that I shall not, directly or indirectly, on my own behalf or for the benefit of any other person or entity, solicit or attempt to solicit any employee of the Company, or at any time unlawfully disrupt, damage, impair or interfere with the Company by raiding its work staff or unlawfully encouraging any employee of the Company to terminate their relationship with the Company.</w:t>
      </w:r>
    </w:p>
    <w:p>
      <w:pPr>
        <w:pStyle w:val="TextBody"/>
        <w:spacing w:before="0" w:after="0"/>
        <w:rPr/>
      </w:pPr>
      <w:r>
        <w:rPr/>
      </w:r>
    </w:p>
    <w:p>
      <w:pPr>
        <w:pStyle w:val="TextBody"/>
        <w:spacing w:lineRule="auto" w:line="264" w:before="1" w:after="283"/>
        <w:ind w:left="0" w:right="0" w:hanging="354"/>
        <w:jc w:val="both"/>
        <w:rPr/>
      </w:pPr>
      <w:r>
        <w:rPr>
          <w:rFonts w:ascii="Arial;sans-serif" w:hAnsi="Arial;sans-serif"/>
          <w:b w:val="false"/>
          <w:color w:val="000000"/>
          <w:sz w:val="23"/>
        </w:rPr>
        <w:t>d.</w:t>
      </w:r>
      <w:r>
        <w:rPr>
          <w:rFonts w:ascii="Arial;sans-serif" w:hAnsi="Arial;sans-serif"/>
          <w:b w:val="false"/>
          <w:color w:val="000000"/>
          <w:sz w:val="23"/>
          <w:u w:val="single"/>
        </w:rPr>
        <w:t>Solicitation of Customers</w:t>
      </w:r>
      <w:r>
        <w:rPr>
          <w:rFonts w:ascii="Arial;sans-serif" w:hAnsi="Arial;sans-serif"/>
          <w:b w:val="false"/>
          <w:color w:val="000000"/>
          <w:sz w:val="23"/>
        </w:rPr>
        <w:t>. During my employment with the Company, and after my employment ends (voluntary or otherwise), I covenant and agree that I shall not in any manner, directly or indirectly, on my own behalf or for the benefit of any other person or entity, use any trade secrets or proprietary Confidential Information of the Company to solicit or attempt to solicit any client or customer of the Company, or at any time use any Confidential Information (including the confidential identity of any client or customer, or trade secret information about the client, account or customer relationship) to induce, influence or encourage any client or customer of the Company to reduce or cease doing business with the Company.</w:t>
      </w:r>
    </w:p>
    <w:p>
      <w:pPr>
        <w:pStyle w:val="TextBody"/>
        <w:spacing w:before="3" w:after="283"/>
        <w:rPr/>
      </w:pPr>
      <w:r>
        <w:rPr/>
      </w:r>
    </w:p>
    <w:p>
      <w:pPr>
        <w:pStyle w:val="TextBody"/>
        <w:spacing w:lineRule="auto" w:line="264" w:before="0" w:after="0"/>
        <w:ind w:left="0" w:right="0" w:hanging="354"/>
        <w:jc w:val="both"/>
        <w:rPr/>
      </w:pPr>
      <w:r>
        <w:rPr>
          <w:rFonts w:ascii="Arial;sans-serif" w:hAnsi="Arial;sans-serif"/>
          <w:b w:val="false"/>
          <w:color w:val="000000"/>
          <w:sz w:val="23"/>
        </w:rPr>
        <w:t>e.</w:t>
      </w:r>
      <w:r>
        <w:rPr>
          <w:rFonts w:ascii="Arial;sans-serif" w:hAnsi="Arial;sans-serif"/>
          <w:b w:val="false"/>
          <w:color w:val="000000"/>
          <w:sz w:val="23"/>
          <w:u w:val="single"/>
        </w:rPr>
        <w:t>Nondisparagement</w:t>
      </w:r>
      <w:r>
        <w:rPr>
          <w:rFonts w:ascii="Arial;sans-serif" w:hAnsi="Arial;sans-serif"/>
          <w:b w:val="false"/>
          <w:color w:val="000000"/>
          <w:sz w:val="23"/>
        </w:rPr>
        <w:t>. I agree that I will not make any disparaging and/or defamatory statements about the Company’s current or former products or services, including on social media. A disparaging statement is any communication that, if publicized, would cause or tend to cause the recipient of the communication to question the business condition, integrity, competence, good character, or product quality of the person or entity to whom the communication relates. I also agree not to make any defamatory statements about the Company to the media or to any other person, including on social media.</w:t>
      </w:r>
    </w:p>
    <w:p>
      <w:pPr>
        <w:pStyle w:val="TextBody"/>
        <w:spacing w:before="0" w:after="0"/>
        <w:rPr/>
      </w:pPr>
      <w:r>
        <w:rPr/>
      </w:r>
    </w:p>
    <w:p>
      <w:pPr>
        <w:pStyle w:val="TextBody"/>
        <w:spacing w:lineRule="auto" w:line="240" w:before="1" w:after="283"/>
        <w:ind w:left="0" w:right="0" w:hanging="257"/>
        <w:rPr/>
      </w:pPr>
      <w:r>
        <w:rPr>
          <w:rFonts w:ascii="Arial;sans-serif" w:hAnsi="Arial;sans-serif"/>
          <w:b w:val="false"/>
          <w:color w:val="000000"/>
          <w:sz w:val="23"/>
        </w:rPr>
        <w:t>3.</w:t>
      </w:r>
      <w:r>
        <w:rPr>
          <w:rFonts w:ascii="Arial;sans-serif" w:hAnsi="Arial;sans-serif"/>
          <w:b w:val="false"/>
          <w:color w:val="000000"/>
          <w:sz w:val="23"/>
          <w:u w:val="single"/>
        </w:rPr>
        <w:t>ASSIGNMENT OF INVENTIONS</w:t>
      </w:r>
      <w:r>
        <w:rPr>
          <w:rFonts w:ascii="Arial;sans-serif" w:hAnsi="Arial;sans-serif"/>
          <w:b w:val="false"/>
          <w:color w:val="000000"/>
          <w:sz w:val="23"/>
        </w:rPr>
        <w:t>.</w:t>
      </w:r>
    </w:p>
    <w:p>
      <w:pPr>
        <w:pStyle w:val="TextBody"/>
        <w:spacing w:before="2" w:after="283"/>
        <w:rPr/>
      </w:pPr>
      <w:r>
        <w:rPr/>
      </w:r>
    </w:p>
    <w:p>
      <w:pPr>
        <w:pStyle w:val="TextBody"/>
        <w:spacing w:lineRule="auto" w:line="266" w:before="101" w:after="283"/>
        <w:ind w:left="0" w:right="0" w:hanging="359"/>
        <w:jc w:val="both"/>
        <w:rPr/>
      </w:pPr>
      <w:r>
        <w:rPr>
          <w:rFonts w:ascii="Arial;sans-serif" w:hAnsi="Arial;sans-serif"/>
          <w:b w:val="false"/>
          <w:color w:val="000000"/>
          <w:sz w:val="23"/>
        </w:rPr>
        <w:t>a.</w:t>
      </w:r>
      <w:r>
        <w:rPr>
          <w:rFonts w:ascii="Arial;sans-serif" w:hAnsi="Arial;sans-serif"/>
          <w:b w:val="false"/>
          <w:color w:val="000000"/>
          <w:sz w:val="23"/>
          <w:u w:val="single"/>
        </w:rPr>
        <w:t>Inventions and Assignment</w:t>
      </w:r>
      <w:r>
        <w:rPr>
          <w:rFonts w:ascii="Arial;sans-serif" w:hAnsi="Arial;sans-serif"/>
          <w:b w:val="false"/>
          <w:color w:val="000000"/>
          <w:sz w:val="23"/>
        </w:rPr>
        <w:t>. In connection with your employment with the Company, you understand and agree that all Inventions, defined as and including discoveries, developments, designs, improvements, inventions, formulas, programs, computer software or code, processes, techniques, know-how, research, technical data and ideas (whether or not patentable or registrable under patent, copyright or similar statutes) that (i) that relate to the Company's business or potential business, (ii) that result from tasks assigned to me by the Company, or (iii) that are conceived or made with the use of the Company's time, facilities, materials or, resources, shall be the sole property of Company and its assigns, and Company shall be the sole owner of all Rights to said Inventions, said Rights being defined as and including patents, trademarks, service marks and copyrights, and other intellectual property rights pertaining to said Inventions or Confidential Information.</w:t>
      </w:r>
      <w:r>
        <w:rPr>
          <w:rFonts w:ascii="Arial;sans-serif" w:hAnsi="Arial;sans-serif"/>
          <w:b w:val="false"/>
          <w:color w:val="000000"/>
          <w:sz w:val="15"/>
        </w:rPr>
        <w:t>1</w:t>
      </w:r>
      <w:r>
        <w:rPr>
          <w:color w:val="000000"/>
        </w:rPr>
        <w:t xml:space="preserve"> </w:t>
      </w:r>
      <w:r>
        <w:rPr>
          <w:rFonts w:ascii="Arial;sans-serif" w:hAnsi="Arial;sans-serif"/>
          <w:b w:val="false"/>
          <w:color w:val="000000"/>
          <w:sz w:val="23"/>
        </w:rPr>
        <w:t>You further acknowledge and</w:t>
      </w:r>
    </w:p>
    <w:p>
      <w:pPr>
        <w:pStyle w:val="TextBody"/>
        <w:spacing w:before="5" w:after="283"/>
        <w:rPr/>
      </w:pPr>
      <w:r>
        <w:rPr/>
      </w:r>
    </w:p>
    <w:p>
      <w:pPr>
        <w:pStyle w:val="TextBody"/>
        <w:spacing w:lineRule="auto" w:line="268" w:before="1" w:after="283"/>
        <w:ind w:left="0" w:right="0" w:firstLine="9"/>
        <w:jc w:val="both"/>
        <w:rPr/>
      </w:pPr>
      <w:r>
        <w:rPr>
          <w:rFonts w:ascii="Arial;sans-serif" w:hAnsi="Arial;sans-serif"/>
          <w:b w:val="false"/>
          <w:color w:val="000000"/>
          <w:sz w:val="14"/>
        </w:rPr>
        <w:t xml:space="preserve">1 </w:t>
      </w:r>
      <w:r>
        <w:rPr>
          <w:rFonts w:ascii="Arial;sans-serif" w:hAnsi="Arial;sans-serif"/>
          <w:b w:val="false"/>
          <w:color w:val="000000"/>
          <w:sz w:val="19"/>
        </w:rPr>
        <w:t>For employees in Delaware, Illinois, Kansas, Minnesota, North Carolina, Utah, Washington, and any other state where the Company employs you where this notice is specifically required by law state law: You are notified that nothing in this Agreement requires any Employee (regardless of state) to assign any of your rights to an invention you developed entirely on your own time using no equipment, supplies, facility, or trade secret information of the Company, unless the invention results from any work you performed for the Company or relates, at the time of conception or reduction to practice, to the business or actual or demonstrably anticipated research or development of the Company.</w:t>
      </w:r>
    </w:p>
    <w:p>
      <w:pPr>
        <w:pStyle w:val="TextBody"/>
        <w:spacing w:before="5" w:after="283"/>
        <w:rPr/>
      </w:pPr>
      <w:r>
        <w:rPr/>
      </w:r>
    </w:p>
    <w:p>
      <w:pPr>
        <w:pStyle w:val="TextBody"/>
        <w:spacing w:lineRule="auto" w:line="266" w:before="0" w:after="0"/>
        <w:ind w:left="0" w:right="0" w:firstLine="15"/>
        <w:jc w:val="both"/>
        <w:rPr>
          <w:rFonts w:ascii="Arial;sans-serif" w:hAnsi="Arial;sans-serif"/>
          <w:b w:val="false"/>
          <w:color w:val="000000"/>
          <w:sz w:val="19"/>
        </w:rPr>
      </w:pPr>
      <w:r>
        <w:rPr>
          <w:rFonts w:ascii="Arial;sans-serif" w:hAnsi="Arial;sans-serif"/>
          <w:b w:val="false"/>
          <w:color w:val="000000"/>
          <w:sz w:val="19"/>
        </w:rPr>
        <w:t>For employees in California, in accordance with Section 2872 of the California Labor Code, you are hereby notified this assignment does not apply to an invention subject to California law that you developed entirely on your own time without using the Company’s equipment, supplies, facilities, or trade secret information except for those inventions that: (1) relate at the time of conception or reduction to practice of the invention to the Company’s business, or actual or demonstrably anticipated research or development the Company; or (2) result from any work performed by you for the Company; or (3) relate to any work performed by you relating to a contract under which the Company has an obligation to assign title to the United States with respect to inventions resulting from work performed thereunder.</w:t>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48" name="Frame2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6" w:before="101" w:after="283"/>
        <w:ind w:left="0" w:right="0" w:firstLine="14"/>
        <w:jc w:val="both"/>
        <w:rPr>
          <w:rFonts w:ascii="Arial;sans-serif" w:hAnsi="Arial;sans-serif"/>
          <w:b w:val="false"/>
          <w:color w:val="000000"/>
          <w:sz w:val="23"/>
        </w:rPr>
      </w:pPr>
      <w:r>
        <w:rPr>
          <w:rFonts w:ascii="Arial;sans-serif" w:hAnsi="Arial;sans-serif"/>
          <w:b w:val="false"/>
          <w:color w:val="000000"/>
          <w:sz w:val="23"/>
        </w:rPr>
        <w:t>agree that all original works of authorship are "works made for hire," as that term is defined in the United States Copyright Act and belong to the Company as an Invention under this policy. In the event that any original works or Inventions (i) that relate to the Company's business or potential business, (ii) that result from tasks assigned to me by the Company, or (iii) that are conceived or made with the use of the Company's time, facilities, materials or, resources shall be deemed to not constitute works made for hire, or in the event that you should otherwise, by operation of law, be deemed to retain any rights to any Inventions, you agree to assign to the Company, without further consideration, your entire right, title and interest in and to each and every such Invention and all Rights to said Inventions developed, created or discovered by you, whether working alone or jointly with others.</w:t>
      </w:r>
    </w:p>
    <w:p>
      <w:pPr>
        <w:pStyle w:val="TextBody"/>
        <w:spacing w:before="0" w:after="0"/>
        <w:rPr/>
      </w:pPr>
      <w:r>
        <w:rPr/>
      </w:r>
    </w:p>
    <w:p>
      <w:pPr>
        <w:pStyle w:val="TextBody"/>
        <w:spacing w:lineRule="auto" w:line="268" w:before="1" w:after="283"/>
        <w:ind w:left="0" w:right="0" w:hanging="348"/>
        <w:jc w:val="both"/>
        <w:rPr/>
      </w:pPr>
      <w:r>
        <w:rPr>
          <w:rFonts w:ascii="Arial;sans-serif" w:hAnsi="Arial;sans-serif"/>
          <w:b w:val="false"/>
          <w:color w:val="000000"/>
          <w:sz w:val="23"/>
        </w:rPr>
        <w:t>b.</w:t>
      </w:r>
      <w:r>
        <w:rPr>
          <w:rFonts w:ascii="Arial;sans-serif" w:hAnsi="Arial;sans-serif"/>
          <w:b w:val="false"/>
          <w:color w:val="000000"/>
          <w:sz w:val="23"/>
          <w:u w:val="single"/>
        </w:rPr>
        <w:t xml:space="preserve">Assistance. </w:t>
      </w:r>
      <w:r>
        <w:rPr>
          <w:rFonts w:ascii="Arial;sans-serif" w:hAnsi="Arial;sans-serif"/>
          <w:b w:val="false"/>
          <w:color w:val="000000"/>
          <w:sz w:val="23"/>
        </w:rPr>
        <w:t>I agree to assist Company in every proper way (but at the Company's expense) to obtain and from time to time enforce the Rights identified above in any and all countries with respect to the Inventions, and I agree to execute all necessary documents for use in applying for, registering, obtaining, and enforcing the Rights and assignments as the Company may desire.</w:t>
      </w:r>
    </w:p>
    <w:p>
      <w:pPr>
        <w:pStyle w:val="TextBody"/>
        <w:spacing w:before="1" w:after="283"/>
        <w:jc w:val="both"/>
        <w:rPr/>
      </w:pPr>
      <w:r>
        <w:rPr/>
      </w:r>
    </w:p>
    <w:p>
      <w:pPr>
        <w:pStyle w:val="TextBody"/>
        <w:spacing w:lineRule="auto" w:line="264" w:before="0" w:after="0"/>
        <w:ind w:left="0" w:right="0" w:hanging="358"/>
        <w:jc w:val="both"/>
        <w:rPr/>
      </w:pPr>
      <w:r>
        <w:rPr>
          <w:rFonts w:ascii="Arial;sans-serif" w:hAnsi="Arial;sans-serif"/>
          <w:b w:val="false"/>
          <w:color w:val="000000"/>
          <w:sz w:val="23"/>
        </w:rPr>
        <w:t>c.</w:t>
      </w:r>
      <w:r>
        <w:rPr>
          <w:rFonts w:ascii="Arial;sans-serif" w:hAnsi="Arial;sans-serif"/>
          <w:b w:val="false"/>
          <w:color w:val="000000"/>
          <w:sz w:val="23"/>
          <w:u w:val="single"/>
        </w:rPr>
        <w:t>Disclosure of Potential Inventions.</w:t>
      </w:r>
      <w:r>
        <w:rPr>
          <w:color w:val="000000"/>
        </w:rPr>
        <w:t xml:space="preserve"> </w:t>
      </w:r>
      <w:r>
        <w:rPr>
          <w:rFonts w:ascii="Arial;sans-serif" w:hAnsi="Arial;sans-serif"/>
          <w:b w:val="false"/>
          <w:color w:val="000000"/>
          <w:sz w:val="23"/>
        </w:rPr>
        <w:t>During the period of my employment and for one (1) year after termination of my employment with the Company (voluntary or otherwise), I will promptly disclose to the Company fully and in writing (to be held in confidence by Company unless deemed to be an Invention) all potential Inventions authored, conceived or reduced to practice by me, either alone or jointly with others, and all patent applications filed by me or on my behalf, so that the Company may determine its rights to any such potential Inventions.</w:t>
      </w:r>
    </w:p>
    <w:p>
      <w:pPr>
        <w:pStyle w:val="TextBody"/>
        <w:spacing w:before="9" w:after="283"/>
        <w:jc w:val="both"/>
        <w:rPr/>
      </w:pPr>
      <w:r>
        <w:rPr/>
      </w:r>
    </w:p>
    <w:p>
      <w:pPr>
        <w:pStyle w:val="TextBody"/>
        <w:spacing w:lineRule="auto" w:line="266" w:before="1" w:after="283"/>
        <w:ind w:left="0" w:right="0" w:hanging="360"/>
        <w:jc w:val="both"/>
        <w:rPr/>
      </w:pPr>
      <w:r>
        <w:rPr>
          <w:rFonts w:ascii="Arial;sans-serif" w:hAnsi="Arial;sans-serif"/>
          <w:b w:val="false"/>
          <w:color w:val="000000"/>
          <w:sz w:val="23"/>
        </w:rPr>
        <w:t>d.</w:t>
      </w:r>
      <w:r>
        <w:rPr>
          <w:rFonts w:ascii="Arial;sans-serif" w:hAnsi="Arial;sans-serif"/>
          <w:b w:val="false"/>
          <w:color w:val="000000"/>
          <w:sz w:val="23"/>
          <w:u w:val="single"/>
        </w:rPr>
        <w:t>Prior Inventions.</w:t>
      </w:r>
      <w:r>
        <w:rPr>
          <w:color w:val="000000"/>
        </w:rPr>
        <w:t xml:space="preserve"> </w:t>
      </w:r>
      <w:r>
        <w:rPr>
          <w:rFonts w:ascii="Arial;sans-serif" w:hAnsi="Arial;sans-serif"/>
          <w:b w:val="false"/>
          <w:color w:val="000000"/>
          <w:sz w:val="23"/>
        </w:rPr>
        <w:t>To the extent I have made or conceived or first reduced to practice (either alone or jointly with others) any inventions or improvements relevant to my employment with Company, but before I commenced employment with Company, I am listing below all such inventions or improvements that are to be excluded from the operation of this Agreement. I am representing that I have listed all previously patented as well as any unpatented but potentially patentable ideas and inventions conceived prior to my employment with Company which have not been assigned to a former employer, and I further represent and warrant that such list is complete.</w:t>
      </w:r>
    </w:p>
    <w:p>
      <w:pPr>
        <w:pStyle w:val="TextBody"/>
        <w:spacing w:before="4" w:after="283"/>
        <w:rPr/>
      </w:pPr>
      <w:r>
        <w:rPr/>
      </w:r>
    </w:p>
    <w:p>
      <w:pPr>
        <w:pStyle w:val="TextBody"/>
        <w:spacing w:lineRule="auto" w:line="240" w:before="6" w:after="283"/>
        <w:rPr/>
      </w:pPr>
      <w:r>
        <w:rPr>
          <w:rFonts w:ascii="Arial;sans-serif" w:hAnsi="Arial;sans-serif"/>
          <w:b w:val="false"/>
          <w:color w:val="000000"/>
          <w:sz w:val="23"/>
        </w:rPr>
        <w:t>LIST    ANY    EXCLUSIONS.    </w:t>
      </w:r>
      <w:r>
        <w:rPr/>
        <w:drawing>
          <wp:inline distT="0" distB="63500" distL="0" distR="0">
            <wp:extent cx="6248400" cy="14605"/>
            <wp:effectExtent l="0" t="0" r="0" b="0"/>
            <wp:docPr id="2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 descr=""/>
                    <pic:cNvPicPr>
                      <a:picLocks noChangeAspect="1" noChangeArrowheads="1"/>
                    </pic:cNvPicPr>
                  </pic:nvPicPr>
                  <pic:blipFill>
                    <a:blip r:embed="rId41"/>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 descr=""/>
                    <pic:cNvPicPr>
                      <a:picLocks noChangeAspect="1" noChangeArrowheads="1"/>
                    </pic:cNvPicPr>
                  </pic:nvPicPr>
                  <pic:blipFill>
                    <a:blip r:embed="rId42"/>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 descr=""/>
                    <pic:cNvPicPr>
                      <a:picLocks noChangeAspect="1" noChangeArrowheads="1"/>
                    </pic:cNvPicPr>
                  </pic:nvPicPr>
                  <pic:blipFill>
                    <a:blip r:embed="rId43"/>
                    <a:stretch>
                      <a:fillRect/>
                    </a:stretch>
                  </pic:blipFill>
                  <pic:spPr bwMode="auto">
                    <a:xfrm>
                      <a:off x="0" y="0"/>
                      <a:ext cx="6248400" cy="14605"/>
                    </a:xfrm>
                    <a:prstGeom prst="rect">
                      <a:avLst/>
                    </a:prstGeom>
                  </pic:spPr>
                </pic:pic>
              </a:graphicData>
            </a:graphic>
          </wp:inline>
        </w:drawing>
      </w:r>
    </w:p>
    <w:p>
      <w:pPr>
        <w:pStyle w:val="TextBody"/>
        <w:spacing w:before="6" w:after="283"/>
        <w:rPr/>
      </w:pPr>
      <w:r>
        <w:rPr/>
        <w:drawing>
          <wp:inline distT="0" distB="63500" distL="0" distR="0">
            <wp:extent cx="6248400" cy="14605"/>
            <wp:effectExtent l="0" t="0" r="0" b="0"/>
            <wp:docPr id="2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 descr=""/>
                    <pic:cNvPicPr>
                      <a:picLocks noChangeAspect="1" noChangeArrowheads="1"/>
                    </pic:cNvPicPr>
                  </pic:nvPicPr>
                  <pic:blipFill>
                    <a:blip r:embed="rId44"/>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5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6" descr=""/>
                    <pic:cNvPicPr>
                      <a:picLocks noChangeAspect="1" noChangeArrowheads="1"/>
                    </pic:cNvPicPr>
                  </pic:nvPicPr>
                  <pic:blipFill>
                    <a:blip r:embed="rId45"/>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5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7" descr=""/>
                    <pic:cNvPicPr>
                      <a:picLocks noChangeAspect="1" noChangeArrowheads="1"/>
                    </pic:cNvPicPr>
                  </pic:nvPicPr>
                  <pic:blipFill>
                    <a:blip r:embed="rId46"/>
                    <a:stretch>
                      <a:fillRect/>
                    </a:stretch>
                  </pic:blipFill>
                  <pic:spPr bwMode="auto">
                    <a:xfrm>
                      <a:off x="0" y="0"/>
                      <a:ext cx="6248400" cy="14605"/>
                    </a:xfrm>
                    <a:prstGeom prst="rect">
                      <a:avLst/>
                    </a:prstGeom>
                  </pic:spPr>
                </pic:pic>
              </a:graphicData>
            </a:graphic>
          </wp:inline>
        </w:drawing>
      </w:r>
      <w:r>
        <w:rPr/>
        <w:drawing>
          <wp:inline distT="0" distB="63500" distL="0" distR="0">
            <wp:extent cx="6248400" cy="14605"/>
            <wp:effectExtent l="0" t="0" r="0" b="0"/>
            <wp:docPr id="25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8" descr=""/>
                    <pic:cNvPicPr>
                      <a:picLocks noChangeAspect="1" noChangeArrowheads="1"/>
                    </pic:cNvPicPr>
                  </pic:nvPicPr>
                  <pic:blipFill>
                    <a:blip r:embed="rId47"/>
                    <a:stretch>
                      <a:fillRect/>
                    </a:stretch>
                  </pic:blipFill>
                  <pic:spPr bwMode="auto">
                    <a:xfrm>
                      <a:off x="0" y="0"/>
                      <a:ext cx="6248400" cy="14605"/>
                    </a:xfrm>
                    <a:prstGeom prst="rect">
                      <a:avLst/>
                    </a:prstGeom>
                  </pic:spPr>
                </pic:pic>
              </a:graphicData>
            </a:graphic>
          </wp:inline>
        </w:drawing>
      </w:r>
    </w:p>
    <w:p>
      <w:pPr>
        <w:pStyle w:val="TextBody"/>
        <w:spacing w:lineRule="auto" w:line="240" w:before="93" w:after="283"/>
        <w:ind w:left="0" w:right="0" w:hanging="257"/>
        <w:rPr/>
      </w:pPr>
      <w:r>
        <w:rPr>
          <w:rFonts w:ascii="Arial;sans-serif" w:hAnsi="Arial;sans-serif"/>
          <w:b w:val="false"/>
          <w:color w:val="000000"/>
          <w:sz w:val="23"/>
        </w:rPr>
        <w:t>4.</w:t>
      </w:r>
      <w:r>
        <w:rPr>
          <w:rFonts w:ascii="Arial;sans-serif" w:hAnsi="Arial;sans-serif"/>
          <w:b w:val="false"/>
          <w:color w:val="000000"/>
          <w:sz w:val="23"/>
          <w:u w:val="single"/>
        </w:rPr>
        <w:t>GENERAL PROVISIONS</w:t>
      </w:r>
      <w:r>
        <w:rPr>
          <w:rFonts w:ascii="Arial;sans-serif" w:hAnsi="Arial;sans-serif"/>
          <w:b w:val="false"/>
          <w:color w:val="000000"/>
          <w:sz w:val="23"/>
        </w:rPr>
        <w:t>.</w:t>
      </w:r>
    </w:p>
    <w:p>
      <w:pPr>
        <w:pStyle w:val="TextBody"/>
        <w:spacing w:before="5" w:after="283"/>
        <w:rPr/>
      </w:pPr>
      <w:r>
        <w:rPr/>
      </w:r>
    </w:p>
    <w:p>
      <w:pPr>
        <w:pStyle w:val="TextBody"/>
        <w:spacing w:lineRule="auto" w:line="266" w:before="81" w:after="283"/>
        <w:ind w:left="0" w:right="0" w:hanging="348"/>
        <w:jc w:val="both"/>
        <w:rPr>
          <w:rFonts w:ascii="Arial;sans-serif" w:hAnsi="Arial;sans-serif"/>
          <w:b w:val="false"/>
          <w:color w:val="000000"/>
          <w:sz w:val="23"/>
        </w:rPr>
      </w:pPr>
      <w:r>
        <w:rPr>
          <w:rFonts w:ascii="Arial;sans-serif" w:hAnsi="Arial;sans-serif"/>
          <w:b w:val="false"/>
          <w:color w:val="000000"/>
          <w:sz w:val="23"/>
        </w:rPr>
        <w:t>a.This Agreement will be binding upon my heirs, assigns, executors, administrators or other legal representatives and will be for the benefit of the Company and its successors and assigns.</w:t>
      </w:r>
    </w:p>
    <w:p>
      <w:pPr>
        <w:pStyle w:val="TextBody"/>
        <w:spacing w:lineRule="auto" w:line="266" w:before="81" w:after="283"/>
        <w:ind w:left="0" w:right="0" w:hanging="348"/>
        <w:jc w:val="both"/>
        <w:rPr>
          <w:rFonts w:ascii="Arial;sans-serif" w:hAnsi="Arial;sans-serif"/>
          <w:b w:val="false"/>
          <w:color w:val="000000"/>
          <w:sz w:val="23"/>
        </w:rPr>
      </w:pPr>
      <w:r>
        <w:rPr>
          <w:rFonts w:ascii="Arial;sans-serif" w:hAnsi="Arial;sans-serif"/>
          <w:b w:val="false"/>
          <w:color w:val="000000"/>
          <w:sz w:val="23"/>
        </w:rPr>
        <w:t>b.Except as otherwise may be modified herein, disputes under this Agreement shall be resolved pursuant to the Employee Grievance Process or Mutual Dispute Arbitration Policy/Mutual Agreement to Arbitrate.</w:t>
      </w:r>
    </w:p>
    <w:p>
      <w:pPr>
        <w:pStyle w:val="TextBody"/>
        <w:spacing w:before="5" w:after="283"/>
        <w:rPr/>
      </w:pPr>
      <w:r>
        <w:rPr/>
      </w:r>
    </w:p>
    <w:p>
      <w:pPr>
        <w:pStyle w:val="TextBody"/>
        <w:spacing w:lineRule="auto" w:line="264" w:before="0" w:after="0"/>
        <w:ind w:left="0" w:right="0" w:hanging="348"/>
        <w:jc w:val="both"/>
        <w:rPr>
          <w:rFonts w:ascii="Arial;sans-serif" w:hAnsi="Arial;sans-serif"/>
          <w:b w:val="false"/>
          <w:color w:val="000000"/>
          <w:sz w:val="23"/>
        </w:rPr>
      </w:pPr>
      <w:r>
        <w:rPr>
          <w:rFonts w:ascii="Arial;sans-serif" w:hAnsi="Arial;sans-serif"/>
          <w:b w:val="false"/>
          <w:color w:val="000000"/>
          <w:sz w:val="23"/>
        </w:rPr>
        <w:t>c.This agreement does not prohibit employees from testifying in an administrative, legislative, or judicial proceeding and giving truthful testimony when the employee has been required or requested to attend the proceeding pursuant to a court order, subpoena, or written request from an administrative agency or the legislature.</w:t>
      </w:r>
    </w:p>
    <w:p>
      <w:pPr>
        <w:pStyle w:val="TextBody"/>
        <w:spacing w:before="1" w:after="283"/>
        <w:rPr/>
      </w:pPr>
      <w:r>
        <w:rPr/>
      </w:r>
    </w:p>
    <w:p>
      <w:pPr>
        <w:pStyle w:val="TextBody"/>
        <w:spacing w:lineRule="auto" w:line="264" w:before="0" w:after="0"/>
        <w:ind w:left="0" w:right="0" w:hanging="360"/>
        <w:jc w:val="both"/>
        <w:rPr>
          <w:rFonts w:ascii="Arial;sans-serif" w:hAnsi="Arial;sans-serif"/>
          <w:b w:val="false"/>
          <w:color w:val="000000"/>
          <w:sz w:val="23"/>
        </w:rPr>
      </w:pPr>
      <w:r>
        <w:rPr>
          <w:rFonts w:ascii="Arial;sans-serif" w:hAnsi="Arial;sans-serif"/>
          <w:b w:val="false"/>
          <w:color w:val="000000"/>
          <w:sz w:val="23"/>
        </w:rPr>
        <w:t>d.This agreement also does not prohibit employees from exercising any federal or state statutory “whistleblowing” rights to report certain conduct to government agencies or from complying with all requirements of the Gramm-Leach–Bliley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1" w:after="283"/>
        <w:ind w:left="0" w:right="0" w:firstLine="12"/>
        <w:jc w:val="both"/>
        <w:rPr/>
      </w:pPr>
      <w:r>
        <w:rPr/>
      </w:r>
    </w:p>
    <w:p>
      <w:pPr>
        <w:pStyle w:val="TextBody"/>
        <w:spacing w:before="6" w:after="283"/>
        <w:rPr/>
      </w:pPr>
      <w:r>
        <w:rPr/>
      </w:r>
    </w:p>
    <w:p>
      <w:pPr>
        <w:pStyle w:val="TextBody"/>
        <w:spacing w:lineRule="auto" w:line="264" w:before="1" w:after="283"/>
        <w:ind w:left="0" w:right="0" w:hanging="359"/>
        <w:jc w:val="both"/>
        <w:rPr>
          <w:rFonts w:ascii="Arial;sans-serif" w:hAnsi="Arial;sans-serif"/>
          <w:b w:val="false"/>
          <w:color w:val="000000"/>
          <w:sz w:val="23"/>
        </w:rPr>
      </w:pPr>
      <w:r>
        <w:rPr>
          <w:rFonts w:ascii="Arial;sans-serif" w:hAnsi="Arial;sans-serif"/>
          <w:b w:val="false"/>
          <w:color w:val="000000"/>
          <w:sz w:val="23"/>
        </w:rPr>
        <w:t>e.This agreement does not prohibit employees from using open source software when working on assigned company projects. Employees may do so, but only in accordance with Company policy. Employee must obtain written permission from their immediate supervisor before making an open source contribution. Employees must clearly and carefully document all contributions. Employees must not sign any contribution or other related agreement until receiving written permission from their immediate supervisor to do so.</w:t>
      </w:r>
    </w:p>
    <w:p>
      <w:pPr>
        <w:pStyle w:val="TextBody"/>
        <w:spacing w:before="2" w:after="283"/>
        <w:rPr/>
      </w:pPr>
      <w:r>
        <w:rPr/>
      </w:r>
    </w:p>
    <w:p>
      <w:pPr>
        <w:pStyle w:val="TextBody"/>
        <w:spacing w:lineRule="auto" w:line="264" w:before="0" w:after="0"/>
        <w:ind w:left="0" w:right="0" w:hanging="361"/>
        <w:jc w:val="both"/>
        <w:rPr>
          <w:rFonts w:ascii="Arial;sans-serif" w:hAnsi="Arial;sans-serif"/>
          <w:b w:val="false"/>
          <w:color w:val="000000"/>
          <w:sz w:val="23"/>
        </w:rPr>
      </w:pPr>
      <w:r>
        <w:rPr>
          <w:rFonts w:ascii="Arial;sans-serif" w:hAnsi="Arial;sans-serif"/>
          <w:b w:val="false"/>
          <w:color w:val="000000"/>
          <w:sz w:val="23"/>
        </w:rPr>
        <w:t>f.No waiver by the Company of any breach of this Agreement shall be a waiver of any preceding or succeeding breach. No waiver by the Company of any right or obligation under this Agreement shall be construed as a waiver of any other right or obligation. The Company shall not be required to give prior notice to enforce strict adherence to all terms of this Agreement.</w:t>
      </w:r>
    </w:p>
    <w:p>
      <w:pPr>
        <w:pStyle w:val="TextBody"/>
        <w:spacing w:before="8" w:after="283"/>
        <w:rPr/>
      </w:pPr>
      <w:r>
        <w:rPr/>
      </w:r>
    </w:p>
    <w:p>
      <w:pPr>
        <w:pStyle w:val="TextBody"/>
        <w:spacing w:lineRule="auto" w:line="264" w:before="0" w:after="0"/>
        <w:ind w:left="0" w:right="0" w:hanging="354"/>
        <w:jc w:val="both"/>
        <w:rPr>
          <w:rFonts w:ascii="Arial;sans-serif" w:hAnsi="Arial;sans-serif"/>
          <w:b w:val="false"/>
          <w:color w:val="000000"/>
          <w:sz w:val="23"/>
        </w:rPr>
      </w:pPr>
      <w:r>
        <w:rPr>
          <w:rFonts w:ascii="Arial;sans-serif" w:hAnsi="Arial;sans-serif"/>
          <w:b w:val="false"/>
          <w:color w:val="000000"/>
          <w:sz w:val="23"/>
        </w:rPr>
        <w:t>g.In the event that any legal action becomes necessary to enforce or interpret the terms of this Agreement, the prevailing party shall be entitled, in addition to its court costs, to such reasonable attorney fees, expert witness fees and legal expenses as shall be fixed by a court of competent jurisdiction. This Agreement shall be governed by the laws of the State in which the employee works.</w:t>
      </w:r>
    </w:p>
    <w:p>
      <w:pPr>
        <w:pStyle w:val="TextBody"/>
        <w:spacing w:before="9" w:after="283"/>
        <w:rPr/>
      </w:pPr>
      <w:r>
        <w:rPr/>
      </w:r>
    </w:p>
    <w:p>
      <w:pPr>
        <w:pStyle w:val="TextBody"/>
        <w:spacing w:lineRule="auto" w:line="264" w:before="0" w:after="0"/>
        <w:ind w:left="0" w:right="0" w:hanging="354"/>
        <w:jc w:val="both"/>
        <w:rPr>
          <w:rFonts w:ascii="Arial;sans-serif" w:hAnsi="Arial;sans-serif"/>
          <w:b w:val="false"/>
          <w:color w:val="000000"/>
          <w:sz w:val="23"/>
        </w:rPr>
      </w:pPr>
      <w:r>
        <w:rPr>
          <w:rFonts w:ascii="Arial;sans-serif" w:hAnsi="Arial;sans-serif"/>
          <w:b w:val="false"/>
          <w:color w:val="000000"/>
          <w:sz w:val="23"/>
        </w:rPr>
        <w:t>h.Wherever necessary to carry out the intent of the parties, the provisions of this Agreement shall survive the termination of my employment with the Company and shall continue in full force and effect.</w:t>
      </w:r>
    </w:p>
    <w:p>
      <w:pPr>
        <w:pStyle w:val="TextBody"/>
        <w:spacing w:before="6" w:after="283"/>
        <w:rPr/>
      </w:pPr>
      <w:r>
        <w:rPr/>
      </w:r>
    </w:p>
    <w:p>
      <w:pPr>
        <w:pStyle w:val="TextBody"/>
        <w:spacing w:lineRule="auto" w:line="264" w:before="0" w:after="0"/>
        <w:ind w:left="0" w:right="0" w:hanging="353"/>
        <w:jc w:val="both"/>
        <w:rPr>
          <w:rFonts w:ascii="Arial;sans-serif" w:hAnsi="Arial;sans-serif"/>
          <w:b w:val="false"/>
          <w:color w:val="000000"/>
          <w:sz w:val="23"/>
        </w:rPr>
      </w:pPr>
      <w:r>
        <w:rPr>
          <w:rFonts w:ascii="Arial;sans-serif" w:hAnsi="Arial;sans-serif"/>
          <w:b w:val="false"/>
          <w:color w:val="000000"/>
          <w:sz w:val="23"/>
        </w:rPr>
        <w:t>i.In case any one or more of the provisions contained in this Agreement shall, for any reason, be held to be invalid, illegal or unenforceable in any respect, such invalidity, illegality or unenforceability shall be construed by limiting and reducing such provision, so as to be enforceable to the fullest extent compatible with the intent of the parties and the then current applicable law, and if not possible, then this Agreement shall be construed as if such invalid, illegal or unenforceable provision had never been contained herein and it shall not affect the other provisions of this Agreement, which shall remain in full force and effect.</w:t>
      </w:r>
    </w:p>
    <w:p>
      <w:pPr>
        <w:pStyle w:val="TextBody"/>
        <w:spacing w:before="5" w:after="283"/>
        <w:jc w:val="both"/>
        <w:rPr/>
      </w:pPr>
      <w:r>
        <w:rPr/>
      </w:r>
    </w:p>
    <w:p>
      <w:pPr>
        <w:pStyle w:val="TextBody"/>
        <w:spacing w:lineRule="auto" w:line="264" w:before="0" w:after="0"/>
        <w:ind w:left="0" w:right="0" w:hanging="367"/>
        <w:jc w:val="both"/>
        <w:rPr>
          <w:rFonts w:ascii="Arial;sans-serif" w:hAnsi="Arial;sans-serif"/>
          <w:b w:val="false"/>
          <w:color w:val="000000"/>
          <w:sz w:val="23"/>
        </w:rPr>
      </w:pPr>
      <w:r>
        <w:rPr>
          <w:rFonts w:ascii="Arial;sans-serif" w:hAnsi="Arial;sans-serif"/>
          <w:b w:val="false"/>
          <w:color w:val="000000"/>
          <w:sz w:val="23"/>
        </w:rPr>
        <w:t>j.I acknowledge that this Agreement is in consideration of my employment or continued employment with the Company, whether executed before, at, or following my initial employment therewith. I further acknowledge that this Agreement does not create any obligation for my continued employment by the Company, or in any way alter my status as an “at will” employee, which means that my employment relationship may be terminated by either me or the Company at any time, for any reason, with or without cause and with or without prior notice.</w:t>
      </w:r>
    </w:p>
    <w:p>
      <w:pPr>
        <w:pStyle w:val="TextBody"/>
        <w:spacing w:before="9" w:after="283"/>
        <w:jc w:val="both"/>
        <w:rPr/>
      </w:pPr>
      <w:r>
        <w:rPr/>
      </w:r>
    </w:p>
    <w:p>
      <w:pPr>
        <w:pStyle w:val="TextBody"/>
        <w:spacing w:lineRule="auto" w:line="264" w:before="0" w:after="0"/>
        <w:ind w:left="0" w:right="0" w:hanging="354"/>
        <w:jc w:val="both"/>
        <w:rPr>
          <w:rFonts w:ascii="Arial;sans-serif" w:hAnsi="Arial;sans-serif"/>
          <w:b w:val="false"/>
          <w:color w:val="000000"/>
          <w:sz w:val="23"/>
        </w:rPr>
      </w:pPr>
      <w:r>
        <w:rPr>
          <w:rFonts w:ascii="Arial;sans-serif" w:hAnsi="Arial;sans-serif"/>
          <w:b w:val="false"/>
          <w:color w:val="000000"/>
          <w:sz w:val="23"/>
        </w:rPr>
        <w:t>k.This Agreement, including the attached Exhibits as referenced above, contains the entire understanding between myself and the Company with respect to the subject matter hereof, and there are no representations, warranties, promises or undertakings other than those contained in the provisions above. No modification of or amendment to this Agreement, nor any waiver of any rights or obligations under this Agreement, will be effective unless in writing and signed by both me and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4" w:before="0" w:after="0"/>
        <w:ind w:left="0" w:right="0" w:firstLine="1129"/>
        <w:rPr>
          <w:rFonts w:ascii="Arial;sans-serif" w:hAnsi="Arial;sans-serif"/>
          <w:b w:val="false"/>
          <w:color w:val="000000"/>
          <w:sz w:val="23"/>
        </w:rPr>
      </w:pPr>
      <w:r>
        <w:rPr>
          <w:rFonts w:ascii="Arial;sans-serif" w:hAnsi="Arial;sans-serif"/>
          <w:b w:val="false"/>
          <w:color w:val="000000"/>
          <w:sz w:val="23"/>
        </w:rPr>
        <w:t>I represent and warrant that: (a) I have read this Agreement and understand all the terms and conditions hereof, (b) I have entered into this Agreement of my own free will and volition, (c) I have been advised by the Company that this Agreement is a legally binding contract and that I should seek my own independent attorney to review it, (d) I have been afforded ample opportunity to consult with my own attorney regarding this Agreement, and (e) the terms of this Agreement are fair, reasonable and are being agreed to voluntarily in exchange for my employment or continued employment by the Company</w:t>
      </w:r>
    </w:p>
    <w:p>
      <w:pPr>
        <w:pStyle w:val="TextBody"/>
        <w:spacing w:before="0" w:after="0"/>
        <w:rPr/>
      </w:pPr>
      <w:r>
        <w:rPr/>
      </w:r>
    </w:p>
    <w:p>
      <w:pPr>
        <w:pStyle w:val="TextBody"/>
        <w:spacing w:lineRule="auto" w:line="240" w:before="0" w:after="0"/>
        <w:rPr>
          <w:rFonts w:ascii="Arial;sans-serif" w:hAnsi="Arial;sans-serif"/>
          <w:b w:val="false"/>
          <w:color w:val="000000"/>
          <w:sz w:val="23"/>
        </w:rPr>
      </w:pPr>
      <w:r>
        <w:rPr>
          <w:rFonts w:ascii="Arial;sans-serif" w:hAnsi="Arial;sans-serif"/>
          <w:b w:val="false"/>
          <w:color w:val="000000"/>
          <w:sz w:val="23"/>
        </w:rPr>
        <w:t>This Agreement is executed by me at ____________________, in the State of ________________, as of this day of ________, 20_ .</w:t>
      </w:r>
    </w:p>
    <w:p>
      <w:pPr>
        <w:pStyle w:val="TextBody"/>
        <w:spacing w:before="0" w:after="0"/>
        <w:rPr/>
      </w:pPr>
      <w:r>
        <w:rPr/>
      </w:r>
    </w:p>
    <w:p>
      <w:pPr>
        <w:pStyle w:val="TextBody"/>
        <w:spacing w:before="8" w:after="283"/>
        <w:rPr/>
      </w:pPr>
      <w:r>
        <w:rPr/>
      </w:r>
    </w:p>
    <w:p>
      <w:pPr>
        <w:pStyle w:val="TextBody"/>
        <w:spacing w:lineRule="auto" w:line="240" w:before="93" w:after="283"/>
        <w:rPr>
          <w:rFonts w:ascii="Arial;sans-serif" w:hAnsi="Arial;sans-serif"/>
          <w:b/>
          <w:color w:val="000000"/>
          <w:sz w:val="23"/>
        </w:rPr>
      </w:pPr>
      <w:r>
        <w:rPr>
          <w:rFonts w:ascii="Arial;sans-serif" w:hAnsi="Arial;sans-serif"/>
          <w:b/>
          <w:color w:val="000000"/>
          <w:sz w:val="23"/>
        </w:rPr>
        <w:t>EMPLOYEE:</w:t>
      </w:r>
    </w:p>
    <w:p>
      <w:pPr>
        <w:pStyle w:val="TextBody"/>
        <w:spacing w:before="5" w:after="283"/>
        <w:rPr/>
      </w:pPr>
      <w:r>
        <w:rPr/>
      </w:r>
    </w:p>
    <w:p>
      <w:pPr>
        <w:pStyle w:val="TextBody"/>
        <w:spacing w:before="0" w:after="0"/>
        <w:jc w:val="center"/>
        <w:rPr/>
      </w:pPr>
      <w:r>
        <w:rPr/>
      </w:r>
    </w:p>
    <w:p>
      <w:pPr>
        <w:pStyle w:val="TextBody"/>
        <w:spacing w:lineRule="auto" w:line="264" w:before="6" w:after="283"/>
        <w:ind w:left="0" w:right="0" w:hanging="17"/>
        <w:rPr/>
      </w:pPr>
      <w:r>
        <w:rPr>
          <w:color w:val="000000"/>
          <w:u w:val="single"/>
        </w:rPr>
        <w:t>    </w:t>
      </w:r>
      <w:r>
        <w:rPr>
          <w:color w:val="000000"/>
        </w:rPr>
        <w:t xml:space="preserve"> </w:t>
      </w:r>
      <w:r>
        <w:rPr>
          <w:rFonts w:ascii="Arial;sans-serif" w:hAnsi="Arial;sans-serif"/>
          <w:b/>
          <w:color w:val="000000"/>
          <w:sz w:val="23"/>
        </w:rPr>
        <w:t>Print Name</w:t>
      </w:r>
    </w:p>
    <w:p>
      <w:pPr>
        <w:pStyle w:val="TextBody"/>
        <w:spacing w:before="9" w:after="283"/>
        <w:rPr/>
      </w:pPr>
      <w:r>
        <w:rPr/>
      </w:r>
    </w:p>
    <w:p>
      <w:pPr>
        <w:pStyle w:val="TextBody"/>
        <w:spacing w:lineRule="auto" w:line="264" w:before="104" w:after="283"/>
        <w:ind w:left="0" w:right="0" w:hanging="9"/>
        <w:rPr/>
      </w:pPr>
      <w:r>
        <w:rPr>
          <w:color w:val="000000"/>
          <w:u w:val="single"/>
        </w:rPr>
        <w:t>    </w:t>
      </w:r>
      <w:r>
        <w:rPr>
          <w:color w:val="000000"/>
        </w:rPr>
        <w:t xml:space="preserve"> </w:t>
      </w:r>
      <w:r>
        <w:rPr>
          <w:rFonts w:ascii="Arial;sans-serif" w:hAnsi="Arial;sans-serif"/>
          <w:b/>
          <w:color w:val="000000"/>
          <w:sz w:val="23"/>
        </w:rPr>
        <w:t>Signature</w:t>
      </w:r>
    </w:p>
    <w:p>
      <w:pPr>
        <w:pStyle w:val="TextBody"/>
        <w:spacing w:before="0" w:after="0"/>
        <w:rPr/>
      </w:pPr>
      <w:r>
        <w:rPr/>
      </w:r>
    </w:p>
    <w:p>
      <w:pPr>
        <w:pStyle w:val="TextBody"/>
        <w:spacing w:before="0" w:after="0"/>
        <w:rPr/>
      </w:pPr>
      <w:r>
        <w:rPr/>
      </w:r>
    </w:p>
    <w:p>
      <w:pPr>
        <w:pStyle w:val="TextBody"/>
        <w:spacing w:lineRule="auto" w:line="240" w:before="93" w:after="283"/>
        <w:rPr>
          <w:rFonts w:ascii="Arial;sans-serif" w:hAnsi="Arial;sans-serif"/>
          <w:b/>
          <w:color w:val="000000"/>
          <w:sz w:val="23"/>
        </w:rPr>
      </w:pPr>
      <w:r>
        <w:rPr>
          <w:rFonts w:ascii="Arial;sans-serif" w:hAnsi="Arial;sans-serif"/>
          <w:b/>
          <w:color w:val="000000"/>
          <w:sz w:val="23"/>
        </w:rPr>
        <w:t>WITNESS:</w:t>
      </w:r>
    </w:p>
    <w:p>
      <w:pPr>
        <w:pStyle w:val="TextBody"/>
        <w:spacing w:before="5" w:after="283"/>
        <w:rPr/>
      </w:pPr>
      <w:r>
        <w:rPr/>
      </w:r>
    </w:p>
    <w:p>
      <w:pPr>
        <w:pStyle w:val="TextBody"/>
        <w:spacing w:before="0" w:after="0"/>
        <w:jc w:val="center"/>
        <w:rPr/>
      </w:pPr>
      <w:r>
        <w:rPr/>
      </w:r>
    </w:p>
    <w:p>
      <w:pPr>
        <w:pStyle w:val="TextBody"/>
        <w:spacing w:lineRule="auto" w:line="264" w:before="6" w:after="283"/>
        <w:ind w:left="0" w:right="0" w:hanging="17"/>
        <w:rPr/>
      </w:pPr>
      <w:r>
        <w:rPr>
          <w:rFonts w:ascii="Arial;sans-serif" w:hAnsi="Arial;sans-serif"/>
          <w:b w:val="false"/>
          <w:color w:val="000000"/>
          <w:sz w:val="23"/>
          <w:u w:val="single"/>
        </w:rPr>
        <w:t>Megan Tilton</w:t>
      </w:r>
      <w:r>
        <w:rPr>
          <w:color w:val="000000"/>
          <w:u w:val="single"/>
        </w:rPr>
        <w:t>    </w:t>
      </w:r>
      <w:r>
        <w:rPr>
          <w:color w:val="000000"/>
        </w:rPr>
        <w:t xml:space="preserve"> </w:t>
      </w:r>
      <w:r>
        <w:rPr>
          <w:rFonts w:ascii="Arial;sans-serif" w:hAnsi="Arial;sans-serif"/>
          <w:b/>
          <w:color w:val="000000"/>
          <w:sz w:val="23"/>
        </w:rPr>
        <w:t>Print Name</w:t>
      </w:r>
    </w:p>
    <w:p>
      <w:pPr>
        <w:pStyle w:val="TextBody"/>
        <w:spacing w:before="9" w:after="283"/>
        <w:rPr/>
      </w:pPr>
      <w:r>
        <w:rPr/>
      </w:r>
    </w:p>
    <w:p>
      <w:pPr>
        <w:pStyle w:val="TextBody"/>
        <w:spacing w:lineRule="auto" w:line="264" w:before="104" w:after="283"/>
        <w:ind w:left="0" w:right="0" w:hanging="9"/>
        <w:rPr/>
      </w:pPr>
      <w:r>
        <w:rPr>
          <w:rFonts w:ascii="Arial;sans-serif" w:hAnsi="Arial;sans-serif"/>
          <w:b w:val="false"/>
          <w:color w:val="000000"/>
          <w:sz w:val="23"/>
          <w:u w:val="single"/>
        </w:rPr>
        <w:t>/s/Megan Tilton</w:t>
      </w:r>
      <w:r>
        <w:rPr>
          <w:color w:val="000000"/>
          <w:u w:val="single"/>
        </w:rPr>
        <w:t>    </w:t>
      </w:r>
      <w:r>
        <w:rPr>
          <w:color w:val="000000"/>
        </w:rPr>
        <w:t xml:space="preserve"> </w:t>
      </w:r>
      <w:r>
        <w:rPr>
          <w:rFonts w:ascii="Arial;sans-serif" w:hAnsi="Arial;sans-serif"/>
          <w:b/>
          <w:color w:val="000000"/>
          <w:sz w:val="23"/>
        </w:rPr>
        <w:t>Signature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1"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2" w:after="283"/>
        <w:jc w:val="center"/>
        <w:rPr>
          <w:rFonts w:ascii="Arial;sans-serif" w:hAnsi="Arial;sans-serif"/>
          <w:b/>
          <w:color w:val="000000"/>
          <w:sz w:val="23"/>
          <w:u w:val="single"/>
        </w:rPr>
      </w:pPr>
      <w:r>
        <w:rPr>
          <w:rFonts w:ascii="Arial;sans-serif" w:hAnsi="Arial;sans-serif"/>
          <w:b/>
          <w:color w:val="000000"/>
          <w:sz w:val="23"/>
          <w:u w:val="single"/>
        </w:rPr>
        <w:t>EXHIBIT A TERMINATION CERTIFICATE</w:t>
      </w:r>
    </w:p>
    <w:p>
      <w:pPr>
        <w:pStyle w:val="TextBody"/>
        <w:spacing w:before="9" w:after="283"/>
        <w:rPr/>
      </w:pPr>
      <w:r>
        <w:rPr/>
      </w:r>
    </w:p>
    <w:p>
      <w:pPr>
        <w:pStyle w:val="TextBody"/>
        <w:spacing w:lineRule="auto" w:line="264" w:before="104" w:after="283"/>
        <w:rPr>
          <w:rFonts w:ascii="Arial;sans-serif" w:hAnsi="Arial;sans-serif"/>
          <w:b w:val="false"/>
          <w:color w:val="000000"/>
          <w:sz w:val="23"/>
        </w:rPr>
      </w:pPr>
      <w:r>
        <w:rPr>
          <w:rFonts w:ascii="Arial;sans-serif" w:hAnsi="Arial;sans-serif"/>
          <w:b w:val="false"/>
          <w:color w:val="000000"/>
          <w:sz w:val="23"/>
        </w:rPr>
        <w:t>This is to confirm that I have reviewed the Employee Nondisclosure, Confidentiality, and Nonsolicitation Agreement (“Agreement”) signed by me on , 20 and that I understand the terms of that Agreement and the continuing obligations I have under that Agreement. During the course of my employment with the Company, I have had access to information regarded by the Company as Confidential information as defined by the Agreement.</w:t>
      </w:r>
    </w:p>
    <w:p>
      <w:pPr>
        <w:pStyle w:val="TextBody"/>
        <w:spacing w:before="1" w:after="283"/>
        <w:rPr/>
      </w:pPr>
      <w:r>
        <w:rPr/>
      </w:r>
    </w:p>
    <w:p>
      <w:pPr>
        <w:pStyle w:val="TextBody"/>
        <w:spacing w:lineRule="auto" w:line="264" w:before="0" w:after="0"/>
        <w:jc w:val="both"/>
        <w:rPr>
          <w:rFonts w:ascii="Arial;sans-serif" w:hAnsi="Arial;sans-serif"/>
          <w:b w:val="false"/>
          <w:color w:val="000000"/>
          <w:sz w:val="23"/>
        </w:rPr>
      </w:pPr>
      <w:r>
        <w:rPr>
          <w:rFonts w:ascii="Arial;sans-serif" w:hAnsi="Arial;sans-serif"/>
          <w:b w:val="false"/>
          <w:color w:val="000000"/>
          <w:sz w:val="23"/>
        </w:rPr>
        <w:t>I certify that I do not have in my possession or control, nor have I failed to return, any Confidential Information of the Company, including any specifications, drawings, blueprints, reproductions, prototypes, sketches, notes, reports, proposals or copies thereof, or other documents or materials, tools, equipment, devices or other property belonging to the Company, including any documents, records, notebooks and similar repositories of Confidential Information, or any copies thereof, whether prepared by me or others, and whether stored in paper, disk, electronic, magnetic or other form.</w:t>
      </w:r>
    </w:p>
    <w:p>
      <w:pPr>
        <w:pStyle w:val="TextBody"/>
        <w:spacing w:before="8" w:after="283"/>
        <w:rPr/>
      </w:pPr>
      <w:r>
        <w:rPr/>
      </w:r>
    </w:p>
    <w:p>
      <w:pPr>
        <w:pStyle w:val="TextBody"/>
        <w:spacing w:lineRule="auto" w:line="266" w:before="0" w:after="0"/>
        <w:jc w:val="both"/>
        <w:rPr/>
      </w:pPr>
      <w:r>
        <w:rPr>
          <w:rFonts w:ascii="Arial;sans-serif" w:hAnsi="Arial;sans-serif"/>
          <w:b w:val="false"/>
          <w:color w:val="000000"/>
          <w:sz w:val="23"/>
        </w:rPr>
        <w:t xml:space="preserve">I recognize that the unauthorized taking of any of the Company's tangible trade secrets is a crime under Section 499(c) of the California Penal Code, and that any unauthorized taking of the Company's trade secrets also may result in civil liability under California Civil Code Section 3426, </w:t>
      </w:r>
      <w:r>
        <w:rPr>
          <w:rFonts w:ascii="Arial;sans-serif" w:hAnsi="Arial;sans-serif"/>
          <w:b w:val="false"/>
          <w:color w:val="000000"/>
          <w:sz w:val="23"/>
          <w:u w:val="single"/>
        </w:rPr>
        <w:t>et seq</w:t>
      </w:r>
      <w:r>
        <w:rPr>
          <w:rFonts w:ascii="Arial;sans-serif" w:hAnsi="Arial;sans-serif"/>
          <w:b w:val="false"/>
          <w:color w:val="000000"/>
          <w:sz w:val="23"/>
        </w:rPr>
        <w:t>.</w:t>
      </w:r>
    </w:p>
    <w:p>
      <w:pPr>
        <w:pStyle w:val="TextBody"/>
        <w:spacing w:before="2" w:after="283"/>
        <w:rPr/>
      </w:pPr>
      <w:r>
        <w:rPr/>
      </w:r>
    </w:p>
    <w:p>
      <w:pPr>
        <w:pStyle w:val="TextBody"/>
        <w:spacing w:lineRule="auto" w:line="264" w:before="104" w:after="283"/>
        <w:jc w:val="both"/>
        <w:rPr>
          <w:rFonts w:ascii="Arial;sans-serif" w:hAnsi="Arial;sans-serif"/>
          <w:b w:val="false"/>
          <w:color w:val="000000"/>
          <w:sz w:val="23"/>
        </w:rPr>
      </w:pPr>
      <w:r>
        <w:rPr>
          <w:rFonts w:ascii="Arial;sans-serif" w:hAnsi="Arial;sans-serif"/>
          <w:b w:val="false"/>
          <w:color w:val="000000"/>
          <w:sz w:val="23"/>
        </w:rPr>
        <w:t>I further certify that I have complied with and will continue to comply with all of the terms of the Agreement signed by me with the Company, including the reporting of any inventions conceived or reduced to practice by me and covered by the Agreement. I further agree that in compliance with the Agreement, I will preserve in strictest confidence and keep confidential all proprietary, technical and business information pertaining to the Company, and will not disclose or use any Confidential Information for myself or for the benefit of any other person or entity.</w:t>
      </w:r>
    </w:p>
    <w:p>
      <w:pPr>
        <w:pStyle w:val="TextBody"/>
        <w:spacing w:before="11" w:after="283"/>
        <w:rPr/>
      </w:pPr>
      <w:r>
        <w:rPr/>
      </w:r>
    </w:p>
    <w:p>
      <w:pPr>
        <w:pStyle w:val="TextBody"/>
        <w:spacing w:lineRule="auto" w:line="240" w:before="0" w:after="0"/>
        <w:rPr>
          <w:rFonts w:ascii="Arial;sans-serif" w:hAnsi="Arial;sans-serif"/>
          <w:b w:val="false"/>
          <w:color w:val="000000"/>
          <w:sz w:val="23"/>
        </w:rPr>
      </w:pPr>
      <w:r>
        <w:rPr>
          <w:rFonts w:ascii="Arial;sans-serif" w:hAnsi="Arial;sans-serif"/>
          <w:b w:val="false"/>
          <w:color w:val="000000"/>
          <w:sz w:val="23"/>
        </w:rPr>
        <w:t>Upon termination of my employment with the Company, I will be employed by (name of new employer) in the (division/department) and will be working in connection with the projects (generally describe the projects):</w:t>
      </w:r>
    </w:p>
    <w:p>
      <w:pPr>
        <w:pStyle w:val="TextBody"/>
        <w:spacing w:before="0" w:after="0"/>
        <w:rPr/>
      </w:pPr>
      <w:r>
        <w:rPr/>
      </w:r>
    </w:p>
    <w:p>
      <w:pPr>
        <w:pStyle w:val="TextBody"/>
        <w:spacing w:before="1" w:after="283"/>
        <w:rPr/>
      </w:pPr>
      <w:r>
        <w:rPr/>
      </w:r>
    </w:p>
    <w:p>
      <w:pPr>
        <w:pStyle w:val="TextBody"/>
        <w:spacing w:lineRule="auto" w:line="264" w:before="1" w:after="283"/>
        <w:jc w:val="both"/>
        <w:rPr>
          <w:rFonts w:ascii="Arial;sans-serif" w:hAnsi="Arial;sans-serif"/>
          <w:b w:val="false"/>
          <w:color w:val="000000"/>
          <w:sz w:val="23"/>
        </w:rPr>
      </w:pPr>
      <w:r>
        <w:rPr>
          <w:rFonts w:ascii="Arial;sans-serif" w:hAnsi="Arial;sans-serif"/>
          <w:b w:val="false"/>
          <w:color w:val="000000"/>
          <w:sz w:val="23"/>
        </w:rPr>
        <w:t>If requested by the Company, I agree to notify my new employer as to the general nature or subject matter of the confidential and proprietary information to which I had access while employed by the Company, and as to my obligations with respect to such information (without actually disclosing such Confidential Information). I also understand that the Company may notify my new employer of the existence of the Agreement and this Certificate.</w:t>
      </w:r>
    </w:p>
    <w:p>
      <w:pPr>
        <w:pStyle w:val="TextBody"/>
        <w:spacing w:before="0" w:after="0"/>
        <w:rPr/>
      </w:pPr>
      <w:r>
        <w:rPr/>
      </w:r>
    </w:p>
    <w:p>
      <w:pPr>
        <w:pStyle w:val="TextBody"/>
        <w:spacing w:lineRule="auto" w:line="264" w:before="0" w:after="0"/>
        <w:rPr>
          <w:rFonts w:ascii="Arial;sans-serif" w:hAnsi="Arial;sans-serif"/>
          <w:b w:val="false"/>
          <w:color w:val="000000"/>
          <w:sz w:val="23"/>
        </w:rPr>
      </w:pPr>
      <w:r>
        <w:rPr>
          <w:rFonts w:ascii="Arial;sans-serif" w:hAnsi="Arial;sans-serif"/>
          <w:b w:val="false"/>
          <w:color w:val="000000"/>
          <w:sz w:val="23"/>
        </w:rPr>
        <w:t>I understand and acknowledge that should I fail to comply with my obligations under the Agreement after my employment ends, the Company shall have, in addition to the right to damages, the right to obtain an injunction against me, including without limitation an injunction prohibiting me from disclosing Confidential Information to my new employer or to any third party.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72" w:after="283"/>
        <w:rPr>
          <w:rFonts w:ascii="Arial;sans-serif" w:hAnsi="Arial;sans-serif"/>
          <w:b w:val="false"/>
          <w:color w:val="000000"/>
          <w:sz w:val="23"/>
        </w:rPr>
      </w:pPr>
      <w:r>
        <w:rPr>
          <w:rFonts w:ascii="Arial;sans-serif" w:hAnsi="Arial;sans-serif"/>
          <w:b w:val="false"/>
          <w:color w:val="000000"/>
          <w:sz w:val="23"/>
        </w:rPr>
        <w:t>This Agreement is executed by me at ____________________, in the State of ______________, as of this ______ day of , 20_ .</w:t>
      </w:r>
    </w:p>
    <w:p>
      <w:pPr>
        <w:pStyle w:val="TextBody"/>
        <w:spacing w:before="0" w:after="0"/>
        <w:rPr/>
      </w:pPr>
      <w:r>
        <w:rPr/>
      </w:r>
    </w:p>
    <w:p>
      <w:pPr>
        <w:pStyle w:val="TextBody"/>
        <w:spacing w:before="10" w:after="283"/>
        <w:rPr/>
      </w:pPr>
      <w:r>
        <w:rPr/>
      </w:r>
    </w:p>
    <w:p>
      <w:pPr>
        <w:pStyle w:val="TextBody"/>
        <w:spacing w:lineRule="auto" w:line="240" w:before="93" w:after="283"/>
        <w:rPr>
          <w:rFonts w:ascii="Arial;sans-serif" w:hAnsi="Arial;sans-serif"/>
          <w:b/>
          <w:color w:val="000000"/>
          <w:sz w:val="23"/>
        </w:rPr>
      </w:pPr>
      <w:r>
        <w:rPr>
          <w:rFonts w:ascii="Arial;sans-serif" w:hAnsi="Arial;sans-serif"/>
          <w:b/>
          <w:color w:val="000000"/>
          <w:sz w:val="23"/>
        </w:rPr>
        <w:t>EMPLOYEE:</w:t>
      </w:r>
    </w:p>
    <w:p>
      <w:pPr>
        <w:pStyle w:val="TextBody"/>
        <w:spacing w:before="2" w:after="283"/>
        <w:rPr/>
      </w:pPr>
      <w:r>
        <w:rPr/>
      </w:r>
    </w:p>
    <w:p>
      <w:pPr>
        <w:pStyle w:val="TextBody"/>
        <w:spacing w:lineRule="auto" w:line="266" w:before="102" w:after="283"/>
        <w:ind w:left="0" w:right="0" w:hanging="17"/>
        <w:rPr/>
      </w:pPr>
      <w:r>
        <w:rPr>
          <w:color w:val="000000"/>
          <w:u w:val="single"/>
        </w:rPr>
        <w:t>    </w:t>
      </w:r>
      <w:r>
        <w:rPr>
          <w:color w:val="000000"/>
        </w:rPr>
        <w:t xml:space="preserve"> </w:t>
      </w:r>
      <w:r>
        <w:rPr>
          <w:rFonts w:ascii="Arial;sans-serif" w:hAnsi="Arial;sans-serif"/>
          <w:b/>
          <w:color w:val="000000"/>
          <w:sz w:val="23"/>
        </w:rPr>
        <w:t>Print Name</w:t>
      </w:r>
    </w:p>
    <w:p>
      <w:pPr>
        <w:pStyle w:val="TextBody"/>
        <w:spacing w:before="0" w:after="0"/>
        <w:rPr/>
      </w:pPr>
      <w:r>
        <w:rPr/>
      </w:r>
    </w:p>
    <w:p>
      <w:pPr>
        <w:pStyle w:val="TextBody"/>
        <w:spacing w:before="7" w:after="283"/>
        <w:rPr/>
      </w:pPr>
      <w:r>
        <w:rPr/>
      </w:r>
    </w:p>
    <w:p>
      <w:pPr>
        <w:pStyle w:val="TextBody"/>
        <w:spacing w:lineRule="auto" w:line="264" w:before="104" w:after="283"/>
        <w:ind w:left="0" w:right="0" w:hanging="9"/>
        <w:rPr/>
      </w:pPr>
      <w:r>
        <w:rPr>
          <w:color w:val="000000"/>
          <w:u w:val="single"/>
        </w:rPr>
        <w:t>    </w:t>
      </w:r>
      <w:r>
        <w:rPr>
          <w:color w:val="000000"/>
        </w:rPr>
        <w:t xml:space="preserve"> </w:t>
      </w:r>
      <w:r>
        <w:rPr>
          <w:rFonts w:ascii="Arial;sans-serif" w:hAnsi="Arial;sans-serif"/>
          <w:b/>
          <w:color w:val="000000"/>
          <w:sz w:val="23"/>
        </w:rPr>
        <w:t>Signature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10.14</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Execution Copy</w:t>
      </w:r>
    </w:p>
    <w:p>
      <w:pPr>
        <w:pStyle w:val="TextBody"/>
        <w:spacing w:before="0" w:after="0"/>
        <w:rPr/>
      </w:pPr>
      <w:r>
        <w:rPr/>
      </w:r>
    </w:p>
    <w:p>
      <w:pPr>
        <w:pStyle w:val="TextBody"/>
        <w:spacing w:lineRule="auto" w:line="240" w:before="240" w:after="283"/>
        <w:jc w:val="center"/>
        <w:rPr/>
      </w:pPr>
      <w:r>
        <w:rPr>
          <w:rFonts w:ascii="Times New Roman;sans-serif" w:hAnsi="Times New Roman;sans-serif"/>
          <w:b w:val="false"/>
          <w:color w:val="000000"/>
          <w:sz w:val="22"/>
        </w:rPr>
        <w:t>CLOVER HEALTH INVESTMENTS, CORP</w:t>
      </w:r>
      <w:r>
        <w:rPr>
          <w:rFonts w:ascii="Times New Roman;sans-serif" w:hAnsi="Times New Roman;sans-serif"/>
          <w:b/>
          <w:color w:val="000000"/>
          <w:sz w:val="22"/>
        </w:rPr>
        <w:t>.</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January 19, 2022</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Gia B. Lee, Esq.</w:t>
      </w:r>
    </w:p>
    <w:p>
      <w:pPr>
        <w:pStyle w:val="TextBody"/>
        <w:spacing w:lineRule="auto" w:line="240" w:before="0" w:after="0"/>
        <w:jc w:val="both"/>
        <w:rPr>
          <w:rFonts w:ascii="Times New Roman;sans-serif" w:hAnsi="Times New Roman;sans-serif"/>
          <w:b w:val="false"/>
          <w:color w:val="000000"/>
          <w:sz w:val="22"/>
          <w:highlight w:val="black"/>
        </w:rPr>
      </w:pPr>
      <w:r>
        <w:rPr>
          <w:rFonts w:ascii="Times New Roman;sans-serif" w:hAnsi="Times New Roman;sans-serif"/>
          <w:b w:val="false"/>
          <w:color w:val="000000"/>
          <w:sz w:val="22"/>
          <w:highlight w:val="black"/>
        </w:rPr>
        <w:t>3530 Springland Lane NW</w:t>
      </w:r>
    </w:p>
    <w:p>
      <w:pPr>
        <w:pStyle w:val="TextBody"/>
        <w:spacing w:lineRule="auto" w:line="240" w:before="0" w:after="240"/>
        <w:jc w:val="both"/>
        <w:rPr>
          <w:rFonts w:ascii="Times New Roman;sans-serif" w:hAnsi="Times New Roman;sans-serif"/>
          <w:b w:val="false"/>
          <w:color w:val="000000"/>
          <w:sz w:val="22"/>
          <w:highlight w:val="black"/>
        </w:rPr>
      </w:pPr>
      <w:r>
        <w:rPr>
          <w:rFonts w:ascii="Times New Roman;sans-serif" w:hAnsi="Times New Roman;sans-serif"/>
          <w:b w:val="false"/>
          <w:color w:val="000000"/>
          <w:sz w:val="22"/>
          <w:highlight w:val="black"/>
        </w:rPr>
        <w:t>Washington, D.C. 20008</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Dear Gia:</w:t>
      </w:r>
    </w:p>
    <w:p>
      <w:pPr>
        <w:pStyle w:val="TextBody"/>
        <w:spacing w:lineRule="auto" w:line="240" w:before="0" w:after="0"/>
        <w:jc w:val="both"/>
        <w:rPr/>
      </w:pPr>
      <w:r>
        <w:rPr>
          <w:rFonts w:ascii="Times New Roman;sans-serif" w:hAnsi="Times New Roman;sans-serif"/>
          <w:b w:val="false"/>
          <w:color w:val="000000"/>
          <w:sz w:val="22"/>
        </w:rPr>
        <w:t>This letter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confirms the agreement between you and Clover Health Investments, Corp. (collectively, with its affiliates and subsidiaries,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regarding the conclusion of your employment with the Company.</w:t>
      </w:r>
    </w:p>
    <w:p>
      <w:pPr>
        <w:pStyle w:val="TextBody"/>
        <w:spacing w:lineRule="auto" w:line="240" w:before="240" w:after="24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Separation Date</w:t>
      </w:r>
      <w:r>
        <w:rPr>
          <w:rFonts w:ascii="Times New Roman;sans-serif" w:hAnsi="Times New Roman;sans-serif"/>
          <w:b w:val="false"/>
          <w:color w:val="000000"/>
          <w:sz w:val="22"/>
        </w:rPr>
        <w:t>. By signing this Agreement, you agree that, effective as of January 19, 2022 (the “</w:t>
      </w:r>
      <w:r>
        <w:rPr>
          <w:rFonts w:ascii="Times New Roman;sans-serif" w:hAnsi="Times New Roman;sans-serif"/>
          <w:b w:val="false"/>
          <w:color w:val="000000"/>
          <w:sz w:val="22"/>
          <w:u w:val="single"/>
        </w:rPr>
        <w:t>Separation Date</w:t>
      </w:r>
      <w:r>
        <w:rPr>
          <w:color w:val="000000"/>
        </w:rPr>
        <w:t>”</w:t>
      </w:r>
      <w:r>
        <w:rPr>
          <w:rFonts w:ascii="Times New Roman;sans-serif" w:hAnsi="Times New Roman;sans-serif"/>
          <w:b w:val="false"/>
          <w:color w:val="000000"/>
          <w:sz w:val="22"/>
        </w:rPr>
        <w:t>), you will resign your employment with the Company and from any and all officer or other positions held by you with the Company or any of its subsidiaries or affiliates, and you agree to execute and deliver any additional documentation that may be necessary to give effect to all such resignations. After the Separation Date, you agree that you will not represent to anyone that you are still an employee or officer of the Company and you will not say or do anything purporting to bind the Company or any of its affiliates.</w:t>
      </w:r>
    </w:p>
    <w:p>
      <w:pPr>
        <w:pStyle w:val="TextBody"/>
        <w:spacing w:lineRule="auto" w:line="240" w:before="240" w:after="24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No Other Amounts/Benefits Owed</w:t>
      </w:r>
      <w:r>
        <w:rPr>
          <w:rFonts w:ascii="Times New Roman;sans-serif" w:hAnsi="Times New Roman;sans-serif"/>
          <w:b w:val="false"/>
          <w:color w:val="000000"/>
          <w:sz w:val="22"/>
        </w:rPr>
        <w:t>. You acknowledge and agree that, other than as set forth in this Section, you have been timely paid all of your salary and all other wages earned through the Separation Date. You acknowledge and agree that you have been paid for all of your services with the Company and you have not earned any wages, salary, incentive compensation, bonuses, commissions, or similar payments or benefits, or any other compensation or amounts that have not already been paid to you. You further agree that you have no unreimbursed business expenses arising out of your employment with the Company. You also agree that, prior to the execution of this Agreement, you were not entitled to receive any further payments or benefits from the Company, and the only payments and benefits that you are entitled to receive from the Company in the future are those specified in this Agreement. Notwithstanding the foregoing, the Company represents that you will be paid by the Company’s next regular payroll date after the Separation Date: (i) your base salary as set forth below for the portion of the payroll period ending on the Separation Date during which you were employed; and (ii) $23,853.85 representing 124.04 hours of accrued and unused vacation pay.</w:t>
      </w:r>
    </w:p>
    <w:p>
      <w:pPr>
        <w:pStyle w:val="TextBody"/>
        <w:spacing w:lineRule="auto" w:line="240" w:before="240" w:after="24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Consideration for Execution of this Agreement and Provision of Services</w:t>
      </w:r>
      <w:r>
        <w:rPr>
          <w:rFonts w:ascii="Times New Roman;sans-serif" w:hAnsi="Times New Roman;sans-serif"/>
          <w:b w:val="false"/>
          <w:color w:val="000000"/>
          <w:sz w:val="22"/>
        </w:rPr>
        <w:t>. Although you are not otherwise entitled to receive any severance from the Company, subject to, and in consideration for, your execution of this Agreement on or after the Separation Date and on or before the Deadline (as defined below), without revocation, and provided you comply with all of the terms and conditions of this Agreement, the Covenants Agreement (as defined below) and all applicable Company policies, the Company will provide you with the following (with all payments hereunder made via direct deposit to the last account to which your payroll was made unless you designate another account in writing):</w:t>
      </w:r>
    </w:p>
    <w:p>
      <w:pPr>
        <w:pStyle w:val="TextBody"/>
        <w:spacing w:lineRule="auto" w:line="240"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Severance Payment</w:t>
      </w:r>
      <w:r>
        <w:rPr>
          <w:rFonts w:ascii="Times New Roman;sans-serif" w:hAnsi="Times New Roman;sans-serif"/>
          <w:b w:val="false"/>
          <w:color w:val="000000"/>
          <w:sz w:val="22"/>
        </w:rPr>
        <w:t>. The Company will pay you an amount equivalent to the sum of twelve (12) months of your base salary, at the rate in effect as of your Separation Date ($400,000), plus an amount equivalent to the Prior Year Bonus (as defined below) ($120,000), in the gross amount of Five Hundred Twenty Thousand Dollars ($520,000), less applicable taxes and withholdings (the “</w:t>
      </w:r>
      <w:r>
        <w:rPr>
          <w:rFonts w:ascii="Times New Roman;sans-serif" w:hAnsi="Times New Roman;sans-serif"/>
          <w:b w:val="false"/>
          <w:color w:val="000000"/>
          <w:sz w:val="22"/>
          <w:u w:val="single"/>
        </w:rPr>
        <w:t>Severance Payment</w:t>
      </w:r>
      <w:r>
        <w:rPr>
          <w:color w:val="000000"/>
        </w:rPr>
        <w:t>”</w:t>
      </w:r>
      <w:r>
        <w:rPr>
          <w:rFonts w:ascii="Times New Roman;sans-serif" w:hAnsi="Times New Roman;sans-serif"/>
          <w:b w:val="false"/>
          <w:color w:val="000000"/>
          <w:sz w:val="22"/>
        </w:rPr>
        <w:t>). The Severance Payment will be paid in a one-time, lump sum payment and payable within fifteen (15) days following the Effective Date, as defined in Section 5.</w:t>
      </w:r>
    </w:p>
    <w:p>
      <w:pPr>
        <w:pStyle w:val="TextBody"/>
        <w:spacing w:lineRule="auto" w:line="240"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Prior Year Bonus.</w:t>
      </w:r>
      <w:r>
        <w:rPr>
          <w:color w:val="000000"/>
        </w:rPr>
        <w:t xml:space="preserve"> </w:t>
      </w:r>
      <w:r>
        <w:rPr>
          <w:rFonts w:ascii="Times New Roman;sans-serif" w:hAnsi="Times New Roman;sans-serif"/>
          <w:b w:val="false"/>
          <w:color w:val="000000"/>
          <w:sz w:val="22"/>
        </w:rPr>
        <w:t>In lieu of payment of the amount of your target bonus opportunity for the 2021 calendar year based on actual performance of the Company, the Company will pay you an amount equivalent to One Hundred Twenty Thousand Dollars ($120,000), less applicable taxes and withholdings (the “</w:t>
      </w:r>
      <w:r>
        <w:rPr>
          <w:rFonts w:ascii="Times New Roman;sans-serif" w:hAnsi="Times New Roman;sans-serif"/>
          <w:b w:val="false"/>
          <w:color w:val="000000"/>
          <w:sz w:val="22"/>
          <w:u w:val="single"/>
        </w:rPr>
        <w:t>Prior Year Bonus</w:t>
      </w:r>
      <w:r>
        <w:rPr>
          <w:color w:val="000000"/>
        </w:rPr>
        <w:t>”</w:t>
      </w:r>
      <w:r>
        <w:rPr>
          <w:rFonts w:ascii="Times New Roman;sans-serif" w:hAnsi="Times New Roman;sans-serif"/>
          <w:b w:val="false"/>
          <w:color w:val="000000"/>
          <w:sz w:val="22"/>
        </w:rPr>
        <w:t>). The Prior Year Bonus will be paid in a one-time, lump sum payment and payable within fifteen (15) days following the Effective Date, as defined in Section 5.</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83"/>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De-SPAC Bonus</w:t>
      </w:r>
      <w:r>
        <w:rPr>
          <w:rFonts w:ascii="Times New Roman;sans-serif" w:hAnsi="Times New Roman;sans-serif"/>
          <w:b w:val="false"/>
          <w:color w:val="000000"/>
          <w:sz w:val="22"/>
        </w:rPr>
        <w:t>. The Company will also pay you a special cash bonus in an amount equivalent to Seven Hundred Thousand Dollars ($700,000) in recognition of the services you provided to the Company in connection with the de-SPAC transaction completed on January 7, 2021 (the “</w:t>
      </w:r>
      <w:r>
        <w:rPr>
          <w:rFonts w:ascii="Times New Roman;sans-serif" w:hAnsi="Times New Roman;sans-serif"/>
          <w:b w:val="false"/>
          <w:color w:val="000000"/>
          <w:sz w:val="22"/>
          <w:u w:val="single"/>
        </w:rPr>
        <w:t>De-SPAC Bonus</w:t>
      </w:r>
      <w:r>
        <w:rPr>
          <w:color w:val="000000"/>
        </w:rPr>
        <w:t>”</w:t>
      </w:r>
      <w:r>
        <w:rPr>
          <w:rFonts w:ascii="Times New Roman;sans-serif" w:hAnsi="Times New Roman;sans-serif"/>
          <w:b w:val="false"/>
          <w:color w:val="000000"/>
          <w:sz w:val="22"/>
        </w:rPr>
        <w:t>), less applicable taxes and withholdings. The De-SPAC Bonus will be paid in a one-time, lump sum payment and payable within fifteen (15) days following the Effective Date, as defined in Section 5.</w:t>
      </w:r>
    </w:p>
    <w:p>
      <w:pPr>
        <w:pStyle w:val="TextBody"/>
        <w:spacing w:lineRule="auto" w:line="240" w:before="240" w:after="283"/>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Treatment of Equity</w:t>
      </w:r>
      <w:r>
        <w:rPr>
          <w:rFonts w:ascii="Times New Roman;sans-serif" w:hAnsi="Times New Roman;sans-serif"/>
          <w:b w:val="false"/>
          <w:color w:val="000000"/>
          <w:sz w:val="22"/>
        </w:rPr>
        <w:t>. The Company has granted you the following stock options to purchase shares of the Company’s common stock (collectively, the “</w:t>
      </w:r>
      <w:r>
        <w:rPr>
          <w:rFonts w:ascii="Times New Roman;sans-serif" w:hAnsi="Times New Roman;sans-serif"/>
          <w:b w:val="false"/>
          <w:color w:val="000000"/>
          <w:sz w:val="22"/>
          <w:u w:val="single"/>
        </w:rPr>
        <w:t>Options</w:t>
      </w:r>
      <w:r>
        <w:rPr>
          <w:color w:val="000000"/>
        </w:rPr>
        <w:t>”</w:t>
      </w:r>
      <w:r>
        <w:rPr>
          <w:rFonts w:ascii="Times New Roman;sans-serif" w:hAnsi="Times New Roman;sans-serif"/>
          <w:b w:val="false"/>
          <w:color w:val="000000"/>
          <w:sz w:val="22"/>
        </w:rPr>
        <w:t>) pursuant to the Company’s Amended and Restated Equity Incentive Plan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(i) on March 26, 2019, the Company granted you options to purchase 568,720 shares with an exercise price of $1.94 per share, of which 341,232 shares are vested and 227,488 shares are unvested as of the Separation Date (the “</w:t>
      </w:r>
      <w:r>
        <w:rPr>
          <w:rFonts w:ascii="Times New Roman;sans-serif" w:hAnsi="Times New Roman;sans-serif"/>
          <w:b w:val="false"/>
          <w:color w:val="000000"/>
          <w:sz w:val="22"/>
          <w:u w:val="single"/>
        </w:rPr>
        <w:t>New Hire Grant</w:t>
      </w:r>
      <w:r>
        <w:rPr>
          <w:color w:val="000000"/>
        </w:rPr>
        <w:t>”</w:t>
      </w:r>
      <w:r>
        <w:rPr>
          <w:rFonts w:ascii="Times New Roman;sans-serif" w:hAnsi="Times New Roman;sans-serif"/>
          <w:b w:val="false"/>
          <w:color w:val="000000"/>
          <w:sz w:val="22"/>
        </w:rPr>
        <w:t>), (ii) on February 4, 2020, the Company granted you options to purchase 336,062 shares with an exercise price of $2.23 per share, of which 201,634 shares are vested and 134,428 shares are unvested as of the Separation Date (the “</w:t>
      </w:r>
      <w:r>
        <w:rPr>
          <w:rFonts w:ascii="Times New Roman;sans-serif" w:hAnsi="Times New Roman;sans-serif"/>
          <w:b w:val="false"/>
          <w:color w:val="000000"/>
          <w:sz w:val="22"/>
          <w:u w:val="single"/>
        </w:rPr>
        <w:t>February 2020 True-Up Grant</w:t>
      </w:r>
      <w:r>
        <w:rPr>
          <w:color w:val="000000"/>
        </w:rPr>
        <w:t>”</w:t>
      </w:r>
      <w:r>
        <w:rPr>
          <w:rFonts w:ascii="Times New Roman;sans-serif" w:hAnsi="Times New Roman;sans-serif"/>
          <w:b w:val="false"/>
          <w:color w:val="000000"/>
          <w:sz w:val="22"/>
        </w:rPr>
        <w:t>), and (iii) on February 4, 2020, the Company also granted you options to purchase 1,008,186 shares with an exercise price of $2.23 per share, of which 403,276 shares are vested and 604,910 shares are unvested as of the Separation Date (the “</w:t>
      </w:r>
      <w:r>
        <w:rPr>
          <w:rFonts w:ascii="Times New Roman;sans-serif" w:hAnsi="Times New Roman;sans-serif"/>
          <w:b w:val="false"/>
          <w:color w:val="000000"/>
          <w:sz w:val="22"/>
          <w:u w:val="single"/>
        </w:rPr>
        <w:t>February 2020 Special Grant</w:t>
      </w:r>
      <w:r>
        <w:rPr>
          <w:rFonts w:ascii="Times New Roman;sans-serif" w:hAnsi="Times New Roman;sans-serif"/>
          <w:b w:val="false"/>
          <w:color w:val="000000"/>
          <w:sz w:val="22"/>
        </w:rPr>
        <w:t>,” and together with the New Hire Grant and the February True-Up Grant, the “</w:t>
      </w:r>
      <w:r>
        <w:rPr>
          <w:rFonts w:ascii="Times New Roman;sans-serif" w:hAnsi="Times New Roman;sans-serif"/>
          <w:b w:val="false"/>
          <w:color w:val="000000"/>
          <w:sz w:val="22"/>
          <w:u w:val="single"/>
        </w:rPr>
        <w:t>Option Grant Agreements</w:t>
      </w:r>
      <w:r>
        <w:rPr>
          <w:color w:val="000000"/>
        </w:rPr>
        <w:t>”</w:t>
      </w:r>
      <w:r>
        <w:rPr>
          <w:rFonts w:ascii="Times New Roman;sans-serif" w:hAnsi="Times New Roman;sans-serif"/>
          <w:b w:val="false"/>
          <w:color w:val="000000"/>
          <w:sz w:val="22"/>
        </w:rPr>
        <w:t xml:space="preserve">). </w:t>
      </w:r>
    </w:p>
    <w:p>
      <w:pPr>
        <w:pStyle w:val="TextBody"/>
        <w:spacing w:lineRule="auto" w:line="240" w:before="240" w:after="120"/>
        <w:jc w:val="both"/>
        <w:rPr/>
      </w:pPr>
      <w:r>
        <w:rPr>
          <w:rFonts w:ascii="Times New Roman;sans-serif" w:hAnsi="Times New Roman;sans-serif"/>
          <w:b w:val="false"/>
          <w:color w:val="000000"/>
          <w:sz w:val="22"/>
        </w:rPr>
        <w:t>In consideration of the Consulting Services that you will provide to the Company during the Consulting Period (as each term is defined below), your Options will continue to vest in accordance with the regular vesting schedule as set forth in the Option Grant Agreements, subject to your continued service to the Company through the applicable vesting dates during the Consulting Period (such Options, the “</w:t>
      </w:r>
      <w:r>
        <w:rPr>
          <w:rFonts w:ascii="Times New Roman;sans-serif" w:hAnsi="Times New Roman;sans-serif"/>
          <w:b w:val="false"/>
          <w:color w:val="000000"/>
          <w:sz w:val="22"/>
          <w:u w:val="single"/>
        </w:rPr>
        <w:t>Continuing Options</w:t>
      </w:r>
      <w:r>
        <w:rPr>
          <w:color w:val="000000"/>
        </w:rPr>
        <w:t>”</w:t>
      </w:r>
      <w:r>
        <w:rPr>
          <w:rFonts w:ascii="Times New Roman;sans-serif" w:hAnsi="Times New Roman;sans-serif"/>
          <w:b w:val="false"/>
          <w:color w:val="000000"/>
          <w:sz w:val="22"/>
        </w:rPr>
        <w:t>). For the avoidance of doubt, the maximum Consulting Period will be 12 months, and no Options shall vest beyond the expiration of the Consulting Period. Assuming that you have completed the entire duration of the 12-month Consulting Period, you will hold, in addition to the Options that were vested prior to the Separation Date (as described above), (a) for the New Hire Grant, 113,745 additional vested Options; (b) for the February 2020 True-Up Grant, 67,213 additional vested Options; and (c) for the February 2020 Special Grant, 201,636 additional vested Options.</w:t>
      </w:r>
    </w:p>
    <w:p>
      <w:pPr>
        <w:pStyle w:val="TextBody"/>
        <w:spacing w:lineRule="auto" w:line="240" w:before="240" w:after="120"/>
        <w:jc w:val="both"/>
        <w:rPr/>
      </w:pPr>
      <w:r>
        <w:rPr>
          <w:rFonts w:ascii="Times New Roman;sans-serif" w:hAnsi="Times New Roman;sans-serif"/>
          <w:b w:val="false"/>
          <w:color w:val="000000"/>
          <w:sz w:val="22"/>
        </w:rPr>
        <w:t>Upon the termination or completion of the Consulting Period, the unvested portion of your Options (or, to the extent applicable, your Continuing Options) will automatically be terminated for no consideration. Except as otherwise noted herein, the Options and any such vested shares acquired pursuant to the exercise of the Options will remain subject to the terms and conditions of the applicable Option Grant Agreement, the applicable exercise agreement, and the Plan (collectively, the “</w:t>
      </w:r>
      <w:r>
        <w:rPr>
          <w:rFonts w:ascii="Times New Roman;sans-serif" w:hAnsi="Times New Roman;sans-serif"/>
          <w:b w:val="false"/>
          <w:color w:val="000000"/>
          <w:sz w:val="22"/>
          <w:u w:val="single"/>
        </w:rPr>
        <w:t>Equity Documents</w:t>
      </w:r>
      <w:r>
        <w:rPr>
          <w:color w:val="000000"/>
        </w:rPr>
        <w:t>”</w:t>
      </w:r>
      <w:r>
        <w:rPr>
          <w:rFonts w:ascii="Times New Roman;sans-serif" w:hAnsi="Times New Roman;sans-serif"/>
          <w:b w:val="false"/>
          <w:color w:val="000000"/>
          <w:sz w:val="22"/>
        </w:rPr>
        <w:t>), including the termination provisions. Further, you acknowledge and agree that, other than the vested portion of the Options and the Continuing Options described in this Section, you do not have any right, title, claim, or interest in or to any other Company securities, including, without limitation, any shares of the Company’s common stock or any other options or other rights to purchase or receive shares of the Company’s common stock.</w:t>
        <w:br/>
        <w:br/>
        <w:t>Your vested options (and your Continuing Options that become vested during the Consulting Period) shall remain exercisable until the tenth anniversary of the grant date of such option, unless otherwise required pursuant to the terms of the applicable equity plan or the award agreement evidencing such option.</w:t>
      </w:r>
    </w:p>
    <w:p>
      <w:pPr>
        <w:pStyle w:val="TextBody"/>
        <w:spacing w:lineRule="auto" w:line="240" w:before="240" w:after="283"/>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Reimbursement of Legal Fees and Expenses</w:t>
      </w:r>
      <w:r>
        <w:rPr>
          <w:rFonts w:ascii="Times New Roman;sans-serif" w:hAnsi="Times New Roman;sans-serif"/>
          <w:b w:val="false"/>
          <w:color w:val="000000"/>
          <w:sz w:val="22"/>
        </w:rPr>
        <w:t xml:space="preserve">. The Company will reimburse you for your reasonable and documented legal fees and expenses incurred in connection with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50520"/>
                <wp:effectExtent l="0" t="0" r="0" b="0"/>
                <wp:wrapNone/>
                <wp:docPr id="262" name="Frame23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Agreement and with your compensation-related negotiations with the Company in 2021.</w:t>
      </w:r>
    </w:p>
    <w:p>
      <w:pPr>
        <w:pStyle w:val="TextBody"/>
        <w:spacing w:lineRule="auto" w:line="240" w:before="240" w:after="24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General Release</w:t>
      </w:r>
      <w:r>
        <w:rPr>
          <w:rFonts w:ascii="Times New Roman;sans-serif" w:hAnsi="Times New Roman;sans-serif"/>
          <w:b w:val="false"/>
          <w:color w:val="000000"/>
          <w:sz w:val="22"/>
        </w:rPr>
        <w:t>. In consideration for receiving the payments described in Section 3 above, and for other good and valuable consideration, the sufficiency of which you hereby acknowledge, you hereby waive and release to the maximum extent permitted by applicable law any and all claims or causes of action, whether known or unknown, whether arising under equity, statute, or federal, state, foreign, or common law, that were, could have been, or in the future can or might be asserted in any court, tribunal, or proceeding against the Company or its predecessors, successors, past or present subsidiaries, affiliated companies, investors, branches, or related entities (collectively, including the Company, the “</w:t>
      </w:r>
      <w:r>
        <w:rPr>
          <w:rFonts w:ascii="Times New Roman;sans-serif" w:hAnsi="Times New Roman;sans-serif"/>
          <w:b w:val="false"/>
          <w:color w:val="000000"/>
          <w:sz w:val="22"/>
          <w:u w:val="single"/>
        </w:rPr>
        <w:t>Entities</w:t>
      </w:r>
      <w:r>
        <w:rPr>
          <w:color w:val="000000"/>
        </w:rPr>
        <w:t>”</w:t>
      </w:r>
      <w:r>
        <w:rPr>
          <w:rFonts w:ascii="Times New Roman;sans-serif" w:hAnsi="Times New Roman;sans-serif"/>
          <w:b w:val="false"/>
          <w:color w:val="000000"/>
          <w:sz w:val="22"/>
        </w:rPr>
        <w:t>) or the Entities’ respective past, present, or future insurers, officers, directors, agents, attorneys, employees, stockholders, assigns, and employee benefit plans (collectively with the Entities, the “</w:t>
      </w:r>
      <w:r>
        <w:rPr>
          <w:rFonts w:ascii="Times New Roman;sans-serif" w:hAnsi="Times New Roman;sans-serif"/>
          <w:b w:val="false"/>
          <w:color w:val="000000"/>
          <w:sz w:val="22"/>
          <w:u w:val="single"/>
        </w:rPr>
        <w:t>Released Parties</w:t>
      </w:r>
      <w:r>
        <w:rPr>
          <w:color w:val="000000"/>
        </w:rPr>
        <w:t>”</w:t>
      </w:r>
      <w:r>
        <w:rPr>
          <w:rFonts w:ascii="Times New Roman;sans-serif" w:hAnsi="Times New Roman;sans-serif"/>
          <w:b w:val="false"/>
          <w:color w:val="000000"/>
          <w:sz w:val="22"/>
        </w:rPr>
        <w:t>), with respect to any matter, including, without limitation, any matter related to your employment with the Company or the conclusion of that employment relationship. This waiver and release includes, without limitation, claims to wages, including overtime or minimum wages, bonuses, incentive compensation, equity compensation, vacation pay or any other compensation or benefits; any claims for failure to provide accurate itemized wage statements, failure to timely pay final pay or failure to provide meal or rest breaks; claims for any loss, cost, damage, or expense arising out of any dispute over the non-withholding or other tax treatment or employment classification, claims under the Employee Retirement Income Security Act (ERISA); claims for attorneys’ fees or costs; claims for penalties; any and all claims for stock, stock options, or other equity securities of the Company; claims of wrongful discharge, constructive discharge, emotional distress, defamation, invasion of privacy, fraud, breach of contract, and breach of the covenant of good faith and fair dealing; any claims of discrimination, harassment, or retaliation based on sex, age, race, national origin, disability, or on any other protected basis, under Title VII of the Civil Rights Act of 1964, the Age Discrimination in Employment Act of 1967, the Americans with Disabilities Act, or any federal, state, or local law prohibiting discrimination, harassment or retaliation, and all other federal, state and local laws, ordinances, and regulations.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the Released Parties, except as required by law. Nothing in this Agreement precludes you from participating in any investigation or proceeding before any government agency or body. However, while you may file a charge and participate in any such proceeding, by signing this Agreement, you waive any right to bring a lawsuit against the Released Parties and waive any right to any individual monetary recovery in any such proceeding or lawsuit. Nothing in this Agreement is intended to impede your ability to report possible securities law violations to the government, or to receive a monetary award from a government administered whistleblower-award program. You do not need the prior authorization of the Company to make any such reports or disclosures or to participate or cooperate in any governmental investigation, action, or proceeding, and you are not required to notify the Company that you have made such reports and disclosures, or have participated or cooperated in any governmental investigation, action, or proceeding. Nothing in this Agreement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an applicable state legislature. You further acknowledge and represent that you have not suffered any on-the-job injury for which you have not already filed a claim, and the end of your employment is not related to any such injury. You acknowledge and agree that you have not, with respect to any transaction or state of facts existing prior to the date hereof, filed any complaints, charges, or lawsuits against any Released Party with any governmental agency, court, or tribunal. You acknowledge that the severance payments and benefits that you are receiving in connection with this Agreement are in addition to anything of value to which you are entitled from the Company.</w:t>
      </w:r>
    </w:p>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waiver and release covers only those claims that arose or could have arisen prior to your execution of this Agreement. The waiver and release contained in this Agreement does not apply to: (i) rights arising under, or preserved by, this Agreement (including the right to receive the severance benefits and payment described in Section 3); (ii) vested rights under ERISA-covered employee benefit plans as applicable on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50520"/>
                <wp:effectExtent l="0" t="0" r="0" b="0"/>
                <wp:wrapNone/>
                <wp:docPr id="263" name="Frame23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date you sign this Agreement; (iii) your indemnification rights under the Company’s internal governing documents or D&amp;O insurance policies; or (iv) any claim which, as a matter of law, cannot be released by private agreement. If any provision of the waiver and release contained in this Agreement is found to be unenforceable, it shall not affect the enforceability of the remaining provisions and a court shall enforce all remaining provisions to the full extent permitted by law.</w:t>
      </w:r>
    </w:p>
    <w:p>
      <w:pPr>
        <w:pStyle w:val="TextBody"/>
        <w:spacing w:lineRule="auto" w:line="240" w:before="240" w:after="24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ADEA Waiver</w:t>
      </w:r>
      <w:r>
        <w:rPr>
          <w:rFonts w:ascii="Times New Roman;sans-serif" w:hAnsi="Times New Roman;sans-serif"/>
          <w:b w:val="false"/>
          <w:color w:val="000000"/>
          <w:sz w:val="22"/>
        </w:rPr>
        <w:t>. You acknowledge that you are knowingly and voluntarily waiving and releasing any rights you may have under the Federal Age Discrimination in Employment Act (“</w:t>
      </w:r>
      <w:r>
        <w:rPr>
          <w:rFonts w:ascii="Times New Roman;sans-serif" w:hAnsi="Times New Roman;sans-serif"/>
          <w:b w:val="false"/>
          <w:color w:val="000000"/>
          <w:sz w:val="22"/>
          <w:u w:val="single"/>
        </w:rPr>
        <w:t>ADEA Waiver</w:t>
      </w:r>
      <w:r>
        <w:rPr>
          <w:color w:val="000000"/>
        </w:rPr>
        <w:t>”</w:t>
      </w:r>
      <w:r>
        <w:rPr>
          <w:rFonts w:ascii="Times New Roman;sans-serif" w:hAnsi="Times New Roman;sans-serif"/>
          <w:b w:val="false"/>
          <w:color w:val="000000"/>
          <w:sz w:val="22"/>
        </w:rPr>
        <w:t>) and that the consideration given for the ADEA Waiver is in addition to anything of value to which you are already entitled. You further acknowledge that: (a) your ADEA Waiver does not apply to any claims that may arise after you sign this Agreement; (b) you have consulted with an attorney prior to executing this Agreement; (c) you have had twenty-one (21) calendar days within which to consider this Agreement (although you may choose to execute the Agreement earlier); (d) you have seven (7) calendar days following the execution of the Agreement to revoke this Agreement; and (e) the Agreement will not be effective until the eighth day after you sign this Agreement provided that you have not revoked it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You agree that any modifications, material or otherwise, made to this Agreement do not restart or affect in any manner the original consideration period provided in this section. To revoke the Agreement, you must email Company’s Chief People Officer, Rachel Fish, at email address rachel.fish@cloverhealth.com, prior to the end of the 7-day period. You acknowledge that your consent to this Agreement is knowing and voluntary. The offer described in this Agreement will be automatically withdrawn if you do not sign the Agreement by the Deadline.</w:t>
      </w:r>
    </w:p>
    <w:p>
      <w:pPr>
        <w:pStyle w:val="TextBody"/>
        <w:spacing w:lineRule="auto" w:line="240" w:before="240" w:after="24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Unknown Claims Waiver</w:t>
      </w:r>
      <w:r>
        <w:rPr>
          <w:rFonts w:ascii="Times New Roman;sans-serif" w:hAnsi="Times New Roman;sans-serif"/>
          <w:b w:val="false"/>
          <w:color w:val="000000"/>
          <w:sz w:val="22"/>
        </w:rPr>
        <w:t xml:space="preserve">. You understand and acknowledge that you are releasing potentially unknown claims, and that you may have limited knowledge with respect to some of the claims being released.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 In addition, you expressly waive and release any and all rights and benefits under the provisions of any applicable law (including Section 1542 of the </w:t>
      </w:r>
      <w:r>
        <w:rPr>
          <w:rFonts w:ascii="Times New Roman;sans-serif" w:hAnsi="Times New Roman;sans-serif"/>
          <w:b w:val="false"/>
          <w:i/>
          <w:color w:val="000000"/>
          <w:sz w:val="22"/>
        </w:rPr>
        <w:t>Civil Code of the State of California</w:t>
      </w:r>
      <w:r>
        <w:rPr>
          <w:rFonts w:ascii="Times New Roman;sans-serif" w:hAnsi="Times New Roman;sans-serif"/>
          <w:b w:val="false"/>
          <w:color w:val="000000"/>
          <w:sz w:val="22"/>
        </w:rPr>
        <w:t>), which reads substantially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You understand and agree that claims or facts in addition to or different from those which are now known or believed by you to exist may hereafter be discovered, but it is your intention to release all claims that you have or may have against the Released Parties, whether known or unknown, suspected or unsuspected.</w:t>
      </w:r>
    </w:p>
    <w:p>
      <w:pPr>
        <w:pStyle w:val="TextBody"/>
        <w:spacing w:lineRule="auto" w:line="240" w:before="240" w:after="24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Company Representation</w:t>
      </w:r>
      <w:r>
        <w:rPr>
          <w:rFonts w:ascii="Times New Roman;sans-serif" w:hAnsi="Times New Roman;sans-serif"/>
          <w:b w:val="false"/>
          <w:color w:val="000000"/>
          <w:sz w:val="22"/>
        </w:rPr>
        <w:t>. The Company is not aware of any claims or causes of action against you arising out of your employment or otherwise.</w:t>
      </w:r>
    </w:p>
    <w:p>
      <w:pPr>
        <w:pStyle w:val="TextBody"/>
        <w:spacing w:lineRule="auto" w:line="240" w:before="240" w:after="24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Breach</w:t>
      </w:r>
      <w:r>
        <w:rPr>
          <w:rFonts w:ascii="Times New Roman;sans-serif" w:hAnsi="Times New Roman;sans-serif"/>
          <w:b w:val="false"/>
          <w:color w:val="000000"/>
          <w:sz w:val="22"/>
        </w:rPr>
        <w:t>. If you breach any of your obligations under this Agreement or as otherwise imposed by law, the Company will be entitled to recover all severance and other consideration paid or provided under this Agreement and to obtain all other relief provided by law or equity.</w:t>
      </w:r>
    </w:p>
    <w:p>
      <w:pPr>
        <w:pStyle w:val="TextBody"/>
        <w:spacing w:lineRule="auto" w:line="240" w:before="240" w:after="24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No Admission</w:t>
      </w:r>
      <w:r>
        <w:rPr>
          <w:rFonts w:ascii="Times New Roman;sans-serif" w:hAnsi="Times New Roman;sans-serif"/>
          <w:b w:val="false"/>
          <w:color w:val="000000"/>
          <w:sz w:val="22"/>
        </w:rPr>
        <w:t>. Nothing contained in this Agreement shall constitute or be treated as an admission by the Company of any liability, wrongdoing, or violation of law.</w:t>
      </w:r>
    </w:p>
    <w:p>
      <w:pPr>
        <w:pStyle w:val="TextBody"/>
        <w:spacing w:lineRule="auto" w:line="240" w:before="240" w:after="24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Continuing Obligations</w:t>
      </w:r>
      <w:r>
        <w:rPr>
          <w:rFonts w:ascii="Times New Roman;sans-serif" w:hAnsi="Times New Roman;sans-serif"/>
          <w:b w:val="false"/>
          <w:color w:val="000000"/>
          <w:sz w:val="22"/>
        </w:rPr>
        <w:t>. At all times in the future, you will remain bound by the Covenants Agreement between you and the Company, dated December 21, 2018 (the “</w:t>
      </w:r>
      <w:r>
        <w:rPr>
          <w:rFonts w:ascii="Times New Roman;sans-serif" w:hAnsi="Times New Roman;sans-serif"/>
          <w:b w:val="false"/>
          <w:color w:val="000000"/>
          <w:sz w:val="22"/>
          <w:u w:val="single"/>
        </w:rPr>
        <w:t>Covenants Agreement</w:t>
      </w:r>
      <w:r>
        <w:rPr>
          <w:color w:val="000000"/>
        </w:rPr>
        <w:t>”</w:t>
      </w:r>
      <w:r>
        <w:rPr>
          <w:rFonts w:ascii="Times New Roman;sans-serif" w:hAnsi="Times New Roman;sans-serif"/>
          <w:b w:val="false"/>
          <w:color w:val="000000"/>
          <w:sz w:val="22"/>
        </w:rPr>
        <w:t>), which shall remain in full force and effect in accordance with, and only to the extent permitted by, its terms.</w:t>
      </w:r>
    </w:p>
    <w:p>
      <w:pPr>
        <w:pStyle w:val="TextBody"/>
        <w:spacing w:lineRule="auto" w:line="240" w:before="240" w:after="240"/>
        <w:jc w:val="both"/>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Return of Company Property</w:t>
      </w:r>
      <w:r>
        <w:rPr>
          <w:rFonts w:ascii="Times New Roman;sans-serif" w:hAnsi="Times New Roman;sans-serif"/>
          <w:b w:val="false"/>
          <w:color w:val="000000"/>
          <w:sz w:val="22"/>
        </w:rPr>
        <w:t xml:space="preserve">. Subject to the following sentence, you agree that, upon receipt of an appropriate number of pre-paid courier labels and boxes of suitable size from the Company, you will make arrangements to return to the Company any and all Company property in your possession or control, including, without limitation, equipment, documents (in paper and electronic form), notes, credit cards, and phone cards and you will have returned or destroyed all Company property that you stored in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50520"/>
                <wp:effectExtent l="0" t="0" r="0" b="0"/>
                <wp:wrapNone/>
                <wp:docPr id="264" name="Frame23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electronic form or media (including, but not limited to, any Company property stored in your personal computer, USB drives, or in a cloud environment). </w:t>
      </w:r>
    </w:p>
    <w:p>
      <w:pPr>
        <w:pStyle w:val="TextBody"/>
        <w:spacing w:lineRule="auto" w:line="240" w:before="240" w:after="240"/>
        <w:jc w:val="both"/>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Post-Termination Consulting Services</w:t>
      </w:r>
      <w:r>
        <w:rPr>
          <w:rFonts w:ascii="Times New Roman;sans-serif" w:hAnsi="Times New Roman;sans-serif"/>
          <w:b w:val="false"/>
          <w:color w:val="000000"/>
          <w:sz w:val="22"/>
        </w:rPr>
        <w:t xml:space="preserve">. You agree to perform services for the Company as an independent contractor, with the term of your consulting relationship beginning on the Separation Date and continuing for twelve (12) months following your Separation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(a) you may end your consulting relationship under this Agreement at any time, for any reason; and (b) the Company may terminate your consulting relationship under this Agreement for Good Cause (as defined below), in either case, without prior notice (the period during which you are providing consulting services under this Agreement is referred to herein as, the “</w:t>
      </w:r>
      <w:r>
        <w:rPr>
          <w:rFonts w:ascii="Times New Roman;sans-serif" w:hAnsi="Times New Roman;sans-serif"/>
          <w:b w:val="false"/>
          <w:color w:val="000000"/>
          <w:sz w:val="22"/>
          <w:u w:val="single"/>
        </w:rPr>
        <w:t>Consulting Period</w:t>
      </w:r>
      <w:r>
        <w:rPr>
          <w:color w:val="000000"/>
        </w:rPr>
        <w:t>”</w:t>
      </w:r>
      <w:r>
        <w:rPr>
          <w:rFonts w:ascii="Times New Roman;sans-serif" w:hAnsi="Times New Roman;sans-serif"/>
          <w:b w:val="false"/>
          <w:color w:val="000000"/>
          <w:sz w:val="22"/>
        </w:rPr>
        <w:t>). If the Company terminates your consulting relationship for Good Cause prior to the expiration of the twelve (12) month term, (a) the Company shall not be responsible for the payment of any remaining monthly fees you otherwise would have received if the Consulting Period had continued for the full twelve (12) months following your Separation Date and (b) all of your then-unvested Options (including any then-unvested Continuing Options) will be immediately canceled and terminated for no consideration. If you terminate the consulting relationship more than 180 calendar days after the Separation Date, in connection with the acceptance of employment with an entity, body, or agency that is not a Restricted Entity (as defined below), then: (a) the Company shall make a lump sum payment to you, within fifteen (15) calendar days of such termination, equal to the sum of any remaining monthly fees you otherwise would have received if the Consulting Period had continued for the full twelve (12) months following your Separation Date; and (b) all of the then-unvested Continuing Options that are otherwise eligible to vest during the Consulting Period will accelerate and become immediately vested as of the date of the termination of the consulting arrangement. For the avoidance of doubt, if you terminate the consulting relationship prior to the end of the Consulting Period for any other reason, you will no longer be entitled to vest in any of your then-unvested Continuing Options that are eligible to vest during the Consulting Period. During the Consulting Period, you will be expected to provide advice and assistance to the Company as reasonably requested by the Company from time to time, which may include without limitation, being available for questions and matters that arise related to the transition of the Company’s legal department following your separation as General Counsel; your historical recollections and work as the Company’s former General Counsel; and certain ongoing legal and regulatory litigations, investigations, and other proceedings (the “</w:t>
      </w:r>
      <w:r>
        <w:rPr>
          <w:rFonts w:ascii="Times New Roman;sans-serif" w:hAnsi="Times New Roman;sans-serif"/>
          <w:b w:val="false"/>
          <w:color w:val="000000"/>
          <w:sz w:val="22"/>
          <w:u w:val="single"/>
        </w:rPr>
        <w:t>Services</w:t>
      </w:r>
      <w:r>
        <w:rPr>
          <w:color w:val="000000"/>
        </w:rPr>
        <w:t>”</w:t>
      </w:r>
      <w:r>
        <w:rPr>
          <w:rFonts w:ascii="Times New Roman;sans-serif" w:hAnsi="Times New Roman;sans-serif"/>
          <w:b w:val="false"/>
          <w:color w:val="000000"/>
          <w:sz w:val="22"/>
        </w:rPr>
        <w:t>). You agree to perform the Services in good faith and to the best of your ability. You will be paid for the Services at the rate of $10,000 per month. The Company will effectuate payment by the fifteenth (15th) calendar day of each month with respect to the fee for that month. All compensation or other payments paid or made to you during the Consulting Period in respect of your Services shall be paid or made without withholding or deduction of any kind, and you shall assume sole responsibility for discharging all tax and other obligations associated therewith. You further acknowledge and agree that, during the Consulting Period, except with respect to benefits accrued, vested, or earned prior to the Separation Date, you have no right to participate, and shall not participate, in any employee benefit plans, programs, or policies of the Company.</w:t>
      </w:r>
    </w:p>
    <w:p>
      <w:pPr>
        <w:pStyle w:val="TextBody"/>
        <w:spacing w:lineRule="auto" w:line="240" w:before="0" w:after="0"/>
        <w:jc w:val="both"/>
        <w:rPr/>
      </w:pPr>
      <w:r>
        <w:rPr>
          <w:rFonts w:ascii="Times New Roman;sans-serif" w:hAnsi="Times New Roman;sans-serif"/>
          <w:b w:val="false"/>
          <w:color w:val="000000"/>
          <w:sz w:val="22"/>
        </w:rPr>
        <w:t>For purposes of this Section 12, the definition of “</w:t>
      </w:r>
      <w:r>
        <w:rPr>
          <w:rFonts w:ascii="Times New Roman;sans-serif" w:hAnsi="Times New Roman;sans-serif"/>
          <w:b w:val="false"/>
          <w:color w:val="000000"/>
          <w:sz w:val="22"/>
          <w:u w:val="single"/>
        </w:rPr>
        <w:t>Good Cause</w:t>
      </w:r>
      <w:r>
        <w:rPr>
          <w:color w:val="000000"/>
        </w:rPr>
        <w:t xml:space="preserve">” </w:t>
      </w:r>
      <w:r>
        <w:rPr>
          <w:rFonts w:ascii="Times New Roman;sans-serif" w:hAnsi="Times New Roman;sans-serif"/>
          <w:b w:val="false"/>
          <w:color w:val="000000"/>
          <w:sz w:val="22"/>
        </w:rPr>
        <w:t>means: (i) your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(ii) your gross negligence or willful misconduct, with respect to the Company or any of its affiliates, including, without limitation fraud, embezzlement, theft, or proven dishonesty during the course of the Consulting Period; (iii) alcohol abuse or use of controlled drugs by you other than in accordance with a physician’s prescription that materially and adversely affects the Company; (iv) your willful refusal to perform any lawful, material obligation, or fulfill any material duty to the Company or its affiliates during the Consulting Period (other than due to a disability); or (v) your willful and material breach of any agreement with or material duty owed to the Company or any of its affiliates, whether arising by statute, common law, or agreement, or relating to confidentiality, non-solicitation, or proprietary rights. No act or failure to act on your part shall be considered “willful” unless done, or omitted to be done, by you not in good faith and without reasonable belief that your action or omission was in the best interest of the Company.</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purposes of this Section 12, the definition of “Restricted Entity” means any corporation, partnership, limited liability company, association, trust, or other entity or organization which is engaged, directly or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50520"/>
                <wp:effectExtent l="0" t="0" r="0" b="0"/>
                <wp:wrapNone/>
                <wp:docPr id="265" name="Frame23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indirectly, in a business that is in material competition with a business: (i) conducted by the Company or any of its subsidiaries during the 12 months preceding the date of conclusion of the consulting relationship; or (ii) proposed to be conducted by the Company or any of its subsidiaries in the Company’s business plan (of which you are aware) as in effect at that time of the conclusion of the consulting relationship, in either case in any country or territory in which the Company or any of its subsidiaries markets any of its services or products or has plans to begin marketing any of its services or products in such country or territory). </w:t>
      </w:r>
    </w:p>
    <w:p>
      <w:pPr>
        <w:pStyle w:val="TextBody"/>
        <w:spacing w:lineRule="auto" w:line="240" w:before="0" w:after="0"/>
        <w:jc w:val="both"/>
        <w:rPr/>
      </w:pPr>
      <w:r>
        <w:rPr>
          <w:rFonts w:ascii="Times New Roman;sans-serif" w:hAnsi="Times New Roman;sans-serif"/>
          <w:b w:val="false"/>
          <w:color w:val="000000"/>
          <w:sz w:val="22"/>
        </w:rPr>
        <w:br/>
        <w:t>The Company hereby agrees to indemnify you and hold you harmless from and against any losses, claims, damages, demands, and liabilities (collectively, “</w:t>
      </w:r>
      <w:r>
        <w:rPr>
          <w:rFonts w:ascii="Times New Roman;sans-serif" w:hAnsi="Times New Roman;sans-serif"/>
          <w:b w:val="false"/>
          <w:color w:val="000000"/>
          <w:sz w:val="22"/>
          <w:u w:val="single"/>
        </w:rPr>
        <w:t>Liabilities</w:t>
      </w:r>
      <w:r>
        <w:rPr>
          <w:color w:val="000000"/>
        </w:rPr>
        <w:t>”</w:t>
      </w:r>
      <w:r>
        <w:rPr>
          <w:rFonts w:ascii="Times New Roman;sans-serif" w:hAnsi="Times New Roman;sans-serif"/>
          <w:b w:val="false"/>
          <w:color w:val="000000"/>
          <w:sz w:val="22"/>
        </w:rPr>
        <w:t>) (or actions or proceedings in respect thereof), to which you may become subject related to or arising in any manner out of the Services or any matter contemplated thereby (the “</w:t>
      </w:r>
      <w:r>
        <w:rPr>
          <w:rFonts w:ascii="Times New Roman;sans-serif" w:hAnsi="Times New Roman;sans-serif"/>
          <w:b w:val="false"/>
          <w:color w:val="000000"/>
          <w:sz w:val="22"/>
          <w:u w:val="single"/>
        </w:rPr>
        <w:t>Indemnified Activities</w:t>
      </w:r>
      <w:r>
        <w:rPr>
          <w:color w:val="000000"/>
        </w:rPr>
        <w:t>”</w:t>
      </w:r>
      <w:r>
        <w:rPr>
          <w:rFonts w:ascii="Times New Roman;sans-serif" w:hAnsi="Times New Roman;sans-serif"/>
          <w:b w:val="false"/>
          <w:color w:val="000000"/>
          <w:sz w:val="22"/>
        </w:rPr>
        <w:t xml:space="preserve">), except to the extent a court of competent jurisdiction shall have determined by final non-appealable judgment that such Liabilities resulted directly from your gross negligence, willful misconduct, or bad faith in performing the Services. In addition, the Company shall promptly reimburse you for all costs and expenses (including, without limitation, reasonable and documented fees, costs, and expenses of legal counsel) incurred in connection with the investigation of, preparation for, responding to, serving as a witness in respect of, or defending, pursuing, settling, or otherwise becoming involved in, any pending or threatened investigative, administrative, judicial, or regulatory or other claim, action, proceeding, or investigation in any jurisdiction related to or arising in any manner out of any Indemnified Activities, whether or not in connection with pending or threatened claim, action, or proceeding to which you or the Company, or any of its creditors, security holders, or other investors is, or is threatened to be, a party. The provisions of this paragraph shall survive the termination of your consulting relationship with the Company. </w:t>
      </w:r>
    </w:p>
    <w:p>
      <w:pPr>
        <w:pStyle w:val="TextBody"/>
        <w:spacing w:lineRule="auto" w:line="240" w:before="240" w:after="240"/>
        <w:jc w:val="both"/>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Cooperation with the Company</w:t>
      </w:r>
      <w:r>
        <w:rPr>
          <w:rFonts w:ascii="Times New Roman;sans-serif" w:hAnsi="Times New Roman;sans-serif"/>
          <w:b w:val="false"/>
          <w:color w:val="000000"/>
          <w:sz w:val="22"/>
        </w:rPr>
        <w:t xml:space="preserve">. In addition, you shall cooperate with and assist the Company as reasonably requested by it in the investigation of, preparation for, or defense of any actual or threatened third party claim, investigation, or proceeding involving the Company or its predecessors or affiliates and arising from or relating to, in whole or in part, your employment or services with the Company or its predecessors or affiliates for which the Company requests your assistance, which cooperation and assistance shall include, but not be limited to, providing truthful testimony and assisting in information and document gathering efforts. In connection herewith, it is agreed that the Company will use its reasonable best efforts to assure that any request for such cooperation will not unduly interfere with your other material business and personal obligations and commitments. Subject to the following sentence, you agree to cooperate fully in matters relating to the transition of your employment and responsibilities, and other matters reasonably requested by the Company, whether before or after your Separation Date. In addition, in the event that the Company requests your cooperation after the completion of the Consulting Period or, in the event that the Company has accelerated the monetary payment and vesting as a result of your termination of the consulting relationship more than 180 calendar days after the Separation Date in connection with acceptance of employment as set forth in Section 12, the Company will pay you a mutually agreed upon hourly rate (unless such payments are prohibited) promptly after your submission of each invoice for all cooperation in accordance with this Section in excess of one hour per week. </w:t>
      </w:r>
    </w:p>
    <w:p>
      <w:pPr>
        <w:pStyle w:val="TextBody"/>
        <w:spacing w:lineRule="auto" w:line="240" w:before="240" w:after="240"/>
        <w:jc w:val="both"/>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Non-Disparagement</w:t>
      </w:r>
      <w:r>
        <w:rPr>
          <w:rFonts w:ascii="Times New Roman;sans-serif" w:hAnsi="Times New Roman;sans-serif"/>
          <w:b w:val="false"/>
          <w:color w:val="000000"/>
          <w:sz w:val="22"/>
        </w:rPr>
        <w:t xml:space="preserve">. You and the Company mutually agree that neither party will knowingly make any negative or disparaging statements (orally or in writing or in any medium, including via blogging or otherwise via the internet) about the other party, except as required by law. For purposes of this Section, the Company shall be defined to encompass its subsidiaries, successors, stockholders, directors, officers, employees, service providers, agents, advisors, partners, affiliates, products, services, formulae, corporate structure or organization, marketing methods, and business practices or performance. A disparaging statement is any communication that, if publicized (whether or not it was intended to become public), would cause or reasonably be expected to cause the recipient of the communication to question the business condition, reputation integrity, competence, good character, or product quality of the person or entity to whom the communication relates. </w:t>
      </w:r>
    </w:p>
    <w:p>
      <w:pPr>
        <w:pStyle w:val="TextBody"/>
        <w:spacing w:lineRule="auto" w:line="240" w:before="240" w:after="240"/>
        <w:jc w:val="both"/>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Non-Solicitation</w:t>
      </w:r>
      <w:r>
        <w:rPr>
          <w:rFonts w:ascii="Times New Roman;sans-serif" w:hAnsi="Times New Roman;sans-serif"/>
          <w:b w:val="false"/>
          <w:color w:val="000000"/>
          <w:sz w:val="22"/>
        </w:rPr>
        <w:t>. During the 12 months following the Separation Date, without the prior written consent of the Company, you shall not, and you shall cause your affiliates not to, directly or indirectly, (i) solicit for employment, employ, or engage in any way, including as an agent, consultant, or contractor, any employee of the Company or its subsidiaries or affiliates (a “</w:t>
      </w:r>
      <w:r>
        <w:rPr>
          <w:rFonts w:ascii="Times New Roman;sans-serif" w:hAnsi="Times New Roman;sans-serif"/>
          <w:b w:val="false"/>
          <w:color w:val="000000"/>
          <w:sz w:val="22"/>
          <w:u w:val="single"/>
        </w:rPr>
        <w:t>Company Employee</w:t>
      </w:r>
      <w:r>
        <w:rPr>
          <w:color w:val="000000"/>
        </w:rPr>
        <w:t>”</w:t>
      </w:r>
      <w:r>
        <w:rPr>
          <w:rFonts w:ascii="Times New Roman;sans-serif" w:hAnsi="Times New Roman;sans-serif"/>
          <w:b w:val="false"/>
          <w:color w:val="000000"/>
          <w:sz w:val="22"/>
        </w:rPr>
        <w:t xml:space="preserve">), (ii) interfere or attempt to interfere with the relationship between the Company and any Company Employee, or (iii)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50520"/>
                <wp:effectExtent l="0" t="0" r="0" b="0"/>
                <wp:wrapNone/>
                <wp:docPr id="266" name="Frame23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40"/>
        <w:jc w:val="both"/>
        <w:rPr/>
      </w:pPr>
      <w:r>
        <w:rPr>
          <w:rFonts w:ascii="Times New Roman;sans-serif" w:hAnsi="Times New Roman;sans-serif"/>
          <w:b w:val="false"/>
          <w:color w:val="000000"/>
          <w:sz w:val="22"/>
        </w:rPr>
        <w:t xml:space="preserve">cause any Company Employee to terminate his or her employment, agency, or contractor relationship with the Company;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 a general offer of employment to the public shall not be prohibited hereunder as long as it is not specifically directed at any Company Employee and no such Company Employee is hired as a result thereof, and (ii) nothing in this Agreement prohibits you or any of your affiliates from soliciting or hiring a Company Employee whose employment or engagement with the Company or any of its subsidiaries or affiliates ceased at least six (6) months prior to the commencement of such solicitation or such hire.</w:t>
      </w:r>
    </w:p>
    <w:p>
      <w:pPr>
        <w:pStyle w:val="TextBody"/>
        <w:spacing w:lineRule="auto" w:line="240" w:before="240" w:after="240"/>
        <w:jc w:val="both"/>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Workers’ Compensation</w:t>
      </w:r>
      <w:r>
        <w:rPr>
          <w:rFonts w:ascii="Times New Roman;sans-serif" w:hAnsi="Times New Roman;sans-serif"/>
          <w:b w:val="false"/>
          <w:color w:val="000000"/>
          <w:sz w:val="22"/>
        </w:rPr>
        <w:t>. You agree that you did not suffer an injury covered by workers’ compensation in the course and scope of your employment with the Company.</w:t>
      </w:r>
    </w:p>
    <w:p>
      <w:pPr>
        <w:pStyle w:val="TextBody"/>
        <w:spacing w:lineRule="auto" w:line="240" w:before="240" w:after="240"/>
        <w:jc w:val="both"/>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Dispute Resolution</w:t>
      </w:r>
      <w:r>
        <w:rPr>
          <w:rFonts w:ascii="Times New Roman;sans-serif" w:hAnsi="Times New Roman;sans-serif"/>
          <w:b w:val="false"/>
          <w:color w:val="000000"/>
          <w:sz w:val="22"/>
        </w:rPr>
        <w:t>. To ensure rapid and economical resolution of any disputes relating to this Agreement, you and the Company agree that any and all claims, disputes, or controversies of any nature whatsoever arising out of, or relating to, this Agreement, or its interpretation, enforcement, breach, performance, or execution, shall be resolved by final, binding, and confidential arbitration before a single arbitrator in Washington, D.C. (or another mutually agreeable location) conducted under the Judicial Arbitration and Mediation Services (JAMS) Streamlined Arbitration Rules &amp; Procedures. The Company shall pay the arbitrator’s fees and any administrative expenses that exceed the ordinary costs and filing fees incurred by a litigant initiating claims in the Superior Court of the District of Columbia. Each party shall pay for its own costs and attorneys’ fees, unless otherwise ordered by the arbitrator under applicable laws.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whether the provisions of this Section apply to a dispute, controversy, or claim except as provided herein. The arbitrator may in his or her discretion award reasonable attorneys’ fees and costs to the prevailing party, to the extent a court would be allowed to, in accordance with applicable law. All claims, disputes, or controversies subject to arbitration as set forth in this Section must be submitted to arbitration on an individual basis and not as a representative, class, or collective action proceeding on behalf of other individuals. Any issue concerning the validity of this representative, class, or collective action waiver must be decided by a court and, if for any reason it is found to be unenforceable, the representative, class, or collective action claim may only be heard in court and may not be arbitrated. Claims will be governed by applicable statutes of limitations. This arbitration agreement does not cover any action seeking only emergency, temporary, or preliminary injunctive relief (including a temporary restraining order) in a court of competent jurisdiction in accordance with applicable law. This arbitration agreement shall be construed and interpreted in accordance with the Federal Arbitration Act.</w:t>
      </w:r>
    </w:p>
    <w:p>
      <w:pPr>
        <w:pStyle w:val="TextBody"/>
        <w:spacing w:lineRule="auto" w:line="240" w:before="240" w:after="240"/>
        <w:jc w:val="both"/>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xml:space="preserve">. Unless otherwise stated herein, all notices, requests, demands, and other communications to the parties hereto shall be in writing and shall be deemed effective upon receipt if personally delivered or four (4) days after being mailed by certified or registered mail, postage prepaid, return address requested, to the parties at the addresses set forth below, or at such other addresses as the parties may designate by like written notice. A copy of all such notices, requests, demands, and other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50520"/>
                <wp:effectExtent l="0" t="0" r="0" b="0"/>
                <wp:wrapNone/>
                <wp:docPr id="267" name="Frame23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communications shall also be sent by email to the parties at the email addresses set forth below, if any, or at such other email addresses as the parties may designate pursuant hereto.</w:t>
      </w:r>
    </w:p>
    <w:p>
      <w:pPr>
        <w:pStyle w:val="TextBody"/>
        <w:spacing w:lineRule="auto" w:line="240" w:before="240" w:after="283"/>
        <w:jc w:val="center"/>
        <w:rPr/>
      </w:pPr>
      <w:r>
        <w:rPr>
          <w:rFonts w:ascii="Times New Roman;sans-serif" w:hAnsi="Times New Roman;sans-serif"/>
          <w:b w:val="false"/>
          <w:color w:val="000000"/>
          <w:sz w:val="22"/>
          <w:u w:val="single"/>
        </w:rPr>
        <w:t>If to You</w:t>
      </w:r>
      <w:r>
        <w:rPr>
          <w:rFonts w:ascii="Times New Roman;sans-serif" w:hAnsi="Times New Roman;sans-serif"/>
          <w:b w:val="false"/>
          <w:color w:val="000000"/>
          <w:sz w:val="22"/>
        </w:rPr>
        <w:t>:</w:t>
      </w:r>
    </w:p>
    <w:p>
      <w:pPr>
        <w:pStyle w:val="TextBody"/>
        <w:spacing w:lineRule="auto" w:line="240" w:before="0" w:after="0"/>
        <w:jc w:val="center"/>
        <w:rPr/>
      </w:pPr>
      <w:r>
        <w:rPr>
          <w:rFonts w:ascii="Times New Roman;sans-serif" w:hAnsi="Times New Roman;sans-serif"/>
          <w:b w:val="false"/>
          <w:color w:val="000000"/>
          <w:sz w:val="22"/>
        </w:rPr>
        <w:t>Gia B. Lee, Esq.</w:t>
        <w:br/>
      </w:r>
      <w:r>
        <w:rPr>
          <w:rFonts w:ascii="Times New Roman;sans-serif" w:hAnsi="Times New Roman;sans-serif"/>
          <w:b w:val="false"/>
          <w:color w:val="000000"/>
          <w:sz w:val="22"/>
          <w:highlight w:val="black"/>
        </w:rPr>
        <w:t>3530 Springland Lane</w:t>
      </w:r>
      <w:r>
        <w:rPr>
          <w:rFonts w:ascii="Times New Roman;sans-serif" w:hAnsi="Times New Roman;sans-serif"/>
          <w:b w:val="false"/>
          <w:color w:val="000000"/>
          <w:sz w:val="22"/>
        </w:rPr>
        <w:br/>
      </w:r>
      <w:r>
        <w:rPr>
          <w:rFonts w:ascii="Times New Roman;sans-serif" w:hAnsi="Times New Roman;sans-serif"/>
          <w:b w:val="false"/>
          <w:color w:val="000000"/>
          <w:sz w:val="22"/>
          <w:highlight w:val="black"/>
        </w:rPr>
        <w:t>Washington, D.C. 20008</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With a Copy to the Following Attorney</w:t>
      </w:r>
    </w:p>
    <w:p>
      <w:pPr>
        <w:pStyle w:val="TextBody"/>
        <w:spacing w:lineRule="auto" w:line="240" w:before="0" w:after="0"/>
        <w:jc w:val="center"/>
        <w:rPr/>
      </w:pPr>
      <w:r>
        <w:rPr>
          <w:rFonts w:ascii="Times New Roman;sans-serif" w:hAnsi="Times New Roman;sans-serif"/>
          <w:b w:val="false"/>
          <w:color w:val="000000"/>
          <w:sz w:val="22"/>
          <w:u w:val="single"/>
        </w:rPr>
        <w:t>or Other Attorney Designated in Writing by You</w:t>
      </w:r>
      <w:r>
        <w:rPr>
          <w:rFonts w:ascii="Times New Roman;sans-serif" w:hAnsi="Times New Roman;sans-serif"/>
          <w:b w:val="false"/>
          <w:color w:val="000000"/>
          <w:sz w:val="22"/>
        </w:rPr>
        <w:t>:</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Richard B. Friedman, Esq.</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Richard Friedman PLLC</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200 Park Avenue, Suite 1700</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New York, N.Y. 10166</w: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rfriedman@richardfriedmanlaw.com</w:t>
      </w:r>
    </w:p>
    <w:p>
      <w:pPr>
        <w:pStyle w:val="TextBody"/>
        <w:spacing w:before="240" w:after="283"/>
        <w:jc w:val="center"/>
        <w:rPr/>
      </w:pPr>
      <w:r>
        <w:rPr/>
      </w:r>
    </w:p>
    <w:p>
      <w:pPr>
        <w:pStyle w:val="TextBody"/>
        <w:spacing w:lineRule="auto" w:line="240" w:before="2" w:after="283"/>
        <w:jc w:val="center"/>
        <w:rPr/>
      </w:pPr>
      <w:r>
        <w:rPr>
          <w:rFonts w:ascii="Times New Roman;sans-serif" w:hAnsi="Times New Roman;sans-serif"/>
          <w:b w:val="false"/>
          <w:color w:val="000000"/>
          <w:sz w:val="22"/>
          <w:u w:val="single"/>
        </w:rPr>
        <w:t>If to Company</w:t>
      </w:r>
      <w:r>
        <w:rPr>
          <w:rFonts w:ascii="Times New Roman;sans-serif" w:hAnsi="Times New Roman;sans-serif"/>
          <w:b w:val="false"/>
          <w:color w:val="000000"/>
          <w:sz w:val="22"/>
        </w:rPr>
        <w:t>:</w:t>
        <w:br/>
        <w:t>Rachel Fish</w:t>
        <w:br/>
        <w:t>Clover Health</w:t>
        <w:br/>
        <w:t>P.O. Box 471</w:t>
        <w:br/>
        <w:t>Jersey City, NJ 07303</w:t>
        <w:br/>
        <w:t>rachel.fish@cloverhealth.com</w:t>
      </w:r>
    </w:p>
    <w:p>
      <w:pPr>
        <w:pStyle w:val="TextBody"/>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With a Copy to the Following Attorney</w:t>
      </w:r>
    </w:p>
    <w:p>
      <w:pPr>
        <w:pStyle w:val="TextBody"/>
        <w:spacing w:lineRule="auto" w:line="240" w:before="0" w:after="0"/>
        <w:jc w:val="center"/>
        <w:rPr/>
      </w:pPr>
      <w:r>
        <w:rPr>
          <w:rFonts w:ascii="Times New Roman;sans-serif" w:hAnsi="Times New Roman;sans-serif"/>
          <w:b w:val="false"/>
          <w:color w:val="000000"/>
          <w:sz w:val="22"/>
          <w:u w:val="single"/>
        </w:rPr>
        <w:t>or Other Attorney Designated in Writing by the Company</w:t>
      </w:r>
      <w:r>
        <w:rPr>
          <w:rFonts w:ascii="Times New Roman;sans-serif" w:hAnsi="Times New Roman;sans-serif"/>
          <w:b w:val="false"/>
          <w:color w:val="000000"/>
          <w:sz w:val="22"/>
        </w:rPr>
        <w:t>:</w:t>
      </w:r>
    </w:p>
    <w:p>
      <w:pPr>
        <w:pStyle w:val="TextBody"/>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Amy Blackman, Esq.</w:t>
        <w:br/>
        <w:t>Fried, Frank, Harris, Shriver &amp; Jacobson, LLP</w:t>
        <w:br/>
        <w:t>One New York Plaza</w:t>
        <w:br/>
        <w:t>New York, N.Y. 10004</w:t>
        <w:br/>
        <w:t>amy.blackman@friedfrank.com</w:t>
      </w:r>
    </w:p>
    <w:p>
      <w:pPr>
        <w:pStyle w:val="TextBody"/>
        <w:spacing w:lineRule="auto" w:line="240" w:before="240" w:after="240"/>
        <w:jc w:val="both"/>
        <w:rPr/>
      </w:pPr>
      <w:r>
        <w:rPr>
          <w:rFonts w:ascii="Times New Roman;sans-serif" w:hAnsi="Times New Roman;sans-serif"/>
          <w:b w:val="false"/>
          <w:color w:val="000000"/>
          <w:sz w:val="22"/>
        </w:rPr>
        <w:t>19.    </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You agree that, except for the Covenants Agreement and the Equity Documents, and except as otherwise expressly provided in this Agreement, this Agreement renders null and void any and all prior or contemporaneous agreements between you and the Company or any affiliate of the Company, including, but not limited to, the offer letter entered into by and between you and the Company, dated December 20, 2018. You and the Company agree that this Agreement constitutes the entire agreement between you and the Company and any affiliate of the Company regarding the subject matter of this Agreement, and that this Agreement may be modified only in a written document signed by you and a duly authorized officer of the Company.</w:t>
      </w:r>
    </w:p>
    <w:p>
      <w:pPr>
        <w:pStyle w:val="TextBody"/>
        <w:spacing w:lineRule="auto" w:line="240" w:before="240" w:after="240"/>
        <w:jc w:val="both"/>
        <w:rPr/>
      </w:pPr>
      <w:r>
        <w:rPr>
          <w:rFonts w:ascii="Times New Roman;sans-serif" w:hAnsi="Times New Roman;sans-serif"/>
          <w:b w:val="false"/>
          <w:color w:val="000000"/>
          <w:sz w:val="22"/>
        </w:rPr>
        <w:t>20.    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Except as to the Dispute Resolution section above, this Agreement shall be construed and interpreted in accordance with the laws of the State of Delaware.</w:t>
      </w:r>
    </w:p>
    <w:p>
      <w:pPr>
        <w:pStyle w:val="TextBody"/>
        <w:spacing w:lineRule="auto" w:line="240" w:before="240" w:after="240"/>
        <w:jc w:val="both"/>
        <w:rPr/>
      </w:pPr>
      <w:r>
        <w:rPr>
          <w:rFonts w:ascii="Times New Roman;sans-serif" w:hAnsi="Times New Roman;sans-serif"/>
          <w:b w:val="false"/>
          <w:color w:val="000000"/>
          <w:sz w:val="22"/>
        </w:rPr>
        <w:t>21.    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however that if such invalid or unenforceable provision may be modified so as to be valid and enforceable as a matter of law, such </w:t>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50520"/>
                <wp:effectExtent l="0" t="0" r="0" b="0"/>
                <wp:wrapNone/>
                <wp:docPr id="268" name="Frame24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provision shall be deemed to have been modified so as to be valid and enforceable to the maximum extent permitted by law.</w:t>
      </w:r>
    </w:p>
    <w:p>
      <w:pPr>
        <w:pStyle w:val="TextBody"/>
        <w:spacing w:lineRule="auto" w:line="240" w:before="240" w:after="240"/>
        <w:jc w:val="both"/>
        <w:rPr/>
      </w:pPr>
      <w:r>
        <w:rPr>
          <w:rFonts w:ascii="Times New Roman;sans-serif" w:hAnsi="Times New Roman;sans-serif"/>
          <w:b w:val="false"/>
          <w:color w:val="000000"/>
          <w:sz w:val="22"/>
        </w:rPr>
        <w:t>22.    </w:t>
      </w:r>
      <w:r>
        <w:rPr>
          <w:rFonts w:ascii="Times New Roman;sans-serif" w:hAnsi="Times New Roman;sans-serif"/>
          <w:b w:val="false"/>
          <w:color w:val="000000"/>
          <w:sz w:val="22"/>
          <w:u w:val="single"/>
        </w:rPr>
        <w:t>Amendments/No Oral Modification</w:t>
      </w:r>
      <w:r>
        <w:rPr>
          <w:rFonts w:ascii="Times New Roman;sans-serif" w:hAnsi="Times New Roman;sans-serif"/>
          <w:b w:val="false"/>
          <w:color w:val="000000"/>
          <w:sz w:val="22"/>
        </w:rPr>
        <w:t>. This Agreement and any amendments hereto may not be amended, changed, waived, discharged, or terminated, in whole or in part, except by an instrument in writing signed by both you and the Company (or their respective successors-in-interest).</w:t>
      </w:r>
    </w:p>
    <w:p>
      <w:pPr>
        <w:pStyle w:val="TextBody"/>
        <w:spacing w:lineRule="auto" w:line="240" w:before="240" w:after="240"/>
        <w:jc w:val="both"/>
        <w:rPr/>
      </w:pPr>
      <w:r>
        <w:rPr>
          <w:rFonts w:ascii="Times New Roman;sans-serif" w:hAnsi="Times New Roman;sans-serif"/>
          <w:b w:val="false"/>
          <w:color w:val="000000"/>
          <w:sz w:val="22"/>
        </w:rPr>
        <w:t>23.    </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This Agreement was mutually prepared by you and the Company and will not be construed against either of them by reason of authorship. Section or paragraph titles have been inserted for convenience only and will not be used in interpreting the terms of this Agreement.</w:t>
      </w:r>
    </w:p>
    <w:p>
      <w:pPr>
        <w:pStyle w:val="TextBody"/>
        <w:spacing w:lineRule="auto" w:line="240" w:before="240" w:after="240"/>
        <w:jc w:val="both"/>
        <w:rPr/>
      </w:pPr>
      <w:r>
        <w:rPr>
          <w:rFonts w:ascii="Times New Roman;sans-serif" w:hAnsi="Times New Roman;sans-serif"/>
          <w:b w:val="false"/>
          <w:color w:val="000000"/>
          <w:sz w:val="22"/>
        </w:rPr>
        <w:t>24.    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You agree that this Agreement may be executed in counterparts, each of which shall be an original, but all of which together shall constitute one agreement. Execution via DocuSign or a similar service, or of a facsimile copy or scanned image shall have the same force and effect as execution of an original, and an electronic or facsimile signature or scanned image of a signature shall be deemed an original and valid signature</w:t>
      </w:r>
    </w:p>
    <w:p>
      <w:pPr>
        <w:pStyle w:val="TextBody"/>
        <w:spacing w:lineRule="auto" w:line="240" w:before="240" w:after="240"/>
        <w:jc w:val="both"/>
        <w:rPr/>
      </w:pPr>
      <w:r>
        <w:rPr>
          <w:rFonts w:ascii="Times New Roman;sans-serif" w:hAnsi="Times New Roman;sans-serif"/>
          <w:b w:val="false"/>
          <w:color w:val="000000"/>
          <w:sz w:val="22"/>
        </w:rPr>
        <w:t>25.    </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 It is the intent that any compensation, benefits, and other amounts payable or provided under this Agreement be paid or provided in a manner that is either exempt from, or in compliance with, Section 409A of the Code (“</w:t>
      </w:r>
      <w:r>
        <w:rPr>
          <w:rFonts w:ascii="Times New Roman;sans-serif" w:hAnsi="Times New Roman;sans-serif"/>
          <w:b w:val="false"/>
          <w:color w:val="000000"/>
          <w:sz w:val="22"/>
          <w:u w:val="single"/>
        </w:rPr>
        <w:t>Section 409A</w:t>
      </w:r>
      <w:r>
        <w:rPr>
          <w:color w:val="000000"/>
        </w:rPr>
        <w:t>”</w:t>
      </w:r>
      <w:r>
        <w:rPr>
          <w:rFonts w:ascii="Times New Roman;sans-serif" w:hAnsi="Times New Roman;sans-serif"/>
          <w:b w:val="false"/>
          <w:color w:val="000000"/>
          <w:sz w:val="22"/>
        </w:rPr>
        <w:t xml:space="preserve">). Any ambiguity in this Agreement shall be interpreted consistent with the foregoing. In that connection, it is the intention of the Company and you that the time you spend providing the Services described herein will constitute no more than 20% of the average time you spent providing services to the Company as an employee during the 36 months immediately prior to the commencement of the Consulting Period, calculated in accordance with Section 409A. Each payment payable hereunder shall be a separate payment in a series of separate payments for purposes of Section 409A. In no event whatsoever shall the Company or its affiliates or their respective officers, directors, employees, or agents be liable for any additional tax, interest or penalties that may be imposed on you by Section 409A or damages for failing to comply with or be exempt from Section 409A and no such person makes any guarantee that this Agreement and the provisions hereof are exempt from or comply with Section 409A. </w:t>
      </w:r>
    </w:p>
    <w:p>
      <w:pPr>
        <w:pStyle w:val="TextBody"/>
        <w:spacing w:lineRule="auto" w:line="240" w:before="240" w:after="240"/>
        <w:jc w:val="both"/>
        <w:rPr/>
      </w:pPr>
      <w:r>
        <w:rPr>
          <w:rFonts w:ascii="Times New Roman;sans-serif" w:hAnsi="Times New Roman;sans-serif"/>
          <w:b w:val="false"/>
          <w:color w:val="000000"/>
          <w:sz w:val="22"/>
        </w:rPr>
        <w:t>26.    </w:t>
      </w:r>
      <w:r>
        <w:rPr>
          <w:rFonts w:ascii="Times New Roman;sans-serif" w:hAnsi="Times New Roman;sans-serif"/>
          <w:b w:val="false"/>
          <w:color w:val="000000"/>
          <w:sz w:val="22"/>
          <w:u w:val="single"/>
        </w:rPr>
        <w:t>Confirmation of Prior Employment</w:t>
      </w:r>
      <w:r>
        <w:rPr>
          <w:rFonts w:ascii="Times New Roman;sans-serif" w:hAnsi="Times New Roman;sans-serif"/>
          <w:b w:val="false"/>
          <w:color w:val="000000"/>
          <w:sz w:val="22"/>
        </w:rPr>
        <w:t>. In response to any inquiries concerning you, the Company shall state that, in accordance with Company policy, the Company will only provide your dates of employment and last position held.</w:t>
      </w:r>
    </w:p>
    <w:p>
      <w:pPr>
        <w:pStyle w:val="TextBody"/>
        <w:spacing w:before="240" w:after="283"/>
        <w:ind w:left="0" w:right="0" w:firstLine="720"/>
        <w:rPr/>
      </w:pPr>
      <w:r>
        <w:rPr/>
      </w:r>
    </w:p>
    <w:p>
      <w:pPr>
        <w:pStyle w:val="TextBody"/>
        <w:spacing w:lineRule="auto" w:line="240"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rPr/>
      </w:pPr>
      <w:r>
        <w:rPr/>
      </w:r>
      <w:r>
        <w:br w:type="page"/>
      </w: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w:t>
      </w:r>
      <w:r>
        <w:rPr>
          <w:rFonts w:ascii="Times New Roman;sans-serif" w:hAnsi="Times New Roman;sans-serif"/>
          <w:b/>
          <w:color w:val="000000"/>
          <w:sz w:val="20"/>
          <w:u w:val="single"/>
        </w:rPr>
        <w:t>xecution Copy</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50520"/>
                <wp:effectExtent l="0" t="0" r="0" b="0"/>
                <wp:wrapNone/>
                <wp:docPr id="269" name="Frame24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3.9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2"/>
        </w:rPr>
        <w:t>To accept this Agreement, please sign and date it and have your attorney provide it to Amy Blackman at amy.blackman@friedfrank.com. You have until 5:00 p.m. ET on the date that is twenty-one (21) days following your receipt of this Agreement (such date, the “</w:t>
      </w:r>
      <w:r>
        <w:rPr>
          <w:rFonts w:ascii="Times New Roman;sans-serif" w:hAnsi="Times New Roman;sans-serif"/>
          <w:b w:val="false"/>
          <w:color w:val="000000"/>
          <w:sz w:val="22"/>
          <w:u w:val="single"/>
        </w:rPr>
        <w:t>Deadline</w:t>
      </w:r>
      <w:r>
        <w:rPr>
          <w:color w:val="000000"/>
        </w:rPr>
        <w:t>”</w:t>
      </w:r>
      <w:r>
        <w:rPr>
          <w:rFonts w:ascii="Times New Roman;sans-serif" w:hAnsi="Times New Roman;sans-serif"/>
          <w:b w:val="false"/>
          <w:color w:val="000000"/>
          <w:sz w:val="22"/>
        </w:rPr>
        <w:t xml:space="preserve">) to review and consider this Agreement and to have your attorney provide an executed copy thereof. Please indicate your agreement with the above terms by signing below. </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am pleased that we were able to part ways on these amicable terms. The Company and I wish you every success in your future endeavors.</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CLOVER HEALTH INVESTMENTS, CORP.</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/s/Andrew Toy</w:t>
      </w:r>
      <w:r>
        <w:rPr>
          <w:color w:val="000000"/>
        </w:rPr>
        <w:t xml:space="preserve">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Name: Andrew Toy</w: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 and Chief Technology Officer</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My agreement with the terms and conditions of this Agreement is signified by my signature below. I agree to strictly comply with all the terms and conditions of this Agreement. Furthermore, I acknowledge that I have read and understand this Agreement and that I sign this release of all claims voluntarily, with full appreciation that at no time in the future may I pursue any of the rights I have waived in this Agreement.</w:t>
      </w:r>
    </w:p>
    <w:p>
      <w:pPr>
        <w:pStyle w:val="TextBody"/>
        <w:spacing w:before="0" w:after="0"/>
        <w:jc w:val="both"/>
        <w:rPr/>
      </w:pPr>
      <w:r>
        <w:rPr/>
      </w:r>
    </w:p>
    <w:p>
      <w:pPr>
        <w:pStyle w:val="TextBody"/>
        <w:spacing w:lineRule="auto" w:line="302" w:before="120" w:after="283"/>
        <w:rPr/>
      </w:pPr>
      <w:r>
        <w:rPr>
          <w:rFonts w:ascii="Times New Roman;sans-serif" w:hAnsi="Times New Roman;sans-serif"/>
          <w:b w:val="false"/>
          <w:color w:val="000000"/>
          <w:sz w:val="22"/>
        </w:rPr>
        <w:t>Signed:    </w:t>
      </w:r>
      <w:r>
        <w:rPr>
          <w:rFonts w:ascii="Times New Roman;sans-serif" w:hAnsi="Times New Roman;sans-serif"/>
          <w:b w:val="false"/>
          <w:color w:val="000000"/>
          <w:sz w:val="22"/>
          <w:u w:val="single"/>
        </w:rPr>
        <w:t xml:space="preserve">/s/Gia B. Lee                 </w:t>
      </w:r>
      <w:r>
        <w:rPr>
          <w:color w:val="000000"/>
        </w:rPr>
        <w:t>    </w:t>
      </w:r>
      <w:r>
        <w:rPr>
          <w:rFonts w:ascii="Times New Roman;sans-serif" w:hAnsi="Times New Roman;sans-serif"/>
          <w:b w:val="false"/>
          <w:color w:val="000000"/>
          <w:sz w:val="22"/>
        </w:rPr>
        <w:t>Dated: January 19, 2022</w:t>
      </w:r>
    </w:p>
    <w:p>
      <w:pPr>
        <w:pStyle w:val="TextBody"/>
        <w:spacing w:lineRule="auto" w:line="302" w:before="0" w:after="240"/>
        <w:rPr>
          <w:color w:val="000000"/>
        </w:rPr>
      </w:pPr>
      <w:r>
        <w:rPr>
          <w:color w:val="000000"/>
        </w:rPr>
        <w:t>    </w:t>
      </w:r>
      <w:r>
        <w:rPr>
          <w:rFonts w:ascii="Times New Roman;sans-serif" w:hAnsi="Times New Roman;sans-serif"/>
          <w:b w:val="false"/>
          <w:color w:val="000000"/>
          <w:sz w:val="22"/>
        </w:rPr>
        <w:t xml:space="preserve">Gia B. Lee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50520"/>
                <wp:effectExtent l="0" t="0" r="0" b="0"/>
                <wp:wrapNone/>
                <wp:docPr id="270" name="Frame2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txbxContent>
                </v:textbox>
              </v:rect>
            </w:pict>
          </mc:Fallback>
        </mc:AlternateContent>
      </w:r>
    </w:p>
    <w:p>
      <w:pPr>
        <w:pStyle w:val="TextBody"/>
        <w:spacing w:lineRule="auto" w:line="501" w:before="120" w:after="36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501" w:before="120" w:after="360"/>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following Registration Statements: </w:t>
      </w:r>
    </w:p>
    <w:p>
      <w:pPr>
        <w:pStyle w:val="TextBody"/>
        <w:spacing w:lineRule="auto" w:line="501" w:before="120" w:after="360"/>
        <w:ind w:left="0" w:right="0" w:hanging="410"/>
        <w:rPr>
          <w:rFonts w:ascii="Times New Roman;sans-serif" w:hAnsi="Times New Roman;sans-serif"/>
          <w:b w:val="false"/>
          <w:color w:val="000000"/>
          <w:sz w:val="20"/>
        </w:rPr>
      </w:pPr>
      <w:r>
        <w:rPr>
          <w:rFonts w:ascii="Times New Roman;sans-serif" w:hAnsi="Times New Roman;sans-serif"/>
          <w:b w:val="false"/>
          <w:color w:val="000000"/>
          <w:sz w:val="20"/>
        </w:rPr>
        <w:t>(1)Post-Effective Amendment No. 4 to the Registration Statement (Form S-1 on Form S-3, Registration No. 333-249558) of Clover Health Investments, Corp.;</w:t>
      </w:r>
    </w:p>
    <w:p>
      <w:pPr>
        <w:pStyle w:val="TextBody"/>
        <w:spacing w:lineRule="auto" w:line="501" w:before="120" w:after="360"/>
        <w:ind w:left="0" w:right="0" w:hanging="410"/>
        <w:rPr>
          <w:rFonts w:ascii="Times New Roman;sans-serif" w:hAnsi="Times New Roman;sans-serif"/>
          <w:b w:val="false"/>
          <w:color w:val="000000"/>
          <w:sz w:val="20"/>
        </w:rPr>
      </w:pPr>
      <w:r>
        <w:rPr>
          <w:rFonts w:ascii="Times New Roman;sans-serif" w:hAnsi="Times New Roman;sans-serif"/>
          <w:b w:val="false"/>
          <w:color w:val="000000"/>
          <w:sz w:val="20"/>
        </w:rPr>
        <w:t xml:space="preserve">(2)Post-Effective Amendment No. 4 to the Registration Statement (Form S-1 on Form S-3, Registration No. 333-252073) of Clover Health Investments, Corp.; </w:t>
      </w:r>
    </w:p>
    <w:p>
      <w:pPr>
        <w:pStyle w:val="TextBody"/>
        <w:spacing w:lineRule="auto" w:line="501" w:before="120" w:after="360"/>
        <w:ind w:left="0" w:right="0" w:hanging="410"/>
        <w:rPr>
          <w:rFonts w:ascii="Times New Roman;sans-serif" w:hAnsi="Times New Roman;sans-serif"/>
          <w:b w:val="false"/>
          <w:color w:val="000000"/>
          <w:sz w:val="20"/>
        </w:rPr>
      </w:pPr>
      <w:r>
        <w:rPr>
          <w:rFonts w:ascii="Times New Roman;sans-serif" w:hAnsi="Times New Roman;sans-serif"/>
          <w:b w:val="false"/>
          <w:color w:val="000000"/>
          <w:sz w:val="20"/>
        </w:rPr>
        <w:t>(3)Registration Statement on Form S-8 (Registration No. 333-254947) pertaining to the 2020 Equity Incentive Plan of Clover Health Investments, Corp., 2020 Employee Stock Purchase Plan of Clover Health Investments, Corp. and the Amended and Restated 2014 Equity Incentive Plan of Clover Health Investments, Corp.;</w:t>
      </w:r>
    </w:p>
    <w:p>
      <w:pPr>
        <w:pStyle w:val="TextBody"/>
        <w:spacing w:lineRule="auto" w:line="501" w:before="120" w:after="360"/>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2022, with respect to the consolidated financial statements of Clover Health Investments, Corp. and the effectiveness of internal control over financial reporting of Clover Health Investments, Corp. included in this Annual Report on Form 10-K of Clover Health Investments, Corp. for the year ended December 31, 2021.</w:t>
      </w:r>
    </w:p>
    <w:p>
      <w:pPr>
        <w:pStyle w:val="TextBody"/>
        <w:spacing w:lineRule="auto" w:line="501" w:before="120" w:after="36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501" w:before="120" w:after="36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501" w:before="120" w:after="36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Vivek Garipalli,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period ended December 31, 2021 of Clover Health Investments, Corp.;</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18" w:type="dxa"/>
        <w:jc w:val="left"/>
        <w:tblInd w:w="0" w:type="dxa"/>
        <w:tblCellMar>
          <w:top w:w="28" w:type="dxa"/>
          <w:left w:w="28" w:type="dxa"/>
          <w:bottom w:w="28" w:type="dxa"/>
          <w:right w:w="28" w:type="dxa"/>
        </w:tblCellMar>
      </w:tblPr>
      <w:tblGrid>
        <w:gridCol w:w="754"/>
        <w:gridCol w:w="664"/>
        <w:gridCol w:w="667"/>
        <w:gridCol w:w="134"/>
        <w:gridCol w:w="134"/>
        <w:gridCol w:w="136"/>
        <w:gridCol w:w="622"/>
        <w:gridCol w:w="622"/>
        <w:gridCol w:w="88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Mark C. Herbers,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2021 of Clover Health Investments, Corp.;</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0205" w:type="dxa"/>
        <w:jc w:val="left"/>
        <w:tblInd w:w="0" w:type="dxa"/>
        <w:tblCellMar>
          <w:top w:w="28" w:type="dxa"/>
          <w:left w:w="28" w:type="dxa"/>
          <w:bottom w:w="28" w:type="dxa"/>
          <w:right w:w="28" w:type="dxa"/>
        </w:tblCellMar>
      </w:tblPr>
      <w:tblGrid>
        <w:gridCol w:w="731"/>
        <w:gridCol w:w="643"/>
        <w:gridCol w:w="646"/>
        <w:gridCol w:w="133"/>
        <w:gridCol w:w="133"/>
        <w:gridCol w:w="135"/>
        <w:gridCol w:w="2287"/>
        <w:gridCol w:w="2277"/>
        <w:gridCol w:w="3220"/>
      </w:tblGrid>
      <w:tr>
        <w:trPr/>
        <w:tc>
          <w:tcPr>
            <w:tcW w:w="73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287"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7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C. Herbers</w:t>
            </w:r>
          </w:p>
        </w:tc>
      </w:tr>
      <w:tr>
        <w:trPr/>
        <w:tc>
          <w:tcPr>
            <w:tcW w:w="2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C. Herbers</w:t>
            </w:r>
          </w:p>
        </w:tc>
      </w:tr>
      <w:tr>
        <w:trPr/>
        <w:tc>
          <w:tcPr>
            <w:tcW w:w="20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Financial Officer, 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Clover Health Investments, Corp. (the “Company”) on Form 10-K for the year ended December 31, 2021,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4618" w:type="dxa"/>
        <w:jc w:val="left"/>
        <w:tblInd w:w="0" w:type="dxa"/>
        <w:tblCellMar>
          <w:top w:w="28" w:type="dxa"/>
          <w:left w:w="28" w:type="dxa"/>
          <w:bottom w:w="28" w:type="dxa"/>
          <w:right w:w="28" w:type="dxa"/>
        </w:tblCellMar>
      </w:tblPr>
      <w:tblGrid>
        <w:gridCol w:w="754"/>
        <w:gridCol w:w="664"/>
        <w:gridCol w:w="667"/>
        <w:gridCol w:w="134"/>
        <w:gridCol w:w="134"/>
        <w:gridCol w:w="136"/>
        <w:gridCol w:w="622"/>
        <w:gridCol w:w="622"/>
        <w:gridCol w:w="885"/>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Vivek Garipalli</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Clover Health Investments, Corp. (the “Company”) on Form 10-K for the year ended December 31, 2021,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10205" w:type="dxa"/>
        <w:jc w:val="left"/>
        <w:tblInd w:w="0" w:type="dxa"/>
        <w:tblCellMar>
          <w:top w:w="28" w:type="dxa"/>
          <w:left w:w="28" w:type="dxa"/>
          <w:bottom w:w="28" w:type="dxa"/>
          <w:right w:w="28" w:type="dxa"/>
        </w:tblCellMar>
      </w:tblPr>
      <w:tblGrid>
        <w:gridCol w:w="762"/>
        <w:gridCol w:w="669"/>
        <w:gridCol w:w="675"/>
        <w:gridCol w:w="132"/>
        <w:gridCol w:w="132"/>
        <w:gridCol w:w="134"/>
        <w:gridCol w:w="2264"/>
        <w:gridCol w:w="2251"/>
        <w:gridCol w:w="3186"/>
      </w:tblGrid>
      <w:tr>
        <w:trPr/>
        <w:tc>
          <w:tcPr>
            <w:tcW w:w="762"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264"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3186" w:type="dxa"/>
            <w:tcBorders/>
            <w:shd w:fill="auto" w:val="clear"/>
            <w:vAlign w:val="center"/>
          </w:tcPr>
          <w:p>
            <w:pPr>
              <w:pStyle w:val="TableContents"/>
              <w:spacing w:before="0" w:after="283"/>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2022</w:t>
            </w:r>
          </w:p>
        </w:tc>
        <w:tc>
          <w:tcPr>
            <w:tcW w:w="3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7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C. Herbers</w:t>
            </w:r>
          </w:p>
        </w:tc>
      </w:tr>
      <w:tr>
        <w:trPr/>
        <w:tc>
          <w:tcPr>
            <w:tcW w:w="2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 C. Herbers</w:t>
            </w:r>
          </w:p>
        </w:tc>
      </w:tr>
      <w:tr>
        <w:trPr/>
        <w:tc>
          <w:tcPr>
            <w:tcW w:w="21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Interim Chief Financial Officer, Principal Financial Officer, and Principal Accounting Officer</w:t>
            </w:r>
          </w:p>
        </w:tc>
      </w:tr>
    </w:tbl>
    <w:p>
      <w:pPr>
        <w:pStyle w:val="TextBody"/>
        <w:spacing w:before="0" w:after="283"/>
        <w:ind w:left="0" w:right="0" w:hanging="490"/>
        <w:rPr/>
      </w:pPr>
      <w:r>
        <w:br w:type="page"/>
      </w: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1170/000110465920112403/tm2032431d1_ex2-1.htm" TargetMode="External"/><Relationship Id="rId4" Type="http://schemas.openxmlformats.org/officeDocument/2006/relationships/hyperlink" Target="https://www.sec.gov/Archives/edgar/data/1801170/000119312520314423/d14732dex21.htm" TargetMode="External"/><Relationship Id="rId5" Type="http://schemas.openxmlformats.org/officeDocument/2006/relationships/hyperlink" Target="https://www.sec.gov/Archives/edgar/data/1801170/000119312521007348/d63659dex31.htm" TargetMode="External"/><Relationship Id="rId6" Type="http://schemas.openxmlformats.org/officeDocument/2006/relationships/hyperlink" Target="https://www.sec.gov/Archives/edgar/data/1801170/000119312521007348/d63659dex32.htm" TargetMode="External"/><Relationship Id="rId7" Type="http://schemas.openxmlformats.org/officeDocument/2006/relationships/hyperlink" Target="https://www.sec.gov/Archives/edgar/data/1801170/000119312520298445/d69158dex45.htm" TargetMode="External"/><Relationship Id="rId8" Type="http://schemas.openxmlformats.org/officeDocument/2006/relationships/hyperlink" Target="https://www.sec.gov/Archives/edgar/data/1801170/000119312520298445/d69158dex46.htm" TargetMode="External"/><Relationship Id="rId9" Type="http://schemas.openxmlformats.org/officeDocument/2006/relationships/hyperlink" Target="https://www.sec.gov/Archives/edgar/data/1801170/000119312521007348/d63659dex102.htm" TargetMode="External"/><Relationship Id="rId10" Type="http://schemas.openxmlformats.org/officeDocument/2006/relationships/hyperlink" Target="https://www.sec.gov/Archives/edgar/data/1801170/000119312520272347/d69158dex1015.htm" TargetMode="External"/><Relationship Id="rId11" Type="http://schemas.openxmlformats.org/officeDocument/2006/relationships/hyperlink" Target="https://www.sec.gov/Archives/edgar/data/1801170/000119312521007348/d63659dex104.htm" TargetMode="External"/><Relationship Id="rId12" Type="http://schemas.openxmlformats.org/officeDocument/2006/relationships/hyperlink" Target="https://www.sec.gov/Archives/edgar/data/1801170/000119312521007348/d63659dex105.htm" TargetMode="External"/><Relationship Id="rId13" Type="http://schemas.openxmlformats.org/officeDocument/2006/relationships/hyperlink" Target="https://www.sec.gov/Archives/edgar/data/1801170/000119312521007348/d63659dex106.htm" TargetMode="External"/><Relationship Id="rId14" Type="http://schemas.openxmlformats.org/officeDocument/2006/relationships/hyperlink" Target="https://www.sec.gov/Archives/edgar/data/1801170/000119312521007348/d63659dex107.htm" TargetMode="External"/><Relationship Id="rId15" Type="http://schemas.openxmlformats.org/officeDocument/2006/relationships/hyperlink" Target="https://www.sec.gov/Archives/edgar/data/1801170/000119312521007348/d63659dex108.htm" TargetMode="External"/><Relationship Id="rId16" Type="http://schemas.openxmlformats.org/officeDocument/2006/relationships/hyperlink" Target="https://www.sec.gov/Archives/edgar/data/1801170/000119312521007348/d63659dex109.htm" TargetMode="External"/><Relationship Id="rId17" Type="http://schemas.openxmlformats.org/officeDocument/2006/relationships/hyperlink" Target="https://www.sec.gov/Archives/edgar/data/1801170/000119312521007348/d63659dex1010.htm" TargetMode="External"/><Relationship Id="rId18" Type="http://schemas.openxmlformats.org/officeDocument/2006/relationships/hyperlink" Target="https://www.sec.gov/Archives/edgar/data/1801170/000180117021000036/letteragreementbyandbetwee.htm" TargetMode="External"/><Relationship Id="rId19" Type="http://schemas.openxmlformats.org/officeDocument/2006/relationships/hyperlink" Target="https://www.sec.gov/Archives/edgar/data/1801170/000180117021000036/agreementfortheprovisionof.htm" TargetMode="External"/><Relationship Id="rId20" Type="http://schemas.openxmlformats.org/officeDocument/2006/relationships/hyperlink" Target="https://www.sec.gov/Archives/edgar/data/1801170/000119312521007348/d63659dex211.htm" TargetMode="External"/><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96</Pages>
  <Words>152037</Words>
  <CharactersWithSpaces>994863</CharactersWithSpaces>
  <Paragraphs>6919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