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001-39252</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8"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98-1515192</w:t>
            </w:r>
          </w:p>
        </w:tc>
      </w:tr>
      <w:tr>
        <w:trPr>
          <w:trHeight w:val="157"/>
        </w:trPr>
        <w:tc>
          <w:tcPr>
            <w:tcW w:w="4780" w:type="dxa"/>
            <w:vAlign w:val="bottom"/>
          </w:tcPr>
          <w:p>
            <w:pPr>
              <w:jc w:val="center"/>
              <w:ind w:right="1764"/>
              <w:spacing w:after="0"/>
              <w:rPr>
                <w:sz w:val="20"/>
                <w:szCs w:val="20"/>
                <w:color w:val="auto"/>
              </w:rPr>
            </w:pPr>
            <w:r>
              <w:rPr>
                <w:rFonts w:ascii="Arial" w:cs="Arial" w:eastAsia="Arial" w:hAnsi="Arial"/>
                <w:sz w:val="13"/>
                <w:szCs w:val="13"/>
                <w:b w:val="1"/>
                <w:bCs w:val="1"/>
                <w:color w:val="auto"/>
                <w:w w:val="88"/>
              </w:rPr>
              <w:t>(State or other jurisdiction of</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8"/>
              </w:rPr>
              <w:t>incorporation or organization)</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89"/>
              </w:rPr>
              <w:t>Identification No.)</w:t>
            </w:r>
          </w:p>
        </w:tc>
      </w:tr>
      <w:tr>
        <w:trPr>
          <w:trHeight w:val="551"/>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89"/>
              </w:rPr>
              <w:t>725 Cool Springs Boulevard, Suite 320</w:t>
            </w:r>
          </w:p>
        </w:tc>
        <w:tc>
          <w:tcPr>
            <w:tcW w:w="2800" w:type="dxa"/>
            <w:vAlign w:val="bottom"/>
          </w:tcPr>
          <w:p>
            <w:pPr>
              <w:spacing w:after="0"/>
              <w:rPr>
                <w:sz w:val="24"/>
                <w:szCs w:val="24"/>
                <w:color w:val="auto"/>
              </w:rPr>
            </w:pPr>
          </w:p>
        </w:tc>
      </w:tr>
      <w:tr>
        <w:trPr>
          <w:trHeight w:val="270"/>
        </w:trPr>
        <w:tc>
          <w:tcPr>
            <w:tcW w:w="478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Franklin, Tennessee</w:t>
            </w:r>
          </w:p>
        </w:tc>
        <w:tc>
          <w:tcPr>
            <w:tcW w:w="2800" w:type="dxa"/>
            <w:vAlign w:val="bottom"/>
          </w:tcPr>
          <w:p>
            <w:pPr>
              <w:jc w:val="right"/>
              <w:ind w:right="186"/>
              <w:spacing w:after="0"/>
              <w:rPr>
                <w:sz w:val="20"/>
                <w:szCs w:val="20"/>
                <w:color w:val="auto"/>
              </w:rPr>
            </w:pPr>
            <w:r>
              <w:rPr>
                <w:rFonts w:ascii="Arial" w:cs="Arial" w:eastAsia="Arial" w:hAnsi="Arial"/>
                <w:sz w:val="18"/>
                <w:szCs w:val="18"/>
                <w:b w:val="1"/>
                <w:bCs w:val="1"/>
                <w:color w:val="auto"/>
              </w:rPr>
              <w:t>37067</w:t>
            </w:r>
          </w:p>
        </w:tc>
      </w:tr>
      <w:tr>
        <w:trPr>
          <w:trHeight w:val="164"/>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(201) 432-2133</w:t>
      </w:r>
    </w:p>
    <w:p>
      <w:pPr>
        <w:spacing w:after="0" w:line="132"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spacing w:after="0"/>
              <w:rPr>
                <w:sz w:val="14"/>
                <w:szCs w:val="14"/>
                <w:color w:val="auto"/>
              </w:rPr>
            </w:pPr>
          </w:p>
        </w:tc>
      </w:tr>
      <w:tr>
        <w:trPr>
          <w:trHeight w:val="206"/>
        </w:trPr>
        <w:tc>
          <w:tcPr>
            <w:tcW w:w="4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CLOV</w:t>
            </w:r>
          </w:p>
        </w:tc>
        <w:tc>
          <w:tcPr>
            <w:tcW w:w="8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168"/>
        </w:trPr>
        <w:tc>
          <w:tcPr>
            <w:tcW w:w="4560" w:type="dxa"/>
            <w:vAlign w:val="bottom"/>
            <w:gridSpan w:val="2"/>
          </w:tcPr>
          <w:p>
            <w:pPr>
              <w:jc w:val="center"/>
              <w:ind w:right="80"/>
              <w:spacing w:after="0" w:line="168" w:lineRule="exact"/>
              <w:rPr>
                <w:sz w:val="20"/>
                <w:szCs w:val="20"/>
                <w:color w:val="auto"/>
              </w:rPr>
            </w:pPr>
            <w:r>
              <w:rPr>
                <w:rFonts w:ascii="Arial" w:cs="Arial" w:eastAsia="Arial" w:hAnsi="Arial"/>
                <w:sz w:val="16"/>
                <w:szCs w:val="16"/>
                <w:b w:val="1"/>
                <w:bCs w:val="1"/>
                <w:color w:val="auto"/>
                <w:w w:val="90"/>
              </w:rPr>
              <w:t>Redeemable Warrants, each whole warrant exercisable for one</w:t>
            </w:r>
          </w:p>
        </w:tc>
        <w:tc>
          <w:tcPr>
            <w:tcW w:w="2160" w:type="dxa"/>
            <w:vAlign w:val="bottom"/>
            <w:gridSpan w:val="2"/>
          </w:tcPr>
          <w:p>
            <w:pPr>
              <w:jc w:val="center"/>
              <w:ind w:right="80"/>
              <w:spacing w:after="0" w:line="168" w:lineRule="exact"/>
              <w:rPr>
                <w:sz w:val="20"/>
                <w:szCs w:val="20"/>
                <w:color w:val="auto"/>
              </w:rPr>
            </w:pPr>
            <w:r>
              <w:rPr>
                <w:rFonts w:ascii="Arial" w:cs="Arial" w:eastAsia="Arial" w:hAnsi="Arial"/>
                <w:sz w:val="16"/>
                <w:szCs w:val="16"/>
                <w:b w:val="1"/>
                <w:bCs w:val="1"/>
                <w:color w:val="auto"/>
              </w:rPr>
              <w:t>CLOVW</w:t>
            </w:r>
          </w:p>
        </w:tc>
        <w:tc>
          <w:tcPr>
            <w:tcW w:w="45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7"/>
              </w:rPr>
              <w:t>The NASDAQ Stock Market LLC</w:t>
            </w:r>
          </w:p>
        </w:tc>
      </w:tr>
      <w:tr>
        <w:trPr>
          <w:trHeight w:val="210"/>
        </w:trPr>
        <w:tc>
          <w:tcPr>
            <w:tcW w:w="4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share of Class A Common Stock at an exercise price of $11.50</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Pr>
          <w:p>
            <w:pPr>
              <w:spacing w:after="0"/>
              <w:rPr>
                <w:sz w:val="18"/>
                <w:szCs w:val="18"/>
                <w:color w:val="auto"/>
              </w:rPr>
            </w:pPr>
          </w:p>
        </w:tc>
      </w:tr>
    </w:tbl>
    <w:p>
      <w:pPr>
        <w:spacing w:after="0" w:line="185"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700" w:val="left"/>
        </w:tabs>
        <w:rPr>
          <w:sz w:val="20"/>
          <w:szCs w:val="20"/>
          <w:color w:val="auto"/>
        </w:rPr>
      </w:pPr>
      <w:r>
        <w:rPr>
          <w:rFonts w:ascii="Arial" w:cs="Arial" w:eastAsia="Arial" w:hAnsi="Arial"/>
          <w:sz w:val="16"/>
          <w:szCs w:val="16"/>
          <w:color w:val="auto"/>
        </w:rPr>
        <w:t>Yes x</w:t>
        <w:tab/>
        <w:t>No o</w:t>
      </w:r>
    </w:p>
    <w:p>
      <w:pPr>
        <w:spacing w:after="0" w:line="101" w:lineRule="exact"/>
        <w:rPr>
          <w:sz w:val="24"/>
          <w:szCs w:val="24"/>
          <w:color w:val="auto"/>
        </w:rPr>
      </w:pPr>
    </w:p>
    <w:p>
      <w:pPr>
        <w:ind w:right="40" w:firstLine="648"/>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22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ind w:right="440" w:firstLine="648"/>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660"/>
        <w:spacing w:after="0"/>
        <w:tabs>
          <w:tab w:leader="none" w:pos="820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3" w:lineRule="exact"/>
        <w:rPr>
          <w:sz w:val="24"/>
          <w:szCs w:val="24"/>
          <w:color w:val="auto"/>
        </w:rPr>
      </w:pPr>
    </w:p>
    <w:p>
      <w:pPr>
        <w:ind w:right="60" w:firstLine="648"/>
        <w:spacing w:after="0" w:line="275" w:lineRule="auto"/>
        <w:rPr>
          <w:sz w:val="20"/>
          <w:szCs w:val="20"/>
          <w:color w:val="auto"/>
        </w:rPr>
      </w:pPr>
      <w:r>
        <w:rPr>
          <w:rFonts w:ascii="Arial" w:cs="Arial" w:eastAsia="Arial" w:hAnsi="Arial"/>
          <w:sz w:val="16"/>
          <w:szCs w:val="16"/>
          <w:color w:val="auto"/>
        </w:rPr>
        <w:t>As of August 6, 2021, the registrant had 235,874,471 shares of Class A Common Stock, $0.0001 par value per share, and 174,738,155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8" w:right="339" w:bottom="102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02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gridSpan w:val="8"/>
          </w:tcPr>
          <w:p>
            <w:pPr>
              <w:ind w:left="560"/>
              <w:spacing w:after="0"/>
              <w:rPr>
                <w:sz w:val="20"/>
                <w:szCs w:val="20"/>
                <w:color w:val="auto"/>
              </w:rPr>
            </w:pPr>
            <w:r>
              <w:rPr>
                <w:rFonts w:ascii="Arial" w:cs="Arial" w:eastAsia="Arial" w:hAnsi="Arial"/>
                <w:sz w:val="18"/>
                <w:szCs w:val="18"/>
                <w:b w:val="1"/>
                <w:bCs w:val="1"/>
                <w:color w:val="auto"/>
              </w:rPr>
              <w:t>Table of Contents</w:t>
            </w:r>
          </w:p>
        </w:tc>
      </w:tr>
      <w:tr>
        <w:trPr>
          <w:trHeight w:val="837"/>
        </w:trPr>
        <w:tc>
          <w:tcPr>
            <w:tcW w:w="1040" w:type="dxa"/>
            <w:vAlign w:val="bottom"/>
            <w:gridSpan w:val="2"/>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2260" w:type="dxa"/>
            <w:vAlign w:val="bottom"/>
            <w:tcBorders>
              <w:bottom w:val="single" w:sz="8" w:color="0563C1"/>
            </w:tcBorders>
            <w:gridSpan w:val="9"/>
          </w:tcPr>
          <w:p>
            <w:pPr>
              <w:spacing w:after="0"/>
              <w:rPr>
                <w:rFonts w:ascii="Arial" w:cs="Arial" w:eastAsia="Arial" w:hAnsi="Arial"/>
                <w:sz w:val="18"/>
                <w:szCs w:val="18"/>
                <w:color w:val="0563C1"/>
                <w:w w:val="99"/>
              </w:rPr>
            </w:pPr>
            <w:hyperlink w:anchor="page4">
              <w:r>
                <w:rPr>
                  <w:rFonts w:ascii="Arial" w:cs="Arial" w:eastAsia="Arial" w:hAnsi="Arial"/>
                  <w:sz w:val="18"/>
                  <w:szCs w:val="18"/>
                  <w:color w:val="0563C1"/>
                  <w:w w:val="99"/>
                </w:rPr>
                <w:t>FINANCIAL INFORMATION</w:t>
              </w:r>
            </w:hyperlink>
          </w:p>
        </w:tc>
        <w:tc>
          <w:tcPr>
            <w:tcW w:w="6940" w:type="dxa"/>
            <w:vAlign w:val="bottom"/>
            <w:gridSpan w:val="11"/>
          </w:tcPr>
          <w:p>
            <w:pPr>
              <w:spacing w:after="0"/>
              <w:rPr>
                <w:sz w:val="24"/>
                <w:szCs w:val="24"/>
                <w:color w:val="auto"/>
              </w:rPr>
            </w:pPr>
          </w:p>
        </w:tc>
      </w:tr>
      <w:tr>
        <w:trPr>
          <w:trHeight w:val="453"/>
        </w:trPr>
        <w:tc>
          <w:tcPr>
            <w:tcW w:w="104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200" w:type="dxa"/>
            <w:vAlign w:val="bottom"/>
            <w:gridSpan w:val="20"/>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Statements (Unaudited)</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gridSpan w:val="20"/>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Balance Sheets at June 30, 2021 and December 31, 2020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0" w:type="dxa"/>
            <w:vAlign w:val="bottom"/>
            <w:gridSpan w:val="2"/>
            <w:shd w:val="clear" w:color="auto" w:fill="0563C1"/>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120" w:type="dxa"/>
            <w:vAlign w:val="bottom"/>
            <w:tcBorders>
              <w:bottom w:val="single" w:sz="8" w:color="0563C1"/>
            </w:tcBorders>
            <w:gridSpan w:val="19"/>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Condensed Consolidated Statements of Operations and Comprehensive Loss for the three and six months ended June 30, 2021</w:t>
              </w:r>
            </w:hyperlink>
          </w:p>
        </w:tc>
        <w:tc>
          <w:tcPr>
            <w:tcW w:w="80" w:type="dxa"/>
            <w:vAlign w:val="bottom"/>
          </w:tcPr>
          <w:p>
            <w:pPr>
              <w:spacing w:after="0"/>
              <w:rPr>
                <w:sz w:val="21"/>
                <w:szCs w:val="2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0563C1"/>
            </w:tcBorders>
            <w:gridSpan w:val="2"/>
          </w:tcPr>
          <w:p>
            <w:pPr>
              <w:spacing w:after="0" w:line="196" w:lineRule="exact"/>
              <w:rPr>
                <w:rFonts w:ascii="Arial" w:cs="Arial" w:eastAsia="Arial" w:hAnsi="Arial"/>
                <w:sz w:val="18"/>
                <w:szCs w:val="18"/>
                <w:color w:val="0563C1"/>
                <w:w w:val="87"/>
              </w:rPr>
            </w:pPr>
            <w:hyperlink w:anchor="page6">
              <w:r>
                <w:rPr>
                  <w:rFonts w:ascii="Arial" w:cs="Arial" w:eastAsia="Arial" w:hAnsi="Arial"/>
                  <w:sz w:val="18"/>
                  <w:szCs w:val="18"/>
                  <w:color w:val="0563C1"/>
                  <w:w w:val="87"/>
                </w:rPr>
                <w:t>and 2020</w:t>
              </w:r>
            </w:hyperlink>
          </w:p>
        </w:tc>
        <w:tc>
          <w:tcPr>
            <w:tcW w:w="8520" w:type="dxa"/>
            <w:vAlign w:val="bottom"/>
            <w:gridSpan w:val="18"/>
          </w:tcPr>
          <w:p>
            <w:pPr>
              <w:spacing w:after="0"/>
              <w:rPr>
                <w:sz w:val="17"/>
                <w:szCs w:val="17"/>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tcBorders>
              <w:bottom w:val="single" w:sz="8" w:color="0563C1"/>
            </w:tcBorders>
            <w:gridSpan w:val="20"/>
          </w:tcPr>
          <w:p>
            <w:pPr>
              <w:spacing w:after="0"/>
              <w:rPr>
                <w:rFonts w:ascii="Arial" w:cs="Arial" w:eastAsia="Arial" w:hAnsi="Arial"/>
                <w:sz w:val="18"/>
                <w:szCs w:val="18"/>
                <w:color w:val="0563C1"/>
                <w:w w:val="90"/>
              </w:rPr>
            </w:pPr>
            <w:hyperlink w:anchor="page7">
              <w:r>
                <w:rPr>
                  <w:rFonts w:ascii="Arial" w:cs="Arial" w:eastAsia="Arial" w:hAnsi="Arial"/>
                  <w:sz w:val="18"/>
                  <w:szCs w:val="18"/>
                  <w:color w:val="0563C1"/>
                  <w:w w:val="90"/>
                </w:rPr>
                <w:t>Condensed Consolidated Statements of Changes in Convertible Preferred Stock and Stockholders’ Equity (Deficit) for the three</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0" w:type="dxa"/>
            <w:vAlign w:val="bottom"/>
            <w:gridSpan w:val="20"/>
          </w:tcPr>
          <w:p>
            <w:pPr>
              <w:spacing w:after="0" w:line="196" w:lineRule="exact"/>
              <w:rPr>
                <w:rFonts w:ascii="Arial" w:cs="Arial" w:eastAsia="Arial" w:hAnsi="Arial"/>
                <w:sz w:val="18"/>
                <w:szCs w:val="18"/>
                <w:color w:val="0563C1"/>
              </w:rPr>
            </w:pPr>
            <w:hyperlink w:anchor="page7">
              <w:r>
                <w:rPr>
                  <w:rFonts w:ascii="Arial" w:cs="Arial" w:eastAsia="Arial" w:hAnsi="Arial"/>
                  <w:sz w:val="18"/>
                  <w:szCs w:val="18"/>
                  <w:color w:val="0563C1"/>
                </w:rPr>
                <w:t>and six months ended June 30, 2021 and 2020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00" w:type="dxa"/>
            <w:vAlign w:val="bottom"/>
            <w:gridSpan w:val="2"/>
            <w:shd w:val="clear" w:color="auto" w:fill="0563C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gridSpan w:val="20"/>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Condensed Consolidated Statements of Cash Flows for the six months ended June 30, 2021 and 2020</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0" w:type="dxa"/>
            <w:vAlign w:val="bottom"/>
            <w:tcBorders>
              <w:top w:val="single" w:sz="8" w:color="0563C1"/>
              <w:bottom w:val="single" w:sz="8" w:color="0563C1"/>
            </w:tcBorders>
            <w:gridSpan w:val="15"/>
          </w:tcPr>
          <w:p>
            <w:pPr>
              <w:spacing w:after="0"/>
              <w:rPr>
                <w:rFonts w:ascii="Arial" w:cs="Arial" w:eastAsia="Arial" w:hAnsi="Arial"/>
                <w:sz w:val="18"/>
                <w:szCs w:val="18"/>
                <w:color w:val="0563C1"/>
                <w:w w:val="89"/>
              </w:rPr>
            </w:pPr>
            <w:hyperlink w:anchor="page10">
              <w:r>
                <w:rPr>
                  <w:rFonts w:ascii="Arial" w:cs="Arial" w:eastAsia="Arial" w:hAnsi="Arial"/>
                  <w:sz w:val="18"/>
                  <w:szCs w:val="18"/>
                  <w:color w:val="0563C1"/>
                  <w:w w:val="89"/>
                </w:rPr>
                <w:t>Notes to Unaudited Condensed Consolidated Financial Statements</w:t>
              </w:r>
            </w:hyperlink>
          </w:p>
        </w:tc>
        <w:tc>
          <w:tcPr>
            <w:tcW w:w="2500" w:type="dxa"/>
            <w:vAlign w:val="bottom"/>
            <w:tcBorders>
              <w:top w:val="single" w:sz="8" w:color="0563C1"/>
            </w:tcBorders>
            <w:gridSpan w:val="3"/>
          </w:tcPr>
          <w:p>
            <w:pPr>
              <w:spacing w:after="0"/>
              <w:rPr>
                <w:sz w:val="21"/>
                <w:szCs w:val="21"/>
                <w:color w:val="auto"/>
              </w:rPr>
            </w:pPr>
          </w:p>
        </w:tc>
        <w:tc>
          <w:tcPr>
            <w:tcW w:w="1900" w:type="dxa"/>
            <w:vAlign w:val="bottom"/>
            <w:gridSpan w:val="2"/>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9200" w:type="dxa"/>
            <w:vAlign w:val="bottom"/>
            <w:gridSpan w:val="20"/>
          </w:tcPr>
          <w:p>
            <w:pPr>
              <w:spacing w:after="0"/>
              <w:rPr>
                <w:rFonts w:ascii="Arial" w:cs="Arial" w:eastAsia="Arial" w:hAnsi="Arial"/>
                <w:sz w:val="18"/>
                <w:szCs w:val="18"/>
                <w:color w:val="0563C1"/>
              </w:rPr>
            </w:pPr>
            <w:hyperlink w:anchor="page36">
              <w:r>
                <w:rPr>
                  <w:rFonts w:ascii="Arial" w:cs="Arial" w:eastAsia="Arial" w:hAnsi="Arial"/>
                  <w:sz w:val="18"/>
                  <w:szCs w:val="18"/>
                  <w:color w:val="0563C1"/>
                </w:rPr>
                <w:t>Management’s Discussion and Analysis of Financial Condition and Results of Operations</w:t>
              </w:r>
            </w:hyperlink>
          </w:p>
        </w:tc>
      </w:tr>
      <w:tr>
        <w:trPr>
          <w:trHeight w:val="250"/>
        </w:trPr>
        <w:tc>
          <w:tcPr>
            <w:tcW w:w="104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438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2"/>
              </w:rPr>
            </w:pPr>
            <w:hyperlink w:anchor="page51">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3"/>
          </w:tcPr>
          <w:p>
            <w:pPr>
              <w:spacing w:after="0"/>
              <w:rPr>
                <w:sz w:val="21"/>
                <w:szCs w:val="21"/>
                <w:color w:val="auto"/>
              </w:rPr>
            </w:pPr>
          </w:p>
        </w:tc>
        <w:tc>
          <w:tcPr>
            <w:tcW w:w="2740" w:type="dxa"/>
            <w:vAlign w:val="bottom"/>
            <w:gridSpan w:val="3"/>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4.</w:t>
              </w:r>
            </w:hyperlink>
          </w:p>
        </w:tc>
        <w:tc>
          <w:tcPr>
            <w:tcW w:w="1800" w:type="dxa"/>
            <w:vAlign w:val="bottom"/>
            <w:tcBorders>
              <w:bottom w:val="single" w:sz="8" w:color="0563C1"/>
            </w:tcBorders>
            <w:gridSpan w:val="7"/>
          </w:tcPr>
          <w:p>
            <w:pPr>
              <w:spacing w:after="0"/>
              <w:rPr>
                <w:rFonts w:ascii="Arial" w:cs="Arial" w:eastAsia="Arial" w:hAnsi="Arial"/>
                <w:sz w:val="18"/>
                <w:szCs w:val="18"/>
                <w:color w:val="0563C1"/>
                <w:w w:val="89"/>
              </w:rPr>
            </w:pPr>
            <w:hyperlink w:anchor="page52">
              <w:r>
                <w:rPr>
                  <w:rFonts w:ascii="Arial" w:cs="Arial" w:eastAsia="Arial" w:hAnsi="Arial"/>
                  <w:sz w:val="18"/>
                  <w:szCs w:val="18"/>
                  <w:color w:val="0563C1"/>
                  <w:w w:val="89"/>
                </w:rPr>
                <w:t>Controls and Procedures</w:t>
              </w:r>
            </w:hyperlink>
          </w:p>
        </w:tc>
        <w:tc>
          <w:tcPr>
            <w:tcW w:w="7400" w:type="dxa"/>
            <w:vAlign w:val="bottom"/>
            <w:gridSpan w:val="13"/>
          </w:tcPr>
          <w:p>
            <w:pPr>
              <w:spacing w:after="0"/>
              <w:rPr>
                <w:sz w:val="21"/>
                <w:szCs w:val="21"/>
                <w:color w:val="auto"/>
              </w:rPr>
            </w:pPr>
          </w:p>
        </w:tc>
      </w:tr>
      <w:tr>
        <w:trPr>
          <w:trHeight w:val="466"/>
        </w:trPr>
        <w:tc>
          <w:tcPr>
            <w:tcW w:w="1040" w:type="dxa"/>
            <w:vAlign w:val="bottom"/>
            <w:gridSpan w:val="2"/>
          </w:tcPr>
          <w:p>
            <w:pPr>
              <w:spacing w:after="0"/>
              <w:rPr>
                <w:rFonts w:ascii="Arial" w:cs="Arial" w:eastAsia="Arial" w:hAnsi="Arial"/>
                <w:sz w:val="18"/>
                <w:szCs w:val="18"/>
                <w:b w:val="1"/>
                <w:bCs w:val="1"/>
                <w:color w:val="auto"/>
              </w:rPr>
            </w:pPr>
            <w:hyperlink w:anchor="page53">
              <w:r>
                <w:rPr>
                  <w:rFonts w:ascii="Arial" w:cs="Arial" w:eastAsia="Arial" w:hAnsi="Arial"/>
                  <w:sz w:val="18"/>
                  <w:szCs w:val="18"/>
                  <w:b w:val="1"/>
                  <w:bCs w:val="1"/>
                  <w:color w:val="auto"/>
                </w:rPr>
                <w:t>PART II.</w:t>
              </w:r>
            </w:hyperlink>
          </w:p>
        </w:tc>
        <w:tc>
          <w:tcPr>
            <w:tcW w:w="9200" w:type="dxa"/>
            <w:vAlign w:val="bottom"/>
            <w:gridSpan w:val="20"/>
          </w:tcPr>
          <w:p>
            <w:pPr>
              <w:spacing w:after="0"/>
              <w:rPr>
                <w:rFonts w:ascii="Arial" w:cs="Arial" w:eastAsia="Arial" w:hAnsi="Arial"/>
                <w:sz w:val="18"/>
                <w:szCs w:val="18"/>
                <w:color w:val="0563C1"/>
              </w:rPr>
            </w:pPr>
            <w:hyperlink w:anchor="page53">
              <w:r>
                <w:rPr>
                  <w:rFonts w:ascii="Arial" w:cs="Arial" w:eastAsia="Arial" w:hAnsi="Arial"/>
                  <w:sz w:val="18"/>
                  <w:szCs w:val="18"/>
                  <w:color w:val="0563C1"/>
                </w:rPr>
                <w:t>OTHER INFORMATION</w:t>
              </w:r>
            </w:hyperlink>
          </w:p>
        </w:tc>
      </w:tr>
      <w:tr>
        <w:trPr>
          <w:trHeight w:val="466"/>
        </w:trPr>
        <w:tc>
          <w:tcPr>
            <w:tcW w:w="104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w:t>
              </w:r>
            </w:hyperlink>
          </w:p>
        </w:tc>
        <w:tc>
          <w:tcPr>
            <w:tcW w:w="1340" w:type="dxa"/>
            <w:vAlign w:val="bottom"/>
            <w:tcBorders>
              <w:top w:val="single" w:sz="8" w:color="0563C1"/>
              <w:bottom w:val="single" w:sz="8" w:color="0563C1"/>
            </w:tcBorders>
            <w:gridSpan w:val="5"/>
          </w:tcPr>
          <w:p>
            <w:pPr>
              <w:spacing w:after="0"/>
              <w:rPr>
                <w:rFonts w:ascii="Arial" w:cs="Arial" w:eastAsia="Arial" w:hAnsi="Arial"/>
                <w:sz w:val="18"/>
                <w:szCs w:val="18"/>
                <w:color w:val="0563C1"/>
                <w:w w:val="88"/>
              </w:rPr>
            </w:pPr>
            <w:hyperlink w:anchor="page53">
              <w:r>
                <w:rPr>
                  <w:rFonts w:ascii="Arial" w:cs="Arial" w:eastAsia="Arial" w:hAnsi="Arial"/>
                  <w:sz w:val="18"/>
                  <w:szCs w:val="18"/>
                  <w:color w:val="0563C1"/>
                  <w:w w:val="88"/>
                </w:rPr>
                <w:t>Legal Proceedings</w:t>
              </w:r>
            </w:hyperlink>
          </w:p>
        </w:tc>
        <w:tc>
          <w:tcPr>
            <w:tcW w:w="540" w:type="dxa"/>
            <w:vAlign w:val="bottom"/>
            <w:tcBorders>
              <w:top w:val="single" w:sz="8" w:color="0563C1"/>
            </w:tcBorders>
            <w:gridSpan w:val="3"/>
          </w:tcPr>
          <w:p>
            <w:pPr>
              <w:spacing w:after="0"/>
              <w:rPr>
                <w:sz w:val="24"/>
                <w:szCs w:val="24"/>
                <w:color w:val="auto"/>
              </w:rPr>
            </w:pPr>
          </w:p>
        </w:tc>
        <w:tc>
          <w:tcPr>
            <w:tcW w:w="7320" w:type="dxa"/>
            <w:vAlign w:val="bottom"/>
            <w:gridSpan w:val="12"/>
          </w:tcPr>
          <w:p>
            <w:pPr>
              <w:spacing w:after="0"/>
              <w:rPr>
                <w:sz w:val="24"/>
                <w:szCs w:val="24"/>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1A.</w:t>
              </w:r>
            </w:hyperlink>
          </w:p>
        </w:tc>
        <w:tc>
          <w:tcPr>
            <w:tcW w:w="920" w:type="dxa"/>
            <w:vAlign w:val="bottom"/>
            <w:tcBorders>
              <w:bottom w:val="single" w:sz="8" w:color="0563C1"/>
            </w:tcBorders>
            <w:gridSpan w:val="3"/>
          </w:tcPr>
          <w:p>
            <w:pPr>
              <w:spacing w:after="0"/>
              <w:rPr>
                <w:rFonts w:ascii="Arial" w:cs="Arial" w:eastAsia="Arial" w:hAnsi="Arial"/>
                <w:sz w:val="18"/>
                <w:szCs w:val="18"/>
                <w:color w:val="0563C1"/>
                <w:w w:val="89"/>
              </w:rPr>
            </w:pPr>
            <w:hyperlink w:anchor="page53">
              <w:r>
                <w:rPr>
                  <w:rFonts w:ascii="Arial" w:cs="Arial" w:eastAsia="Arial" w:hAnsi="Arial"/>
                  <w:sz w:val="18"/>
                  <w:szCs w:val="18"/>
                  <w:color w:val="0563C1"/>
                  <w:w w:val="89"/>
                </w:rPr>
                <w:t>Risk Factors</w:t>
              </w:r>
            </w:hyperlink>
          </w:p>
        </w:tc>
        <w:tc>
          <w:tcPr>
            <w:tcW w:w="8280" w:type="dxa"/>
            <w:vAlign w:val="bottom"/>
            <w:gridSpan w:val="17"/>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2.</w:t>
              </w:r>
            </w:hyperlink>
          </w:p>
        </w:tc>
        <w:tc>
          <w:tcPr>
            <w:tcW w:w="4360" w:type="dxa"/>
            <w:vAlign w:val="bottom"/>
            <w:tcBorders>
              <w:bottom w:val="single" w:sz="8" w:color="0563C1"/>
            </w:tcBorders>
            <w:gridSpan w:val="13"/>
          </w:tcPr>
          <w:p>
            <w:pPr>
              <w:spacing w:after="0"/>
              <w:rPr>
                <w:rFonts w:ascii="Arial" w:cs="Arial" w:eastAsia="Arial" w:hAnsi="Arial"/>
                <w:sz w:val="18"/>
                <w:szCs w:val="18"/>
                <w:color w:val="0563C1"/>
                <w:w w:val="89"/>
              </w:rPr>
            </w:pPr>
            <w:hyperlink w:anchor="page55">
              <w:r>
                <w:rPr>
                  <w:rFonts w:ascii="Arial" w:cs="Arial" w:eastAsia="Arial" w:hAnsi="Arial"/>
                  <w:sz w:val="18"/>
                  <w:szCs w:val="18"/>
                  <w:color w:val="0563C1"/>
                  <w:w w:val="89"/>
                </w:rPr>
                <w:t>Unregistered Sales of Equity Securities and Use of Proceeds</w:t>
              </w:r>
            </w:hyperlink>
          </w:p>
        </w:tc>
        <w:tc>
          <w:tcPr>
            <w:tcW w:w="4840" w:type="dxa"/>
            <w:vAlign w:val="bottom"/>
            <w:gridSpan w:val="7"/>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9200" w:type="dxa"/>
            <w:vAlign w:val="bottom"/>
            <w:gridSpan w:val="20"/>
          </w:tcPr>
          <w:p>
            <w:pPr>
              <w:spacing w:after="0"/>
              <w:rPr>
                <w:rFonts w:ascii="Arial" w:cs="Arial" w:eastAsia="Arial" w:hAnsi="Arial"/>
                <w:sz w:val="18"/>
                <w:szCs w:val="18"/>
                <w:color w:val="0563C1"/>
              </w:rPr>
            </w:pPr>
            <w:hyperlink w:anchor="page55">
              <w:r>
                <w:rPr>
                  <w:rFonts w:ascii="Arial" w:cs="Arial" w:eastAsia="Arial" w:hAnsi="Arial"/>
                  <w:sz w:val="18"/>
                  <w:szCs w:val="18"/>
                  <w:color w:val="0563C1"/>
                </w:rPr>
                <w:t>Defaults Upon Senior Securities</w:t>
              </w:r>
            </w:hyperlink>
          </w:p>
        </w:tc>
      </w:tr>
      <w:tr>
        <w:trPr>
          <w:trHeight w:val="250"/>
        </w:trPr>
        <w:tc>
          <w:tcPr>
            <w:tcW w:w="104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4.</w:t>
              </w:r>
            </w:hyperlink>
          </w:p>
        </w:tc>
        <w:tc>
          <w:tcPr>
            <w:tcW w:w="1780" w:type="dxa"/>
            <w:vAlign w:val="bottom"/>
            <w:tcBorders>
              <w:top w:val="single" w:sz="8" w:color="0563C1"/>
              <w:bottom w:val="single" w:sz="8" w:color="0563C1"/>
            </w:tcBorders>
            <w:gridSpan w:val="6"/>
          </w:tcPr>
          <w:p>
            <w:pPr>
              <w:spacing w:after="0"/>
              <w:rPr>
                <w:rFonts w:ascii="Arial" w:cs="Arial" w:eastAsia="Arial" w:hAnsi="Arial"/>
                <w:sz w:val="18"/>
                <w:szCs w:val="18"/>
                <w:color w:val="0563C1"/>
                <w:w w:val="91"/>
              </w:rPr>
            </w:pPr>
            <w:hyperlink w:anchor="page55">
              <w:r>
                <w:rPr>
                  <w:rFonts w:ascii="Arial" w:cs="Arial" w:eastAsia="Arial" w:hAnsi="Arial"/>
                  <w:sz w:val="18"/>
                  <w:szCs w:val="18"/>
                  <w:color w:val="0563C1"/>
                  <w:w w:val="91"/>
                </w:rPr>
                <w:t>Mine Safety Disclosures</w:t>
              </w:r>
            </w:hyperlink>
          </w:p>
        </w:tc>
        <w:tc>
          <w:tcPr>
            <w:tcW w:w="540" w:type="dxa"/>
            <w:vAlign w:val="bottom"/>
            <w:tcBorders>
              <w:top w:val="single" w:sz="8" w:color="0563C1"/>
            </w:tcBorders>
            <w:gridSpan w:val="4"/>
          </w:tcPr>
          <w:p>
            <w:pPr>
              <w:spacing w:after="0"/>
              <w:rPr>
                <w:sz w:val="21"/>
                <w:szCs w:val="21"/>
                <w:color w:val="auto"/>
              </w:rPr>
            </w:pPr>
          </w:p>
        </w:tc>
        <w:tc>
          <w:tcPr>
            <w:tcW w:w="6880" w:type="dxa"/>
            <w:vAlign w:val="bottom"/>
            <w:gridSpan w:val="10"/>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5.</w:t>
              </w:r>
            </w:hyperlink>
          </w:p>
        </w:tc>
        <w:tc>
          <w:tcPr>
            <w:tcW w:w="1320" w:type="dxa"/>
            <w:vAlign w:val="bottom"/>
            <w:tcBorders>
              <w:bottom w:val="single" w:sz="8" w:color="0563C1"/>
            </w:tcBorders>
            <w:gridSpan w:val="4"/>
          </w:tcPr>
          <w:p>
            <w:pPr>
              <w:spacing w:after="0"/>
              <w:rPr>
                <w:rFonts w:ascii="Arial" w:cs="Arial" w:eastAsia="Arial" w:hAnsi="Arial"/>
                <w:sz w:val="18"/>
                <w:szCs w:val="18"/>
                <w:color w:val="0563C1"/>
                <w:w w:val="92"/>
              </w:rPr>
            </w:pPr>
            <w:hyperlink w:anchor="page56">
              <w:r>
                <w:rPr>
                  <w:rFonts w:ascii="Arial" w:cs="Arial" w:eastAsia="Arial" w:hAnsi="Arial"/>
                  <w:sz w:val="18"/>
                  <w:szCs w:val="18"/>
                  <w:color w:val="0563C1"/>
                  <w:w w:val="92"/>
                </w:rPr>
                <w:t>Other Information</w:t>
              </w:r>
            </w:hyperlink>
          </w:p>
        </w:tc>
        <w:tc>
          <w:tcPr>
            <w:tcW w:w="7880" w:type="dxa"/>
            <w:vAlign w:val="bottom"/>
            <w:gridSpan w:val="16"/>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6.</w:t>
              </w:r>
            </w:hyperlink>
          </w:p>
        </w:tc>
        <w:tc>
          <w:tcPr>
            <w:tcW w:w="9200" w:type="dxa"/>
            <w:vAlign w:val="bottom"/>
            <w:gridSpan w:val="20"/>
          </w:tcPr>
          <w:p>
            <w:pPr>
              <w:spacing w:after="0"/>
              <w:rPr>
                <w:rFonts w:ascii="Arial" w:cs="Arial" w:eastAsia="Arial" w:hAnsi="Arial"/>
                <w:sz w:val="18"/>
                <w:szCs w:val="18"/>
                <w:color w:val="0563C1"/>
              </w:rPr>
            </w:pPr>
            <w:hyperlink w:anchor="page56">
              <w:r>
                <w:rPr>
                  <w:rFonts w:ascii="Arial" w:cs="Arial" w:eastAsia="Arial" w:hAnsi="Arial"/>
                  <w:sz w:val="18"/>
                  <w:szCs w:val="18"/>
                  <w:color w:val="0563C1"/>
                </w:rPr>
                <w:t>Exhibits</w:t>
              </w:r>
            </w:hyperlink>
          </w:p>
        </w:tc>
      </w:tr>
      <w:tr>
        <w:trPr>
          <w:trHeight w:val="250"/>
        </w:trPr>
        <w:tc>
          <w:tcPr>
            <w:tcW w:w="1040" w:type="dxa"/>
            <w:vAlign w:val="bottom"/>
            <w:gridSpan w:val="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600" w:type="dxa"/>
            <w:vAlign w:val="bottom"/>
            <w:tcBorders>
              <w:top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1144905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23495</wp:posOffset>
            </wp:positionV>
            <wp:extent cx="531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p>
      <w:pPr>
        <w:spacing w:after="0" w:line="279"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p>
      <w:pPr>
        <w:spacing w:after="0" w:line="279" w:lineRule="exact"/>
        <w:rPr>
          <w:sz w:val="20"/>
          <w:szCs w:val="20"/>
          <w:color w:val="auto"/>
        </w:rPr>
      </w:pPr>
    </w:p>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48</w:t>
        </w:r>
      </w:hyperlink>
    </w:p>
    <w:p>
      <w:pPr>
        <w:spacing w:after="0" w:line="279" w:lineRule="exact"/>
        <w:rPr>
          <w:sz w:val="20"/>
          <w:szCs w:val="20"/>
          <w:color w:val="auto"/>
        </w:rPr>
      </w:pPr>
    </w:p>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49</w:t>
        </w:r>
      </w:hyperlink>
    </w:p>
    <w:p>
      <w:pPr>
        <w:spacing w:after="0" w:line="302" w:lineRule="exact"/>
        <w:rPr>
          <w:sz w:val="20"/>
          <w:szCs w:val="20"/>
          <w:color w:val="auto"/>
        </w:rPr>
      </w:pPr>
    </w:p>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49</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3">
        <w:r>
          <w:rPr>
            <w:rFonts w:ascii="Arial" w:cs="Arial" w:eastAsia="Arial" w:hAnsi="Arial"/>
            <w:sz w:val="16"/>
            <w:szCs w:val="16"/>
            <w:color w:val="auto"/>
          </w:rPr>
          <w:t>49</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5">
        <w:r>
          <w:rPr>
            <w:rFonts w:ascii="Arial" w:cs="Arial" w:eastAsia="Arial" w:hAnsi="Arial"/>
            <w:sz w:val="16"/>
            <w:szCs w:val="16"/>
            <w:color w:val="auto"/>
          </w:rPr>
          <w:t>51</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5">
        <w:r>
          <w:rPr>
            <w:rFonts w:ascii="Arial" w:cs="Arial" w:eastAsia="Arial" w:hAnsi="Arial"/>
            <w:sz w:val="16"/>
            <w:szCs w:val="16"/>
            <w:color w:val="auto"/>
          </w:rPr>
          <w:t>51</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5">
        <w:r>
          <w:rPr>
            <w:rFonts w:ascii="Arial" w:cs="Arial" w:eastAsia="Arial" w:hAnsi="Arial"/>
            <w:sz w:val="16"/>
            <w:szCs w:val="16"/>
            <w:color w:val="auto"/>
          </w:rPr>
          <w:t>52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52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53</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57">
        <w:r>
          <w:rPr>
            <w:rFonts w:ascii="Arial" w:cs="Arial" w:eastAsia="Arial" w:hAnsi="Arial"/>
            <w:sz w:val="16"/>
            <w:szCs w:val="16"/>
            <w:color w:val="auto"/>
          </w:rPr>
          <w:t>54</w:t>
        </w:r>
      </w:hyperlink>
    </w:p>
    <w:p>
      <w:pPr>
        <w:sectPr>
          <w:pgSz w:w="11900" w:h="16838" w:orient="portrait"/>
          <w:cols w:equalWidth="0" w:num="2">
            <w:col w:w="10240" w:space="420"/>
            <w:col w:w="540"/>
          </w:cols>
          <w:pgMar w:left="340" w:top="985" w:right="35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i w:val="1"/>
          <w:iCs w:val="1"/>
          <w:color w:val="auto"/>
        </w:rPr>
        <w:t>As used in this report, “Corporation,” “Clover Health,” “we,” “us,” “our” and similar terms refer to Clover Health Investments, Corp. and its consolidated subsidiaries, unless otherwise noted or the context otherwise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our Annual Report on Form 10-K for the year ended December 31, 2020, as supplemented by the “Risk Factors” section in this document,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9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results of operations, financial condition and cash flows;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(as defined below), which may be affected by, among other things, competition and our ability to manage our growth following the Business Combination;</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or maintain the listing of our Class A common stock and our public warrants on Nasdaq following the Business Combination;</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associated with the use of the Clover Assistant platform, including our ability to utilize the platform to manage medical costs of our members;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member base and provider network;</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adoption and use of the Clover Assistant;</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our business, results of operations, and financial condition;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current, pending or future legislation or regulation that could have a negative effect on our revenue and businesses, including rules and regulations relating to healthcare and Medicare;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conditions, including the societal and economic impact of the COVID-19 pandemic, and geopolitical uncertainty and instability.</w:t>
      </w:r>
    </w:p>
    <w:p>
      <w:pPr>
        <w:spacing w:after="0" w:line="23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document or to conform these statements to actual results or revised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6"/>
          <w:szCs w:val="16"/>
          <w:color w:val="auto"/>
        </w:rPr>
        <w:t>You should read this document with the understanding that our actual future results, levels of activity, performance and events and circumstances may be materially different from what we expect. 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a result of a number of known and unknown risks and uncertainties, including without limitation, the important factors described in Part I. Item 1A “Risk Factors” in our Annual Report on Form 10-K for the year ended December 31, 2020, as supplemented by the “Risk Factors” section in this document, our actual results or performance may be materially different from those expressed or implied by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website address is www.cloverhealth.com.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any website referred to in this document is not incorporated by reference in this document unless expressly noted. Further, the Company’s references to website URLs are intended to be inactive textual references only.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Investors and others should note that we routinely announce material information to investors and the marketplace using filings with the SEC, press releases, public conference calls, presentations, webcasts and our investor relations website. We also intend to use certain social media channels as a means of disclosing information about the Company and our products to our customers, investors and the public (e.g., @Clover_Health and #CloverHealth on Twitter).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our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our company when enrolling an email address by visiting “Email Alerts” in the “Investor Resources” section of our website at https://investors.cloverhealth.com/investor-relations.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 xml:space="preserve">CONDENSED CONSOLIDATED BALANCE SHEETS </w:t>
      </w:r>
      <w:r>
        <w:rPr>
          <w:rFonts w:ascii="Arial" w:cs="Arial" w:eastAsia="Arial" w:hAnsi="Arial"/>
          <w:sz w:val="16"/>
          <w:szCs w:val="16"/>
          <w:color w:val="231F20"/>
        </w:rPr>
        <w:t>(Unaudited)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Pr>
          <w:p>
            <w:pPr>
              <w:spacing w:after="0"/>
              <w:rPr>
                <w:sz w:val="16"/>
                <w:szCs w:val="16"/>
                <w:color w:val="auto"/>
              </w:rPr>
            </w:pPr>
          </w:p>
        </w:tc>
        <w:tc>
          <w:tcPr>
            <w:tcW w:w="116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12"/>
        </w:trPr>
        <w:tc>
          <w:tcPr>
            <w:tcW w:w="8500" w:type="dxa"/>
            <w:vAlign w:val="bottom"/>
            <w:tcBorders>
              <w:top w:val="single" w:sz="8" w:color="CCEEFF"/>
            </w:tcBorders>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92,348</w:t>
            </w:r>
          </w:p>
        </w:tc>
      </w:tr>
      <w:tr>
        <w:trPr>
          <w:trHeight w:val="229"/>
        </w:trPr>
        <w:tc>
          <w:tcPr>
            <w:tcW w:w="85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available-for sale (Amortized cost: 2021: $1,151; 2020: $0)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tcPr>
          <w:p>
            <w:pPr>
              <w:ind w:left="200"/>
              <w:spacing w:after="0"/>
              <w:rPr>
                <w:sz w:val="20"/>
                <w:szCs w:val="20"/>
                <w:color w:val="auto"/>
              </w:rPr>
            </w:pPr>
            <w:r>
              <w:rPr>
                <w:rFonts w:ascii="Arial" w:cs="Arial" w:eastAsia="Arial" w:hAnsi="Arial"/>
                <w:sz w:val="18"/>
                <w:szCs w:val="18"/>
                <w:color w:val="auto"/>
              </w:rPr>
              <w:t>Investment securities, held-to-maturity (Fair value: 2021: $310; 2020: $266)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retrospective premiums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r>
      <w:tr>
        <w:trPr>
          <w:trHeight w:val="230"/>
        </w:trPr>
        <w:tc>
          <w:tcPr>
            <w:tcW w:w="850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11,368</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Healthcare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38,745</w:t>
            </w:r>
          </w:p>
        </w:tc>
      </w:tr>
      <w:tr>
        <w:trPr>
          <w:trHeight w:val="230"/>
        </w:trPr>
        <w:tc>
          <w:tcPr>
            <w:tcW w:w="8500" w:type="dxa"/>
            <w:vAlign w:val="bottom"/>
          </w:tcPr>
          <w:p>
            <w:pPr>
              <w:ind w:left="200"/>
              <w:spacing w:after="0"/>
              <w:rPr>
                <w:sz w:val="20"/>
                <w:szCs w:val="20"/>
                <w:color w:val="auto"/>
              </w:rPr>
            </w:pPr>
            <w:r>
              <w:rPr>
                <w:rFonts w:ascii="Arial" w:cs="Arial" w:eastAsia="Arial" w:hAnsi="Arial"/>
                <w:sz w:val="18"/>
                <w:szCs w:val="18"/>
                <w:color w:val="auto"/>
              </w:rPr>
              <w:t>Surety bonds and deposits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r>
      <w:tr>
        <w:trPr>
          <w:trHeight w:val="229"/>
        </w:trPr>
        <w:tc>
          <w:tcPr>
            <w:tcW w:w="8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 current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w:t>
            </w:r>
          </w:p>
        </w:tc>
      </w:tr>
      <w:tr>
        <w:trPr>
          <w:trHeight w:val="223"/>
        </w:trPr>
        <w:tc>
          <w:tcPr>
            <w:tcW w:w="8500" w:type="dxa"/>
            <w:vAlign w:val="bottom"/>
          </w:tcPr>
          <w:p>
            <w:pPr>
              <w:ind w:left="200"/>
              <w:spacing w:after="0"/>
              <w:rPr>
                <w:sz w:val="20"/>
                <w:szCs w:val="20"/>
                <w:color w:val="auto"/>
              </w:rPr>
            </w:pPr>
            <w:r>
              <w:rPr>
                <w:rFonts w:ascii="Arial" w:cs="Arial" w:eastAsia="Arial" w:hAnsi="Arial"/>
                <w:sz w:val="18"/>
                <w:szCs w:val="18"/>
                <w:color w:val="auto"/>
              </w:rPr>
              <w:t>Direct Contracting performance year receivable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available-for sale (Amortized cost: 2021: $38,710; 2020: $53,953)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53,963</w:t>
            </w:r>
          </w:p>
        </w:tc>
      </w:tr>
      <w:tr>
        <w:trPr>
          <w:trHeight w:val="229"/>
        </w:trPr>
        <w:tc>
          <w:tcPr>
            <w:tcW w:w="8500" w:type="dxa"/>
            <w:vAlign w:val="bottom"/>
          </w:tcPr>
          <w:p>
            <w:pPr>
              <w:ind w:left="200"/>
              <w:spacing w:after="0"/>
              <w:rPr>
                <w:sz w:val="20"/>
                <w:szCs w:val="20"/>
                <w:color w:val="auto"/>
              </w:rPr>
            </w:pPr>
            <w:r>
              <w:rPr>
                <w:rFonts w:ascii="Arial" w:cs="Arial" w:eastAsia="Arial" w:hAnsi="Arial"/>
                <w:sz w:val="18"/>
                <w:szCs w:val="18"/>
                <w:color w:val="auto"/>
              </w:rPr>
              <w:t>Investment securities, held-to-maturity (Fair value: 2021: $419; 2020: $471)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30"/>
        </w:trPr>
        <w:tc>
          <w:tcPr>
            <w:tcW w:w="850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7,882</w:t>
            </w: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8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1,215,897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267,252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CONDENSED CONSOLIDATED BALANCE SHEETS </w:t>
      </w:r>
      <w:r>
        <w:rPr>
          <w:rFonts w:ascii="Arial" w:cs="Arial" w:eastAsia="Arial" w:hAnsi="Arial"/>
          <w:sz w:val="16"/>
          <w:szCs w:val="16"/>
          <w:color w:val="231F20"/>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Unpaid claims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132,552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Accrued salaries and benefits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Current portion of notes and securities payable</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 deficiency reserve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 current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164,228</w:t>
            </w:r>
          </w:p>
        </w:tc>
        <w:tc>
          <w:tcPr>
            <w:tcW w:w="0" w:type="dxa"/>
            <w:vAlign w:val="bottom"/>
          </w:tcPr>
          <w:p>
            <w:pPr>
              <w:spacing w:after="0"/>
              <w:rPr>
                <w:sz w:val="1"/>
                <w:szCs w:val="1"/>
                <w:color w:val="auto"/>
              </w:rPr>
            </w:pPr>
          </w:p>
        </w:tc>
      </w:tr>
      <w:tr>
        <w:trPr>
          <w:trHeight w:val="223"/>
        </w:trPr>
        <w:tc>
          <w:tcPr>
            <w:tcW w:w="8520" w:type="dxa"/>
            <w:vAlign w:val="bottom"/>
          </w:tcPr>
          <w:p>
            <w:pPr>
              <w:ind w:left="200"/>
              <w:spacing w:after="0"/>
              <w:rPr>
                <w:sz w:val="20"/>
                <w:szCs w:val="20"/>
                <w:color w:val="auto"/>
              </w:rPr>
            </w:pPr>
            <w:r>
              <w:rPr>
                <w:rFonts w:ascii="Arial" w:cs="Arial" w:eastAsia="Arial" w:hAnsi="Arial"/>
                <w:sz w:val="18"/>
                <w:szCs w:val="18"/>
                <w:color w:val="auto"/>
              </w:rPr>
              <w:t>Direct Contracting performance year obligation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106,413</w:t>
            </w: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payable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901,042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w w:val="98"/>
              </w:rPr>
              <w:t>Convertible Preferred stock (Series Seed A, A-1, B, C, and D), $0.0001 par value; 0 and 155,387,025 shares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0"/>
              <w:spacing w:after="0"/>
              <w:rPr>
                <w:sz w:val="20"/>
                <w:szCs w:val="20"/>
                <w:color w:val="auto"/>
              </w:rPr>
            </w:pPr>
            <w:r>
              <w:rPr>
                <w:rFonts w:ascii="Arial" w:cs="Arial" w:eastAsia="Arial" w:hAnsi="Arial"/>
                <w:sz w:val="18"/>
                <w:szCs w:val="18"/>
                <w:color w:val="auto"/>
                <w:w w:val="98"/>
              </w:rPr>
              <w:t>authorized as of June 30, 2021 and December 31, 2020, respectively; 0 and 139,444,346 shares issued and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20" w:type="dxa"/>
            <w:vAlign w:val="bottom"/>
          </w:tcPr>
          <w:p>
            <w:pPr>
              <w:ind w:left="20"/>
              <w:spacing w:after="0"/>
              <w:rPr>
                <w:sz w:val="20"/>
                <w:szCs w:val="20"/>
                <w:color w:val="auto"/>
              </w:rPr>
            </w:pPr>
            <w:r>
              <w:rPr>
                <w:rFonts w:ascii="Arial" w:cs="Arial" w:eastAsia="Arial" w:hAnsi="Arial"/>
                <w:sz w:val="18"/>
                <w:szCs w:val="18"/>
                <w:color w:val="auto"/>
                <w:w w:val="93"/>
              </w:rPr>
              <w:t>outstanding as of June 30, 2021 and December 31, 2020, respectively; aggregate liquidation preference of $0 and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$470,256 as of June 30, 2021 and December 31, 2020, respectively </w:t>
            </w:r>
            <w:r>
              <w:rPr>
                <w:rFonts w:ascii="Arial" w:cs="Arial" w:eastAsia="Arial" w:hAnsi="Arial"/>
                <w:sz w:val="23"/>
                <w:szCs w:val="23"/>
                <w:color w:val="auto"/>
                <w:vertAlign w:val="superscript"/>
              </w:rPr>
              <w:t>(1)</w:t>
            </w:r>
          </w:p>
        </w:tc>
        <w:tc>
          <w:tcPr>
            <w:tcW w:w="14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447,747</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100"/>
              <w:spacing w:after="0" w:line="176" w:lineRule="exact"/>
              <w:rPr>
                <w:sz w:val="20"/>
                <w:szCs w:val="20"/>
                <w:color w:val="auto"/>
              </w:rPr>
            </w:pPr>
            <w:r>
              <w:rPr>
                <w:rFonts w:ascii="Arial" w:cs="Arial" w:eastAsia="Arial" w:hAnsi="Arial"/>
                <w:sz w:val="18"/>
                <w:szCs w:val="18"/>
                <w:color w:val="auto"/>
                <w:w w:val="96"/>
              </w:rPr>
              <w:t>Class A Common Stock, $0.0001 par value; 2,500,000,000 and 0 shares authorized as of June 30, 2021, and</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100"/>
              <w:spacing w:after="0" w:line="176" w:lineRule="exact"/>
              <w:rPr>
                <w:sz w:val="20"/>
                <w:szCs w:val="20"/>
                <w:color w:val="auto"/>
              </w:rPr>
            </w:pPr>
            <w:r>
              <w:rPr>
                <w:rFonts w:ascii="Arial" w:cs="Arial" w:eastAsia="Arial" w:hAnsi="Arial"/>
                <w:sz w:val="18"/>
                <w:szCs w:val="18"/>
                <w:color w:val="auto"/>
                <w:w w:val="89"/>
              </w:rPr>
              <w:t>December 31, 2020, respectively; 148,560,977 and 0 issued and outstanding as of June 30, 2021, and December 31,</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100"/>
              <w:spacing w:after="0"/>
              <w:rPr>
                <w:sz w:val="20"/>
                <w:szCs w:val="20"/>
                <w:color w:val="auto"/>
              </w:rPr>
            </w:pPr>
            <w:r>
              <w:rPr>
                <w:rFonts w:ascii="Arial" w:cs="Arial" w:eastAsia="Arial" w:hAnsi="Arial"/>
                <w:sz w:val="18"/>
                <w:szCs w:val="18"/>
                <w:color w:val="auto"/>
              </w:rPr>
              <w:t>2020, respectively</w:t>
            </w: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Class B Common Stock, $0.0001 par value; 500,000,000 and 351,572,668 shares authorized; 259,744,474 and</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89,206,266 issued and outstanding as of June 30, 2021, and December 31, 2020, respectively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1,706,334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411,867</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(1,028,982)</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Clover stockholders’ equity (deficit)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(617,096)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(613,193)</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1,215,897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267,252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line="201" w:lineRule="auto"/>
        <w:tabs>
          <w:tab w:leader="none" w:pos="163"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and share amounts)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95"/>
              </w:rPr>
              <w:t>Premiums earned, net (Net of ceded premiums of $126 and $128 for the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95"/>
              </w:rPr>
              <w:t>three months ended June 30, 2021 and 2020, respectively; net of ceded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94"/>
              </w:rPr>
              <w:t>premiums of $250 and $257 for the six months ended June 30, 2021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195,357</w:t>
            </w:r>
          </w:p>
        </w:tc>
        <w:tc>
          <w:tcPr>
            <w:tcW w:w="2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170,315</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394,733</w:t>
            </w:r>
          </w:p>
        </w:tc>
        <w:tc>
          <w:tcPr>
            <w:tcW w:w="8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334,025</w:t>
            </w:r>
          </w:p>
        </w:tc>
        <w:tc>
          <w:tcPr>
            <w:tcW w:w="0" w:type="dxa"/>
            <w:vAlign w:val="bottom"/>
          </w:tcPr>
          <w:p>
            <w:pPr>
              <w:spacing w:after="0"/>
              <w:rPr>
                <w:sz w:val="1"/>
                <w:szCs w:val="1"/>
                <w:color w:val="auto"/>
              </w:rPr>
            </w:pPr>
          </w:p>
        </w:tc>
      </w:tr>
      <w:tr>
        <w:trPr>
          <w:trHeight w:val="229"/>
        </w:trPr>
        <w:tc>
          <w:tcPr>
            <w:tcW w:w="5800" w:type="dxa"/>
            <w:vAlign w:val="bottom"/>
          </w:tcPr>
          <w:p>
            <w:pPr>
              <w:ind w:left="280"/>
              <w:spacing w:after="0"/>
              <w:rPr>
                <w:sz w:val="20"/>
                <w:szCs w:val="20"/>
                <w:color w:val="auto"/>
              </w:rPr>
            </w:pPr>
            <w:r>
              <w:rPr>
                <w:rFonts w:ascii="Arial" w:cs="Arial" w:eastAsia="Arial" w:hAnsi="Arial"/>
                <w:sz w:val="18"/>
                <w:szCs w:val="18"/>
                <w:color w:val="auto"/>
              </w:rPr>
              <w:t>2020, respectively)</w:t>
            </w: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612,797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337,586</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80"/>
              <w:spacing w:after="0"/>
              <w:rPr>
                <w:sz w:val="20"/>
                <w:szCs w:val="20"/>
                <w:color w:val="auto"/>
              </w:rPr>
            </w:pPr>
            <w:r>
              <w:rPr>
                <w:rFonts w:ascii="Arial" w:cs="Arial" w:eastAsia="Arial" w:hAnsi="Arial"/>
                <w:sz w:val="18"/>
                <w:szCs w:val="18"/>
                <w:color w:val="auto"/>
              </w:rPr>
              <w:t>Net medical claims incurred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458,521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119,366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672,953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265,694</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29"/>
        </w:trPr>
        <w:tc>
          <w:tcPr>
            <w:tcW w:w="580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49,951</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30"/>
        </w:trPr>
        <w:tc>
          <w:tcPr>
            <w:tcW w:w="5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594,334</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148,911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913,747</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341,046</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16,292</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Gain on derivative</w:t>
            </w:r>
          </w:p>
        </w:tc>
        <w:tc>
          <w:tcPr>
            <w:tcW w:w="2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(19,394)</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8"/>
                <w:szCs w:val="18"/>
                <w:color w:val="auto"/>
                <w:w w:val="95"/>
              </w:rPr>
              <w:t xml:space="preserve">Net (loss) income per share attributable to common stockholders – basic </w:t>
            </w:r>
            <w:r>
              <w:rPr>
                <w:rFonts w:ascii="Arial" w:cs="Arial" w:eastAsia="Arial" w:hAnsi="Arial"/>
                <w:sz w:val="23"/>
                <w:szCs w:val="23"/>
                <w:color w:val="auto"/>
                <w:w w:val="95"/>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xml:space="preserve">Net (loss) income per share attributable to common stockholders – diluted </w:t>
            </w:r>
            <w:r>
              <w:rPr>
                <w:rFonts w:ascii="Arial" w:cs="Arial" w:eastAsia="Arial" w:hAnsi="Arial"/>
                <w:sz w:val="23"/>
                <w:szCs w:val="23"/>
                <w:color w:val="auto"/>
                <w:w w:val="94"/>
                <w:vertAlign w:val="superscript"/>
              </w:rPr>
              <w:t>(1)</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common shares and common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equivalents outstanding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408,156,682</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88,607,537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395,422,849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88,478,171</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w w:val="99"/>
              </w:rPr>
              <w:t>Diluted weighted average number of common shares and common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equivalents outstanding </w:t>
            </w:r>
            <w:r>
              <w:rPr>
                <w:rFonts w:ascii="Arial" w:cs="Arial" w:eastAsia="Arial" w:hAnsi="Arial"/>
                <w:sz w:val="23"/>
                <w:szCs w:val="23"/>
                <w:color w:val="auto"/>
                <w:vertAlign w:val="superscript"/>
              </w:rPr>
              <w:t>(1)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408,156,682</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242,625,338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395,422,849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88,478,171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Unrealized gain (loss) on available-for-sale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-5280025</wp:posOffset>
            </wp:positionV>
            <wp:extent cx="171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4" w:lineRule="exact"/>
        <w:rPr>
          <w:sz w:val="20"/>
          <w:szCs w:val="20"/>
          <w:color w:val="auto"/>
        </w:rPr>
      </w:pPr>
    </w:p>
    <w:p>
      <w:pPr>
        <w:jc w:val="both"/>
        <w:ind w:left="180" w:hanging="172"/>
        <w:spacing w:after="0" w:line="228" w:lineRule="auto"/>
        <w:tabs>
          <w:tab w:leader="none" w:pos="169"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 Because the Corporation had a net loss in the second quarter and first half of 2021, and a net loss in the first half of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(DEFICIT) </w:t>
      </w:r>
      <w:r>
        <w:rPr>
          <w:rFonts w:ascii="Arial" w:cs="Arial" w:eastAsia="Arial" w:hAnsi="Arial"/>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10"/>
          </w:tcPr>
          <w:p>
            <w:pPr>
              <w:ind w:left="80"/>
              <w:spacing w:after="0"/>
              <w:rPr>
                <w:sz w:val="20"/>
                <w:szCs w:val="20"/>
                <w:color w:val="auto"/>
              </w:rPr>
            </w:pPr>
            <w:r>
              <w:rPr>
                <w:rFonts w:ascii="Arial" w:cs="Arial" w:eastAsia="Arial" w:hAnsi="Arial"/>
                <w:sz w:val="14"/>
                <w:szCs w:val="14"/>
                <w:color w:val="auto"/>
              </w:rPr>
              <w:t>(Dollars in thousands, except share amounts)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66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other</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66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2"/>
              </w:rPr>
              <w:t>Class A Common Stock</w:t>
            </w:r>
          </w:p>
        </w:tc>
        <w:tc>
          <w:tcPr>
            <w:tcW w:w="80" w:type="dxa"/>
            <w:vAlign w:val="bottom"/>
            <w:vMerge w:val="restart"/>
          </w:tcPr>
          <w:p>
            <w:pPr>
              <w:spacing w:after="0"/>
              <w:rPr>
                <w:sz w:val="11"/>
                <w:szCs w:val="11"/>
                <w:color w:val="auto"/>
              </w:rPr>
            </w:pPr>
          </w:p>
        </w:tc>
        <w:tc>
          <w:tcPr>
            <w:tcW w:w="16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paid-in</w:t>
            </w:r>
          </w:p>
        </w:tc>
        <w:tc>
          <w:tcPr>
            <w:tcW w:w="94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78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March 31,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88,353,707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405,173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(919,795)</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(508,941)</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color w:val="auto"/>
              </w:rPr>
              <w:t>Stock issuance for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exercise of stock</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options, net of early</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433,005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6"/>
        </w:trPr>
        <w:tc>
          <w:tcPr>
            <w:tcW w:w="1480" w:type="dxa"/>
            <w:vAlign w:val="bottom"/>
          </w:tcPr>
          <w:p>
            <w:pPr>
              <w:ind w:left="100"/>
              <w:spacing w:after="0"/>
              <w:rPr>
                <w:sz w:val="20"/>
                <w:szCs w:val="20"/>
                <w:color w:val="auto"/>
              </w:rPr>
            </w:pPr>
            <w:r>
              <w:rPr>
                <w:rFonts w:ascii="Arial" w:cs="Arial" w:eastAsia="Arial" w:hAnsi="Arial"/>
                <w:sz w:val="14"/>
                <w:szCs w:val="14"/>
                <w:color w:val="auto"/>
              </w:rPr>
              <w:t>exercise 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color w:val="auto"/>
                <w:w w:val="94"/>
              </w:rPr>
              <w:t>Unrealized holdings loss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on investment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securities, available-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6"/>
        </w:trPr>
        <w:tc>
          <w:tcPr>
            <w:tcW w:w="1480" w:type="dxa"/>
            <w:vAlign w:val="bottom"/>
          </w:tcPr>
          <w:p>
            <w:pPr>
              <w:ind w:left="100"/>
              <w:spacing w:after="0"/>
              <w:rPr>
                <w:sz w:val="20"/>
                <w:szCs w:val="20"/>
                <w:color w:val="auto"/>
              </w:rPr>
            </w:pPr>
            <w:r>
              <w:rPr>
                <w:rFonts w:ascii="Arial" w:cs="Arial" w:eastAsia="Arial" w:hAnsi="Arial"/>
                <w:sz w:val="14"/>
                <w:szCs w:val="14"/>
                <w:color w:val="auto"/>
              </w:rPr>
              <w:t>for-sale</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w:t>
            </w:r>
          </w:p>
        </w:tc>
        <w:tc>
          <w:tcPr>
            <w:tcW w:w="0" w:type="dxa"/>
            <w:vAlign w:val="bottom"/>
          </w:tcPr>
          <w:p>
            <w:pPr>
              <w:spacing w:after="0"/>
              <w:rPr>
                <w:sz w:val="1"/>
                <w:szCs w:val="1"/>
                <w:color w:val="auto"/>
              </w:rPr>
            </w:pPr>
          </w:p>
        </w:tc>
      </w:tr>
      <w:tr>
        <w:trPr>
          <w:trHeight w:val="179"/>
        </w:trPr>
        <w:tc>
          <w:tcPr>
            <w:tcW w:w="1480" w:type="dxa"/>
            <w:vAlign w:val="bottom"/>
          </w:tcPr>
          <w:p>
            <w:pPr>
              <w:ind w:left="20"/>
              <w:spacing w:after="0"/>
              <w:rPr>
                <w:sz w:val="20"/>
                <w:szCs w:val="20"/>
                <w:color w:val="auto"/>
              </w:rPr>
            </w:pPr>
            <w:r>
              <w:rPr>
                <w:rFonts w:ascii="Arial" w:cs="Arial" w:eastAsia="Arial" w:hAnsi="Arial"/>
                <w:sz w:val="14"/>
                <w:szCs w:val="14"/>
                <w:color w:val="auto"/>
                <w:w w:val="97"/>
              </w:rPr>
              <w:t>Balance, June 30,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88,786,712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407,115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(914,392)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(501,990)</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48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Balance, March 31,</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148,279,247</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259,821,838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1,662,873</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(1,077,399)</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588,935</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color w:val="auto"/>
              </w:rPr>
              <w:t>Stock issuance for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exercise of stock</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options, net of early</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204,366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6"/>
        </w:trPr>
        <w:tc>
          <w:tcPr>
            <w:tcW w:w="1480" w:type="dxa"/>
            <w:vAlign w:val="bottom"/>
          </w:tcPr>
          <w:p>
            <w:pPr>
              <w:ind w:left="100"/>
              <w:spacing w:after="0"/>
              <w:rPr>
                <w:sz w:val="20"/>
                <w:szCs w:val="20"/>
                <w:color w:val="auto"/>
              </w:rPr>
            </w:pPr>
            <w:r>
              <w:rPr>
                <w:rFonts w:ascii="Arial" w:cs="Arial" w:eastAsia="Arial" w:hAnsi="Arial"/>
                <w:sz w:val="14"/>
                <w:szCs w:val="14"/>
                <w:color w:val="auto"/>
              </w:rPr>
              <w:t>exercise 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43,026</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color w:val="auto"/>
                <w:w w:val="91"/>
              </w:rPr>
              <w:t>Buyback and subsequent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cancellation of</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Unrealized holdings</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gain on investment</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securities, available-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for-sale</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color w:val="auto"/>
              </w:rPr>
              <w:t>Conversion from Class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B Common Stock to</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Arial" w:cs="Arial" w:eastAsia="Arial" w:hAnsi="Arial"/>
                <w:sz w:val="14"/>
                <w:szCs w:val="14"/>
                <w:color w:val="auto"/>
              </w:rPr>
              <w:t>Class A Common</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77,364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(77,364)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480" w:type="dxa"/>
            <w:vAlign w:val="bottom"/>
          </w:tcPr>
          <w:p>
            <w:pPr>
              <w:ind w:left="100"/>
              <w:spacing w:after="0"/>
              <w:rPr>
                <w:sz w:val="20"/>
                <w:szCs w:val="20"/>
                <w:color w:val="auto"/>
              </w:rPr>
            </w:pPr>
            <w:r>
              <w:rPr>
                <w:rFonts w:ascii="Arial" w:cs="Arial" w:eastAsia="Arial" w:hAnsi="Arial"/>
                <w:sz w:val="14"/>
                <w:szCs w:val="14"/>
                <w:color w:val="auto"/>
              </w:rPr>
              <w:t>Stock</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Acquisition of Public</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6"/>
              </w:rPr>
              <w:t>and Private Placement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Warrants</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(317,611)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(317,611)</w:t>
            </w:r>
          </w:p>
        </w:tc>
        <w:tc>
          <w:tcPr>
            <w:tcW w:w="0" w:type="dxa"/>
            <w:vAlign w:val="bottom"/>
          </w:tcPr>
          <w:p>
            <w:pPr>
              <w:spacing w:after="0"/>
              <w:rPr>
                <w:sz w:val="1"/>
                <w:szCs w:val="1"/>
                <w:color w:val="auto"/>
              </w:rPr>
            </w:pPr>
          </w:p>
        </w:tc>
      </w:tr>
      <w:tr>
        <w:trPr>
          <w:trHeight w:val="208"/>
        </w:trPr>
        <w:tc>
          <w:tcPr>
            <w:tcW w:w="1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148,560,977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259,744,474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1,706,334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(1,395,010)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314,855</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20" w:hanging="172"/>
        <w:spacing w:after="0" w:line="217" w:lineRule="auto"/>
        <w:tabs>
          <w:tab w:leader="none" w:pos="169"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(DEFICIT) </w:t>
      </w:r>
      <w:r>
        <w:rPr>
          <w:rFonts w:ascii="Arial" w:cs="Arial" w:eastAsia="Arial" w:hAnsi="Arial"/>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10"/>
          </w:tcPr>
          <w:p>
            <w:pPr>
              <w:ind w:left="60"/>
              <w:spacing w:after="0"/>
              <w:rPr>
                <w:sz w:val="20"/>
                <w:szCs w:val="20"/>
                <w:color w:val="auto"/>
              </w:rPr>
            </w:pPr>
            <w:r>
              <w:rPr>
                <w:rFonts w:ascii="Arial" w:cs="Arial" w:eastAsia="Arial" w:hAnsi="Arial"/>
                <w:sz w:val="14"/>
                <w:szCs w:val="14"/>
                <w:color w:val="auto"/>
              </w:rPr>
              <w:t>(Dollars in thousands, except share amounts)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ind w:left="14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other</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72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Class A Common Stock</w:t>
            </w:r>
          </w:p>
        </w:tc>
        <w:tc>
          <w:tcPr>
            <w:tcW w:w="80" w:type="dxa"/>
            <w:vAlign w:val="bottom"/>
            <w:vMerge w:val="restart"/>
          </w:tcPr>
          <w:p>
            <w:pPr>
              <w:spacing w:after="0"/>
              <w:rPr>
                <w:sz w:val="11"/>
                <w:szCs w:val="11"/>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1"/>
        </w:trPr>
        <w:tc>
          <w:tcPr>
            <w:tcW w:w="14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78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Balance, December 31,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88,279,119</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403,041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(891,633)</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(488,537)</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Stock issuance for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exercise of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options, net of early</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507,593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86"/>
        </w:trPr>
        <w:tc>
          <w:tcPr>
            <w:tcW w:w="1460" w:type="dxa"/>
            <w:vAlign w:val="bottom"/>
          </w:tcPr>
          <w:p>
            <w:pPr>
              <w:ind w:left="100"/>
              <w:spacing w:after="0"/>
              <w:rPr>
                <w:sz w:val="20"/>
                <w:szCs w:val="20"/>
                <w:color w:val="auto"/>
              </w:rPr>
            </w:pPr>
            <w:r>
              <w:rPr>
                <w:rFonts w:ascii="Arial" w:cs="Arial" w:eastAsia="Arial" w:hAnsi="Arial"/>
                <w:sz w:val="14"/>
                <w:szCs w:val="14"/>
                <w:color w:val="auto"/>
              </w:rPr>
              <w:t>exercise liability</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Unrealized holdings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gain on investment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securities, available-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186"/>
        </w:trPr>
        <w:tc>
          <w:tcPr>
            <w:tcW w:w="1460" w:type="dxa"/>
            <w:vAlign w:val="bottom"/>
          </w:tcPr>
          <w:p>
            <w:pPr>
              <w:ind w:left="100"/>
              <w:spacing w:after="0"/>
              <w:rPr>
                <w:sz w:val="20"/>
                <w:szCs w:val="20"/>
                <w:color w:val="auto"/>
              </w:rPr>
            </w:pPr>
            <w:r>
              <w:rPr>
                <w:rFonts w:ascii="Arial" w:cs="Arial" w:eastAsia="Arial" w:hAnsi="Arial"/>
                <w:sz w:val="14"/>
                <w:szCs w:val="14"/>
                <w:color w:val="auto"/>
              </w:rPr>
              <w:t>for-sale</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issued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(22,759)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(22,759)</w:t>
            </w:r>
          </w:p>
        </w:tc>
        <w:tc>
          <w:tcPr>
            <w:tcW w:w="0" w:type="dxa"/>
            <w:vAlign w:val="bottom"/>
          </w:tcPr>
          <w:p>
            <w:pPr>
              <w:spacing w:after="0"/>
              <w:rPr>
                <w:sz w:val="1"/>
                <w:szCs w:val="1"/>
                <w:color w:val="auto"/>
              </w:rPr>
            </w:pPr>
          </w:p>
        </w:tc>
      </w:tr>
      <w:tr>
        <w:trPr>
          <w:trHeight w:val="207"/>
        </w:trPr>
        <w:tc>
          <w:tcPr>
            <w:tcW w:w="1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Balance, June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447,747</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88,786,712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(914,392)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(501,990)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Arial" w:cs="Arial" w:eastAsia="Arial" w:hAnsi="Arial"/>
                <w:sz w:val="14"/>
                <w:szCs w:val="14"/>
                <w:color w:val="auto"/>
                <w:w w:val="97"/>
              </w:rPr>
              <w:t>Balance, December 31,</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1460" w:type="dxa"/>
            <w:vAlign w:val="bottom"/>
            <w:vMerge w:val="continue"/>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89,206,266</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7"/>
              </w:rPr>
              <w:t>(1,028,982)</w:t>
            </w:r>
          </w:p>
        </w:tc>
        <w:tc>
          <w:tcPr>
            <w:tcW w:w="80" w:type="dxa"/>
            <w:vAlign w:val="bottom"/>
          </w:tcPr>
          <w:p>
            <w:pPr>
              <w:spacing w:after="0"/>
              <w:rPr>
                <w:sz w:val="7"/>
                <w:szCs w:val="7"/>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7"/>
                <w:szCs w:val="7"/>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7"/>
                <w:szCs w:val="7"/>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2020</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 issuance for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exercise of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options, net of early</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965,846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 liability</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Stock-based</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85,739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85,739</w:t>
            </w: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Unrealized holdings loss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on investment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securities, available-</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for-sale</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Preferred stock</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w w:val="94"/>
              </w:rPr>
              <w:t>(139,444,346)</w:t>
            </w:r>
          </w:p>
        </w:tc>
        <w:tc>
          <w:tcPr>
            <w:tcW w:w="8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color w:val="auto"/>
                <w:w w:val="96"/>
              </w:rPr>
              <w:t>(447,747)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447,733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conversion</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Common stock issued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related to warrants</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7,205,490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Convertible debt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conversion and other</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75,084,703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16,052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86"/>
        </w:trPr>
        <w:tc>
          <w:tcPr>
            <w:tcW w:w="1460" w:type="dxa"/>
            <w:vAlign w:val="bottom"/>
          </w:tcPr>
          <w:p>
            <w:pPr>
              <w:ind w:left="100"/>
              <w:spacing w:after="0"/>
              <w:rPr>
                <w:sz w:val="20"/>
                <w:szCs w:val="20"/>
                <w:color w:val="auto"/>
              </w:rPr>
            </w:pPr>
            <w:r>
              <w:rPr>
                <w:rFonts w:ascii="Arial" w:cs="Arial" w:eastAsia="Arial" w:hAnsi="Arial"/>
                <w:sz w:val="14"/>
                <w:szCs w:val="14"/>
                <w:color w:val="auto"/>
              </w:rPr>
              <w:t>issuances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Stock in connection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with Business</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Combination and PIPE</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146,373,904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(49,975,104)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666,232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666,242</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offering</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Conversion from Class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B Common Stock 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rPr>
              <w:t>Class A Common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1,221,227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(1,221,227)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460" w:type="dxa"/>
            <w:vAlign w:val="bottom"/>
          </w:tcPr>
          <w:p>
            <w:pPr>
              <w:ind w:left="100"/>
              <w:spacing w:after="0"/>
              <w:rPr>
                <w:sz w:val="20"/>
                <w:szCs w:val="20"/>
                <w:color w:val="auto"/>
              </w:rPr>
            </w:pPr>
            <w:r>
              <w:rPr>
                <w:rFonts w:ascii="Arial" w:cs="Arial" w:eastAsia="Arial" w:hAnsi="Arial"/>
                <w:sz w:val="14"/>
                <w:szCs w:val="14"/>
                <w:color w:val="auto"/>
              </w:rPr>
              <w:t>Stock</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Capital contribution for</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extinguishment of debt</w:t>
            </w: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Acquisition of Public</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4"/>
                <w:szCs w:val="14"/>
                <w:color w:val="auto"/>
                <w:w w:val="95"/>
              </w:rPr>
              <w:t>and Private Placement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w w:val="96"/>
              </w:rPr>
              <w:t>(147,582)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86"/>
        </w:trPr>
        <w:tc>
          <w:tcPr>
            <w:tcW w:w="1460" w:type="dxa"/>
            <w:vAlign w:val="bottom"/>
          </w:tcPr>
          <w:p>
            <w:pPr>
              <w:ind w:left="100"/>
              <w:spacing w:after="0"/>
              <w:rPr>
                <w:sz w:val="20"/>
                <w:szCs w:val="20"/>
                <w:color w:val="auto"/>
              </w:rPr>
            </w:pPr>
            <w:r>
              <w:rPr>
                <w:rFonts w:ascii="Arial" w:cs="Arial" w:eastAsia="Arial" w:hAnsi="Arial"/>
                <w:sz w:val="14"/>
                <w:szCs w:val="14"/>
                <w:color w:val="auto"/>
              </w:rPr>
              <w:t>Warrants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(366,028)</w:t>
            </w:r>
          </w:p>
        </w:tc>
        <w:tc>
          <w:tcPr>
            <w:tcW w:w="0" w:type="dxa"/>
            <w:vAlign w:val="bottom"/>
          </w:tcPr>
          <w:p>
            <w:pPr>
              <w:spacing w:after="0"/>
              <w:rPr>
                <w:sz w:val="1"/>
                <w:szCs w:val="1"/>
                <w:color w:val="auto"/>
              </w:rPr>
            </w:pPr>
          </w:p>
        </w:tc>
      </w:tr>
      <w:tr>
        <w:trPr>
          <w:trHeight w:val="219"/>
        </w:trPr>
        <w:tc>
          <w:tcPr>
            <w:tcW w:w="1460" w:type="dxa"/>
            <w:vAlign w:val="bottom"/>
          </w:tcPr>
          <w:p>
            <w:pPr>
              <w:ind w:left="20"/>
              <w:spacing w:after="0"/>
              <w:rPr>
                <w:sz w:val="20"/>
                <w:szCs w:val="20"/>
                <w:color w:val="auto"/>
              </w:rPr>
            </w:pPr>
            <w:r>
              <w:rPr>
                <w:rFonts w:ascii="Arial" w:cs="Arial" w:eastAsia="Arial" w:hAnsi="Arial"/>
                <w:sz w:val="14"/>
                <w:szCs w:val="14"/>
                <w:color w:val="auto"/>
                <w:w w:val="96"/>
              </w:rPr>
              <w:t>Balance,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148,560,977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259,744,474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1,706,334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(1,395,010)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314,855</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80" w:right="20" w:hanging="172"/>
        <w:spacing w:after="0" w:line="217" w:lineRule="auto"/>
        <w:tabs>
          <w:tab w:leader="none" w:pos="169"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jc w:val="center"/>
        <w:ind w:left="340" w:right="2580"/>
        <w:spacing w:after="0" w:line="262" w:lineRule="auto"/>
        <w:rPr>
          <w:sz w:val="20"/>
          <w:szCs w:val="20"/>
          <w:color w:val="auto"/>
        </w:rPr>
      </w:pPr>
      <w:r>
        <w:rPr>
          <w:rFonts w:ascii="Arial" w:cs="Arial" w:eastAsia="Arial" w:hAnsi="Arial"/>
          <w:sz w:val="18"/>
          <w:szCs w:val="18"/>
          <w:color w:val="auto"/>
        </w:rPr>
        <w:t>CLOVER HEALTH INVESTMENTS, CORP. AND SUBSIDIARIES CONDENSED CONSOLIDATED STATEMENTS OF CASH FLOWS (Unaudited) (Dollars in thousands)</w:t>
      </w:r>
    </w:p>
    <w:p>
      <w:pPr>
        <w:jc w:val="center"/>
        <w:ind w:left="8620"/>
        <w:spacing w:after="0" w:line="228" w:lineRule="auto"/>
        <w:rPr>
          <w:sz w:val="20"/>
          <w:szCs w:val="20"/>
          <w:color w:val="auto"/>
        </w:rPr>
      </w:pPr>
      <w:r>
        <w:rPr>
          <w:rFonts w:ascii="Arial" w:cs="Arial" w:eastAsia="Arial" w:hAnsi="Arial"/>
          <w:sz w:val="14"/>
          <w:szCs w:val="14"/>
          <w:b w:val="1"/>
          <w:bCs w:val="1"/>
          <w:color w:val="auto"/>
        </w:rPr>
        <w:t>Six Months Ended</w:t>
      </w:r>
    </w:p>
    <w:p>
      <w:pPr>
        <w:jc w:val="center"/>
        <w:ind w:left="86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40" w:type="dxa"/>
            <w:vAlign w:val="bottom"/>
            <w:tcBorders>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(366,028)</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(22,759)</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notes and securities discounts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13,657</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85,739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3,448</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Paid-in-kind interest</w:t>
            </w:r>
          </w:p>
        </w:tc>
        <w:tc>
          <w:tcPr>
            <w:tcW w:w="3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12,527</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Change in fair value of warrants payable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48,937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11,752</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derivative liabilities</w:t>
            </w:r>
          </w:p>
        </w:tc>
        <w:tc>
          <w:tcPr>
            <w:tcW w:w="3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(19,394)</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Accretion, net of amortization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realized losses on investment securities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Amortization of warrants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retrospective premiums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(13,261)</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Other receivables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Performance year receivable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(436,334)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Surety bonds and deposits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(4,582)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Healthcare receivables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Unpaid claims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17,344</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salaries and benefits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Premium deficiency reserve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(15,585)</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w:t>
            </w:r>
          </w:p>
        </w:tc>
        <w:tc>
          <w:tcPr>
            <w:tcW w:w="0" w:type="dxa"/>
            <w:vAlign w:val="bottom"/>
          </w:tcPr>
          <w:p>
            <w:pPr>
              <w:spacing w:after="0"/>
              <w:rPr>
                <w:sz w:val="1"/>
                <w:szCs w:val="1"/>
                <w:color w:val="auto"/>
              </w:rPr>
            </w:pPr>
          </w:p>
        </w:tc>
      </w:tr>
      <w:tr>
        <w:trPr>
          <w:trHeight w:val="186"/>
        </w:trPr>
        <w:tc>
          <w:tcPr>
            <w:tcW w:w="8640" w:type="dxa"/>
            <w:vAlign w:val="bottom"/>
          </w:tcPr>
          <w:p>
            <w:pPr>
              <w:ind w:left="560"/>
              <w:spacing w:after="0"/>
              <w:rPr>
                <w:sz w:val="20"/>
                <w:szCs w:val="20"/>
                <w:color w:val="auto"/>
              </w:rPr>
            </w:pPr>
            <w:r>
              <w:rPr>
                <w:rFonts w:ascii="Arial" w:cs="Arial" w:eastAsia="Arial" w:hAnsi="Arial"/>
                <w:sz w:val="14"/>
                <w:szCs w:val="14"/>
                <w:color w:val="auto"/>
              </w:rPr>
              <w:t>Performance year obligation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455,143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Operating lease liabilities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7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(157,024)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(23,944)</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Purchases of short-term investments and available-for-sale securities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(323,451)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(73,266)</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short-term investments and available-for-sale securities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94,975</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Proceeds from maturities of short-term investments and available-for-sale securities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200,265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47,101</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(86,611)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68,347</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Payment of notes payable principal</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(30,925)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net of early exercise liability</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86"/>
        </w:trPr>
        <w:tc>
          <w:tcPr>
            <w:tcW w:w="8640" w:type="dxa"/>
            <w:vAlign w:val="bottom"/>
          </w:tcPr>
          <w:p>
            <w:pPr>
              <w:ind w:left="380"/>
              <w:spacing w:after="0"/>
              <w:rPr>
                <w:sz w:val="20"/>
                <w:szCs w:val="20"/>
                <w:color w:val="auto"/>
              </w:rPr>
            </w:pPr>
            <w:r>
              <w:rPr>
                <w:rFonts w:ascii="Arial" w:cs="Arial" w:eastAsia="Arial" w:hAnsi="Arial"/>
                <w:sz w:val="14"/>
                <w:szCs w:val="14"/>
                <w:color w:val="auto"/>
              </w:rPr>
              <w:t>Proceeds from reverse recapitalization, net of transaction costs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666,242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noncontrolling interest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7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637,034</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39,814</w:t>
            </w:r>
          </w:p>
        </w:tc>
        <w:tc>
          <w:tcPr>
            <w:tcW w:w="0" w:type="dxa"/>
            <w:vAlign w:val="bottom"/>
          </w:tcPr>
          <w:p>
            <w:pPr>
              <w:spacing w:after="0"/>
              <w:rPr>
                <w:sz w:val="1"/>
                <w:szCs w:val="1"/>
                <w:color w:val="auto"/>
              </w:rPr>
            </w:pPr>
          </w:p>
        </w:tc>
      </w:tr>
      <w:tr>
        <w:trPr>
          <w:trHeight w:val="186"/>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67,598</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485,747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107,412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cash flow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during the period for 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186"/>
        </w:trPr>
        <w:tc>
          <w:tcPr>
            <w:tcW w:w="864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Conversion of preferred stock to common stock</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40" w:type="dxa"/>
            <w:vAlign w:val="bottom"/>
          </w:tcPr>
          <w:p>
            <w:pPr>
              <w:ind w:left="200"/>
              <w:spacing w:after="0"/>
              <w:rPr>
                <w:sz w:val="20"/>
                <w:szCs w:val="20"/>
                <w:color w:val="auto"/>
              </w:rPr>
            </w:pPr>
            <w:r>
              <w:rPr>
                <w:rFonts w:ascii="Arial" w:cs="Arial" w:eastAsia="Arial" w:hAnsi="Arial"/>
                <w:sz w:val="14"/>
                <w:szCs w:val="14"/>
                <w:color w:val="auto"/>
              </w:rPr>
              <w:t>Issuance of common stock related to convertible debt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contribution for extinguishment of debt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40" w:type="dxa"/>
            <w:vAlign w:val="bottom"/>
          </w:tcPr>
          <w:p>
            <w:pPr>
              <w:ind w:left="200"/>
              <w:spacing w:after="0"/>
              <w:rPr>
                <w:sz w:val="20"/>
                <w:szCs w:val="20"/>
                <w:color w:val="auto"/>
              </w:rPr>
            </w:pPr>
            <w:r>
              <w:rPr>
                <w:rFonts w:ascii="Arial" w:cs="Arial" w:eastAsia="Arial" w:hAnsi="Arial"/>
                <w:sz w:val="14"/>
                <w:szCs w:val="14"/>
                <w:color w:val="auto"/>
              </w:rPr>
              <w:t>Issuance of common stock related to warrants exercised</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97,782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Public and Private Warrants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147,582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640" w:type="dxa"/>
            <w:vAlign w:val="bottom"/>
          </w:tcPr>
          <w:p>
            <w:pPr>
              <w:ind w:left="200"/>
              <w:spacing w:after="0"/>
              <w:rPr>
                <w:sz w:val="20"/>
                <w:szCs w:val="20"/>
                <w:color w:val="auto"/>
              </w:rPr>
            </w:pPr>
            <w:r>
              <w:rPr>
                <w:rFonts w:ascii="Arial" w:cs="Arial" w:eastAsia="Arial" w:hAnsi="Arial"/>
                <w:sz w:val="14"/>
                <w:szCs w:val="14"/>
                <w:color w:val="auto"/>
              </w:rPr>
              <w:t>Right-of-use assets obtained in exchange for lease liabilities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that it believes will enable it to solve a significant data problem while avoiding the limitations of legacy approaches. Clover leverages its flagship software platform, the Clover Assistant, to help America’s seniors receive better care at lower costs.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8, 2021, the Centers for Medicare and Medicaid Services (CMS), an agency of the United States Department of Health and Human Services, announced that the Corporation's subsidiary Clover Health Partners, LLC, began participating as a Direct Contracting Entity (DCE) in the CMS's Global and Professional Direct Contracting Model (DC Model) on April 1, 2021.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physicians, specialists, and hospitals, enabling its members to see any doctor participating in Medicare willing to accept them. Clover focuses on minimizing members' out-of-pocket costs and offers many plans that allow members to pay the same co-pays for physician visits regardless of whether their physician is in- or out-of-network. Clover's DCE, which assumes full risk (i.e., 100.0% shared savings and shared losses) for the total cost of care of aligned Original Medicare beneficiaries (DCE Beneficiaries), focuses on its technology platform to enhance healthcare delivery, reduce expenditures, and improve care for DCE Beneficiaries.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Clover was originally incorporated as a Cayman Islands exempted company on October 18, 2020,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is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Corporation's interim Condensed Consolidated Financial Statements have been prepared in conformity with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conform to the current period presentation, prepaid expenses, which was previously included in other assets, current, was reclassified as its own line item in the prior year’s Condensed Consolidated Balance Sheet. Certain amounts in the prior year period’s Condensed Consolidated Statement of Cash Flows have been reclassified to conform to the current year period’s presentation, primarily related to the amortization of warrants, amortization of debt issuance costs, and paid-in-kind interest. These reclassifications had no effect on the previously reported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warrants, the embedded derivative related to the convertible securities, stock-based compensation, recoveries from third parties for coordination of benefits, the Direct Contracting benchmark specifically cost trend and and risk score estimates that can develop over time, and final determination of medical cost adjustment pools.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 Corporation’s arrangements with third-party providers require it to guarantee the performance of its care network to CMS. As a result of the Corporation’s participation in the DC Model, the Corporation determined that it was making a performance guarantee with respect to providers of DCE Beneficiaries that should be recognized in the financial statements.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Direct Contracting revenue is also known in the DC Model as performance year expenditures and is the primary component used to calculate shared savings or shared loss versus the performance year benchmark. Direct Contracting revenue is representative of CMS’s total expenditures incurred for medical services provided on behalf of DCE Beneficiaries during months in which those beneficiaries were alignment-eligible and aligned to the DCE. Direct Contracting revenue is calculated by taking the sum of the capitation payments made to the Corporation for services within the scope of the Corporation’s capitation arrangement and fee-for-service (FFS) payments made to providers directly from CMS.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Corporation's cloud computing arrangements primarily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June 30, 2021, there were no deferred acquisition costs as a result of the acceleration of amortization for deferred acquisition costs due to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recognition of a premium deficiency reserve during the three and six months ended June 30, 2021. For the three and six months ended June 30, 2021, amortization expense of deferred acquisition costs of $6.7 million and $8.5 million, respectively, were recognized in general and administrative expenses. There was no amortization expense of deferred acquisition costs for the three and six months ended June 30,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the Corporation has implemented additional steps related to our care delivery, our member support, and our internal policies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 Update (ASU) 2018-13, </w:t>
      </w:r>
      <w:r>
        <w:rPr>
          <w:rFonts w:ascii="Arial" w:cs="Arial" w:eastAsia="Arial" w:hAnsi="Arial"/>
          <w:sz w:val="18"/>
          <w:szCs w:val="18"/>
          <w:i w:val="1"/>
          <w:iCs w:val="1"/>
          <w:color w:val="auto"/>
        </w:rPr>
        <w:t>Changes to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Measurements</w:t>
      </w:r>
      <w:r>
        <w:rPr>
          <w:rFonts w:ascii="Arial" w:cs="Arial" w:eastAsia="Arial" w:hAnsi="Arial"/>
          <w:sz w:val="18"/>
          <w:szCs w:val="18"/>
          <w:color w:val="auto"/>
        </w:rPr>
        <w:t>, the purpose of which is to improve the effectiveness of disclosure requirements for recurring and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 software license is accounted for by the customer by recognizing an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June 30, 2021, $2.6 million was recorded in other assets, current, as deferred implementation costs. No amortization expense associated with the Corporation's cloud computing arrangements has been recognized during the three and six months ended June 30, 2021. No impairment has been recognized during the three and six months ended June 30, 2021, as there were no events or changes in circumstances to indicate that the carrying amount of the Corporation's cloud computing arrangements may not be recoverable.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was subsequently modified by several ASUs issued in 2018 and 2019. This standard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Consolidated Financial Statements and expects the impact to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Consolidated Financial Statements, but does not expect for this to have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Consolidated Financial Statements, but does not expect for this to have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2021. The Corporation is currently evaluating the impact of the adoption of ASU 2020-06 on the Consolidated Financial Statements, but does not expect for this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and following approval by SCH's shareholders at an extraordinary general meeting held January 6, 2021 (the "Special Meeting"):</w:t>
      </w:r>
    </w:p>
    <w:p>
      <w:pPr>
        <w:spacing w:after="0" w:line="222"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Mergers, among other things, (i) all outstanding shares of common stock of Legacy Clover immediately prior to the effective time of the First Merger were canceled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(RSUs)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Each whole Warrant entitles the registered holder to purchase one whole share of Class A Common Stock at a price of $11.50 per share, subject to adjustment at any time commencing on April 24, 2021, which is 12 months from the closing of SCH's initial public offering.</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38,553,271 Warrants outstanding.</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June 30, 2021, there were no shares of preferred stock issued and outstanding.</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Business Combination was accounted for as a reverse recapitalization in accordance with GAAP. Under the guidance in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The Business Combination will have a significant impact on the Corporation's future reported financial position and results 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also Note 9 (Notes and Securities Payable), Note 10 (Warrants Payable), and Note 14 (Convertible Preferred Stock) for additional information regarding changes to the instruments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cost or amortized cost and fair values of investments as of June 30, 2021, and December 31, 2020, respectively: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39,861</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39,448</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40,556</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40,177</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677"/>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5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53,953</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717"/>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54,647</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center"/>
              <w:ind w:left="717"/>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54,700</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as of June 30, 2021, by contractual maturity: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Held-to-maturity</w:t>
            </w: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Available-for-sale</w:t>
            </w:r>
          </w:p>
        </w:tc>
      </w:tr>
      <w:tr>
        <w:trPr>
          <w:trHeight w:val="19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35,634</w:t>
            </w: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5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39,861</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39,448</w:t>
            </w: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2021 and 2020, respectively, net investment income, which is included within other income in the Condensed Consolidated Statements of Operations and Comprehensive Loss, was derived from the following sources: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r>
      <w:tr>
        <w:trPr>
          <w:trHeight w:val="250"/>
        </w:trPr>
        <w:tc>
          <w:tcPr>
            <w:tcW w:w="5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1"/>
                <w:szCs w:val="21"/>
                <w:color w:val="auto"/>
              </w:rPr>
            </w:pPr>
          </w:p>
        </w:tc>
      </w:tr>
      <w:tr>
        <w:trPr>
          <w:trHeight w:val="239"/>
        </w:trPr>
        <w:tc>
          <w:tcPr>
            <w:tcW w:w="5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21"/>
                <w:szCs w:val="21"/>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37</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w:t>
            </w:r>
          </w:p>
        </w:tc>
        <w:tc>
          <w:tcPr>
            <w:tcW w:w="1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1,403</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June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Greater than 12 months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Unrealized loss</w:t>
            </w:r>
          </w:p>
        </w:tc>
      </w:tr>
      <w:tr>
        <w:trPr>
          <w:trHeight w:val="196"/>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w w:val="90"/>
              </w:rPr>
              <w:t>(in thousands, except number of positions)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U.S. government and government agencies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34,169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34,169</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332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34,169</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34,169</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33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June 30, 2021, were deemed to be temporary, based on, among other things:</w:t>
      </w:r>
    </w:p>
    <w:p>
      <w:pPr>
        <w:spacing w:after="0" w:line="224" w:lineRule="exact"/>
        <w:rPr>
          <w:sz w:val="20"/>
          <w:szCs w:val="20"/>
          <w:color w:val="auto"/>
        </w:rPr>
      </w:pPr>
    </w:p>
    <w:p>
      <w:pPr>
        <w:ind w:left="660" w:right="2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duration of time and the relative magnitude to which fair values of these securities have been below their amortized cost was not indicative of an other-than-temporary impairment loss;</w:t>
      </w:r>
    </w:p>
    <w:p>
      <w:pPr>
        <w:spacing w:after="0" w:line="243"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absence of compelling evidence that would cause the Corporation to call into question the financial condition or near-term prospects of the issuer of the applicable security; and</w:t>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17" w:name="page18"/>
    <w:bookmarkEnd w:id="17"/>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Corporation's ability and intent to hold the applicable security for a period of time sufficient to allow for any anticipated recovery.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and six months ended June 30, 2021 and 2020,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24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50"/>
        </w:trPr>
        <w:tc>
          <w:tcPr>
            <w:tcW w:w="5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2021</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19,598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36,865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94,975</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200,000</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200,265</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47,101</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gains (losses)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 Corporation had $11.2 million and $7.5 million, respectively, in deposits with various states and regulatory bodies that are included as part of the Corporation's investment balances.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fair value measurements for items as of June 30, 2021, and December 31, 2020,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39"/>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39,448</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39,448</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39,448</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39,448</w:t>
            </w:r>
          </w:p>
        </w:tc>
      </w:tr>
      <w:tr>
        <w:trPr>
          <w:trHeight w:val="20"/>
        </w:trPr>
        <w:tc>
          <w:tcPr>
            <w:tcW w:w="59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Warrants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140,760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140,760</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55,760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55,760</w:t>
            </w:r>
          </w:p>
        </w:tc>
      </w:tr>
      <w:tr>
        <w:trPr>
          <w:trHeight w:val="268"/>
        </w:trPr>
        <w:tc>
          <w:tcPr>
            <w:tcW w:w="59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liabilities at fair value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140,760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9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196,520</w:t>
            </w: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53,963</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53,963</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r>
      <w:tr>
        <w:trPr>
          <w:trHeight w:val="20"/>
        </w:trPr>
        <w:tc>
          <w:tcPr>
            <w:tcW w:w="59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44,810</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Warrants payable</w:t>
            </w:r>
          </w:p>
        </w:tc>
        <w:tc>
          <w:tcPr>
            <w:tcW w:w="24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97,782</w:t>
            </w:r>
          </w:p>
        </w:tc>
      </w:tr>
      <w:tr>
        <w:trPr>
          <w:trHeight w:val="268"/>
        </w:trPr>
        <w:tc>
          <w:tcPr>
            <w:tcW w:w="59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liabilities at fair value</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 9 (Notes and Securities Payable), Note 10 (Warrants Payable), and Note 11 (Derivative Liabilities) for additional information regarding liabilities.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The fair value of the convertible securities is based on Level 3 inputs. There was no fair value associated with convertible securities at June 30, 2021, due to the conversion of the securities to shares of the Corporation’s common stock due to the completion of the Business Combination, and the estimated fair value of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 ended December 31,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Preferred stock</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Common stock purchase</w:t>
            </w:r>
          </w:p>
        </w:tc>
        <w:tc>
          <w:tcPr>
            <w:tcW w:w="0" w:type="dxa"/>
            <w:vAlign w:val="bottom"/>
          </w:tcPr>
          <w:p>
            <w:pPr>
              <w:spacing w:after="0"/>
              <w:rPr>
                <w:sz w:val="1"/>
                <w:szCs w:val="1"/>
                <w:color w:val="auto"/>
              </w:rPr>
            </w:pPr>
          </w:p>
        </w:tc>
      </w:tr>
      <w:tr>
        <w:trPr>
          <w:trHeight w:val="229"/>
        </w:trPr>
        <w:tc>
          <w:tcPr>
            <w:tcW w:w="7280" w:type="dxa"/>
            <w:vAlign w:val="bottom"/>
            <w:gridSpan w:val="2"/>
            <w:vMerge w:val="continue"/>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purchase warrants</w:t>
            </w:r>
          </w:p>
        </w:tc>
        <w:tc>
          <w:tcPr>
            <w:tcW w:w="400" w:type="dxa"/>
            <w:vAlign w:val="bottom"/>
          </w:tcPr>
          <w:p>
            <w:pPr>
              <w:spacing w:after="0"/>
              <w:rPr>
                <w:sz w:val="19"/>
                <w:szCs w:val="19"/>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warrants</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Beginning stock price</w:t>
            </w:r>
          </w:p>
        </w:tc>
        <w:tc>
          <w:tcPr>
            <w:tcW w:w="8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N/A</w:t>
            </w: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Strike price</w:t>
            </w: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0.02 years</w:t>
            </w: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Discount factor</w:t>
            </w: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balances of Level 3 financial liabilities during the three months ended June 30, 2021. The changes in balances of Level 3 financial liabilities during the three months ended June 30, 2020, and the six months ended June 30, 2021 and 2020, respectively,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9"/>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6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416,875</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losses (gains)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r>
      <w:tr>
        <w:trPr>
          <w:trHeight w:val="262"/>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285,166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433,757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9"/>
        </w:trPr>
        <w:tc>
          <w:tcPr>
            <w:tcW w:w="3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6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92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Total realized losses (gains)</w:t>
            </w: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38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June 30, 2021</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723"/>
        </w:trPr>
        <w:tc>
          <w:tcPr>
            <w:tcW w:w="3820" w:type="dxa"/>
            <w:vAlign w:val="bottom"/>
          </w:tcPr>
          <w:p>
            <w:pPr>
              <w:spacing w:after="0"/>
              <w:rPr>
                <w:sz w:val="24"/>
                <w:szCs w:val="24"/>
                <w:color w:val="auto"/>
              </w:rPr>
            </w:pPr>
          </w:p>
        </w:tc>
        <w:tc>
          <w:tcPr>
            <w:tcW w:w="192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15</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9"/>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6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408,118</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losses (gains)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25,639</w:t>
            </w:r>
          </w:p>
        </w:tc>
      </w:tr>
      <w:tr>
        <w:trPr>
          <w:trHeight w:val="261"/>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285,166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433,757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Level 3 financial liabilities in the table above, on September 25, 2020, the Corporation issued the 2020 Convertible Note with the carrying value approximating the fair value of $20.0 million. For additional information, see Note 9 (Notes and Securities Payable). As of June 30, 2021 and December 31, 2020, both the carrying values, which includes accrued interest, and the fair values of the 2020 Convertible Note were $21.1 million and $20.4 million, respectively, and these were considered Level 3 financial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financial assets or liabilities for the three and six months ended June 30, 2021 or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accounted for as liabilities in accordance with ASC 815-40 and are presented within warrants payable on the Consolidated Balance Sheet. The warrant liabilities were measured at fair value at inception and are measured on a recurring basis, with changes in fair value presented within change in fair value of warrants payable in the Consolidated Statement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Measurement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Warrants are measured at fair value on a recurring basis. The measurement of the Warrants as of June 30, 2021, was $196.5 million. The Corporation has classified the Warrants as a liability due to certain settlement terms and provisions related to certain tender offers and indexation characteristics following a business combination and has accounted for them as liability instruments in accordance with ASC 815, adjusting the fair value at the end of each reporting period. Additionally, the Corporation has determined that the Public Warrants are classified within Level 1 of the fair value hierarchy as the fair value is equal to the publicly traded price of the Public Warrants, and the Private Placement Warrants are classified within Level 2 of the fair value hierarchy as the fair value is estimated using the price of the Public Warrants.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The following table presents the changes in the fair value of warrants payable:</w:t>
            </w: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Public and Private</w:t>
            </w:r>
          </w:p>
        </w:tc>
        <w:tc>
          <w:tcPr>
            <w:tcW w:w="0" w:type="dxa"/>
            <w:vAlign w:val="bottom"/>
          </w:tcPr>
          <w:p>
            <w:pPr>
              <w:spacing w:after="0"/>
              <w:rPr>
                <w:sz w:val="1"/>
                <w:szCs w:val="1"/>
                <w:color w:val="auto"/>
              </w:rPr>
            </w:pPr>
          </w:p>
        </w:tc>
      </w:tr>
      <w:tr>
        <w:trPr>
          <w:trHeight w:val="229"/>
        </w:trPr>
        <w:tc>
          <w:tcPr>
            <w:tcW w:w="89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Placement Warrants</w:t>
            </w:r>
          </w:p>
        </w:tc>
        <w:tc>
          <w:tcPr>
            <w:tcW w:w="0" w:type="dxa"/>
            <w:vAlign w:val="bottom"/>
          </w:tcPr>
          <w:p>
            <w:pPr>
              <w:spacing w:after="0"/>
              <w:rPr>
                <w:sz w:val="1"/>
                <w:szCs w:val="1"/>
                <w:color w:val="auto"/>
              </w:rPr>
            </w:pPr>
          </w:p>
        </w:tc>
      </w:tr>
      <w:tr>
        <w:trPr>
          <w:trHeight w:val="223"/>
        </w:trPr>
        <w:tc>
          <w:tcPr>
            <w:tcW w:w="88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Initial measurement, January 7, 2021</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147,582</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Mark-to-market adjustment</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48,938</w:t>
            </w:r>
          </w:p>
        </w:tc>
        <w:tc>
          <w:tcPr>
            <w:tcW w:w="0" w:type="dxa"/>
            <w:vAlign w:val="bottom"/>
          </w:tcPr>
          <w:p>
            <w:pPr>
              <w:spacing w:after="0"/>
              <w:rPr>
                <w:sz w:val="1"/>
                <w:szCs w:val="1"/>
                <w:color w:val="auto"/>
              </w:rPr>
            </w:pPr>
          </w:p>
        </w:tc>
      </w:tr>
      <w:tr>
        <w:trPr>
          <w:trHeight w:val="248"/>
        </w:trPr>
        <w:tc>
          <w:tcPr>
            <w:tcW w:w="8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Warrants payable balance, June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196,520</w:t>
            </w:r>
          </w:p>
        </w:tc>
        <w:tc>
          <w:tcPr>
            <w:tcW w:w="0" w:type="dxa"/>
            <w:vAlign w:val="bottom"/>
          </w:tcPr>
          <w:p>
            <w:pPr>
              <w:spacing w:after="0"/>
              <w:rPr>
                <w:sz w:val="1"/>
                <w:szCs w:val="1"/>
                <w:color w:val="auto"/>
              </w:rPr>
            </w:pPr>
          </w:p>
        </w:tc>
      </w:tr>
      <w:tr>
        <w:trPr>
          <w:trHeight w:val="20"/>
        </w:trPr>
        <w:tc>
          <w:tcPr>
            <w:tcW w:w="8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Healthcare Receivables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June 30, 2021, and December 31, 2020, the Corporation recognized rebate receivables of approximately $30.8 million and $26.6 million, respectively. In addition to pharmaceutical rebates, Medicare Part D settlement receivables, member premium receivables and other CMS receivables included in healthcare receivables totaled $1.1 million and $12.1 million at June 30, 2021, and December 31, 2020, respectively.</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$3.5 million and $0.7 million for the three months ended June 30, 2021 and 2020, respectively, and $6.7 million and $3.4 million for the six months ended June 30, 2021 and 2020, respectively.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contracted with Rogue Trading, LLC (Rogue), a marketing services provider. The Corporation’s President and Chief Technology Officer, Andrew Toy, is related to the Chief Executive Officer of Rogue. Expenses and fees related to these contracts were $0.1 million and $0.2 million for the three and six months ended June 30, 2021, respectively. There were no expenses related to these contracts during the three and six months ended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Unpaid Claims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six months ended June 30, 2021 and 2020,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and net balance,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279,442</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(13,748)</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incurred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192,519</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248,350</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Gross and net balance,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-342265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-1516380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Unpaid claims as of June 30, 2021, were $132.6 million. During the six months ended June 30, 2021, $644.4 million was paid for incurred claims attributable to insured events of prior years. An unfavorable development of $3.1 million was recognized during the six months ended June 30, 2021, resulting from the Corporation's claims experience, likely due to provider administrative challenges related to the COVID-19 pandemic. A favorable development of $13.7 million was recognized during the six months ended June 30, 2020, resulting from the actualization of fee-for-service claims. Original estimates are increased or decreased, as additional information becomes known regarding individual claims. The ratio of current year medical claims paid as a percentage of current year net medical claims incurred was 82.9% for the six months ended June 30, 2021, and 68.9% for the six months ended June 30, 2020. This ratio serves as an indicator of claims processing speed, indicating that claims were processed at a faster rate during the six months ended June 30, 2021, than during the six months ended June 30, 2020.</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second quarter 2021, the Corporation began participating in the DC Model, which accounted for approximately 35.9% of the Corporation’s total incurred claims as of June 30,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uses a variety of standard actuarial techniques to establish unpaid claims reserves. Management estimates are supported by the Corporation's annual actuarial analysis. The Corporation utilizes an internal actuary to review the adequacy of unpaid</w:t>
      </w:r>
    </w:p>
    <w:p>
      <w:pPr>
        <w:sectPr>
          <w:pgSz w:w="11900" w:h="16838" w:orient="portrait"/>
          <w:cols w:equalWidth="0" w:num="1">
            <w:col w:w="11240"/>
          </w:cols>
          <w:pgMar w:left="320" w:top="98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claim and unpaid claim adjustment expense. The estimation of claim costs is inherently difficult and requires significant judgement.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and Securities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Non-convertible Notes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was secured by the assets of the Corporation. The initial obligation of $40.0 million had a maturity date of March 1, 2022, and was subject to an interest rate of 11.0%, payable monthly, with the majority of principal payments commencing 36 months prior to the maturity date. The additional $20.0 million obligation had a maturity date of October 1, 2022, and was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2021, the Corporation voluntarily paid the remaining principal of $20.7 million and interest of $0.2 million, thereby terminating the Loan Facility.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approximately $0.6 million and $1.2 million during the three months ended June 30, 2021 and 2020, respectively, and $1.4 million and $2.5 million during the six months ended June 30, 2021 and 2020, respectively. The effective interest rate was 11.8% during the three and six months ended June 30,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181" w:lineRule="exact"/>
        <w:rPr>
          <w:sz w:val="20"/>
          <w:szCs w:val="20"/>
          <w:color w:val="auto"/>
        </w:rPr>
      </w:pPr>
    </w:p>
    <w:p>
      <w:pPr>
        <w:jc w:val="both"/>
        <w:ind w:left="820" w:right="440" w:hanging="326"/>
        <w:spacing w:after="0" w:line="289" w:lineRule="auto"/>
        <w:tabs>
          <w:tab w:leader="none" w:pos="8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spacing w:after="0" w:line="166" w:lineRule="exact"/>
        <w:rPr>
          <w:rFonts w:ascii="Arial" w:cs="Arial" w:eastAsia="Arial" w:hAnsi="Arial"/>
          <w:sz w:val="16"/>
          <w:szCs w:val="16"/>
          <w:color w:val="auto"/>
        </w:rPr>
      </w:pPr>
    </w:p>
    <w:p>
      <w:pPr>
        <w:jc w:val="both"/>
        <w:ind w:left="820" w:right="440" w:hanging="326"/>
        <w:spacing w:after="0" w:line="279" w:lineRule="auto"/>
        <w:tabs>
          <w:tab w:leader="none" w:pos="8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convertible securities bore a yield ("interest") at the increasing rates noted below which compounded semi-annually, and would mature April 1, 2023, unless earlier converted, repurchased, or extended. The interest rate and embedded feature discount factor varied based on the length of time elapsed from the issue date of the securities. The interest rates began at 6.5% for the first twelve-month period through the first anniversary of the security issue date, increasing ratably on a semi-annual basis, to 13.5% at the third anniversary of the security issue date until the convertible securities ceased to be outstanding. The embedded feature discount factors began at 75.0% for the first twelve-month period through the first anniversary of the security issue date, decreasing ratably on a semi-annual basis, to 55.0% at the forty-two month anniversary of the security issue date until the convertible securities ceased to be outstanding.</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 of the convertible securities was $76.5 million at December 31, 2020. The unamortized discount was $337.3 million at December 31, 2020. Amortization of the debt discount was approximately $10.5 million during the six months ended June 30, 2020. Interest expense on the convertible securities was $13.8 million during the six months ended 2020. The effective interest rate, inclusive of amortization of the discount and the contractual rate, was in excess of 100.0% during the six months ended June 30, 2020, as a result of the convertible securities having a carrying value at inception of $0. The results presented as of and for the six months ended June 30, 2021, above, reflect the impact of the conversion of the convertible securities into common stock in connection with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Seek Convertible Note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25, 2020, Seek Insurance Services, Inc. (Seek), a field marketing organization and an indirect wholly-owned subsidiary of the Corporation, entered into a note purchase agreement (the "Seek Convertible Note Agreement") with a third-party investor, and issued a note for a principal amount of $20.0 million. The principal borrowed as of September 30, 2020, was $20.0 million. The note bears simple interest at an annual rate of 8.0% and matures on September 25, 2023, unless earlier accelerated, converted, or paid in full, as discussed below.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 was $19.9 million at each June 30, 2021, and December 31, 2020. The Corporation capitalized $0.1 million of issuance costs which are being amortized using the effective interest method over the term of the note. Unamortized debt issuance costs were $0.1 million at both June 30, 2021, and December 31, 2020. Amortization of the debt issuance costs and interest expense on the note was $0.4 million and $0.8 million during the three and six months ended June 30,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interest rate was 8.2% and 8.1% during the three and six months ended June 30,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was in compliance with all applicable financial and non-financial covenants under its financing arrangements for all periods presented.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Payable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Facility effective March 21, 2017, the Corporation issued warrants to purchase 1,266,284 shares of the Corporation's Series D preferred stock at an exercise price of $9.38 per share, which were set to expire on September 30, 2027. The warrants were exercisable at any time up to the expiration date. Per the original terms, in the event of an automatic conversion of the preferred stock prior to the exercise of the warrants, the warrants would be exercisable in common stock. On October 5, 2020, the Corporation entered into the Merger Agreement with SCH and simultaneously amended the warrants to be automatically exercisable for common stock in connection with the Business Combination. Additionally, the original strike price of the warrants changed from $9.38 per share to $0.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September 2015, the Corporation issued warrants to purchase 2,100,000 shares of the Corporation's common stock at an exercise price of $1.04 per share which expire on September 2, 2022. The warrants were exercisable at any time up to the expiration date. The warrants were also contingently exercisable for an additional 2,100,000 shares based proportionally on the aggregate principal amounts of additional notes borrowed by the Corporation.</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Merger Agreement, the warrants automatically converted into 3,484,154 shares of Legacy Clover common stock and, after giving effect to the Exchange Ratio converted into 7,205,490 shares of Class B Common Stock upon the closing of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the Corporation assumed, as of January 7, 2021, Public Warrants to purchase an aggregate of 27,599,938 shares of the Corporation's Class A Common Stock and Private Placement Warrants to purchase an aggregate of 10,933,333 shares of the Corporation's Class A Common Stock. Each whole Warrant entitles the registered holder to purchase one whole share of Class A Common Stock at a price of $11.50 per share, at any time commencing on April 24,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may call the Public Warrants for redemption:</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Common Stock for any 20 trading days within a 30-trading day period ending on the third trading day prior to the date on which the Corporation sends the notice of redemption to the warrant holders equals or exceeds $18.00 per share (as adjusted for share splits, share dividends, rights issuances, subdivisions, reorganizations, recapitalizations and the like).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and when the Public Warrants become redeemable, the Corporation may exercise the redemption right even if the Corporation is unable to register or qualify the underlying securities for sale under all applicable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“Cashless” Redemption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the Corporation's Class A Common Stock;</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only if, the value equals or exceeds $10.00 per share (as adjusted for share splits, share dividends, rights issuances, subdivisions, reorganizations, recapitalizations and the like);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Reference Value (closing stock price for 20 out of 30 trading days)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will be exercisable on a cashless basis and be non-redeemable except as described above so long as they are held by the initial purchasers or their permitted</w:t>
      </w:r>
    </w:p>
    <w:p>
      <w:pPr>
        <w:sectPr>
          <w:pgSz w:w="11900" w:h="16838" w:orient="portrait"/>
          <w:cols w:equalWidth="0" w:num="1">
            <w:col w:w="11240"/>
          </w:cols>
          <w:pgMar w:left="320" w:top="989"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transferees. If the Private Placement Warrants are held by someone other than the initial purchasers or their permitted transferees, the Private Placement Warrants will be redeemable by the Corporation and exercisable by such holders on the same basis as the Public Warrants. Except as described above, if holders of the Private Placement Warrants elect to exercise them on a cashless basis, they would pay the exercise price by surrendering the warrants for that number of shares of Class A Common Stock equal to the quotient obtained by dividing the product of the number of shares of Class A Common Stock underlying the warrants multiplied by the excess of the “historical fair market value” (defined below) less the exercise price of the warrants, by the historical fair market value (a “Make-Whole Exercise”).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the aggregate values of the Public Warrants and the Private Placement Warrants were $140.8 million and $55.8 million, respectively, representing Warrants outstanding to purchase 27,599,938 shares and 10,933,333 shares, respectively, of the Corporation's Class A Common Stock. The Warrants are accounted for as liabilities in accordance with ASC 815-40 and are presented within warrants payable on the Condensed Consolidated Balance Sheet. The warrant liabilities are measured at fair value at inception and on a recurring basis, with changes in fair value presented within change in fair value of warrants payable in the Condensed Consolidated Statement of Operations and Comprehensive Loss. See Note 5 (Fair Value Measurements) for additional information.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22, 2021, the Corporation announced that it is redeeming, at 5:00 p.m. New York City time on August 23, 2021 (the "Redemption Date"), all of the Public Warrants and all of the Private Placement Warrants for a redemption price of $0.10 per Warrant. The Warrants may be exercised by the holders thereof until 5:00 p.m. New York City time on the Redemption Date to purchase fully paid and non-assessable shares of Class A Common Stock underlying such Warrants. Payment upon exercise of the Warrants may be made either (i) in cash, at an exercise price of $11.50 per share of Class A Common Stock or (ii) on a "cashless basis" in which the exercising holder will receive 0.249 shares of Class A Common Stock per Warrant shares of Class A Common Stock. If any holder of Warrants would, after taking into account all of such holder's Warrants exercised at one time, be entitled to receive a fractional interest in a share of Class A Common Stock, the number of shares the holder will be entitled to receive will be rounded down to the nearest whole number of shares.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Liabilities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six months ended June 30, 2021. This capital contribution of $44.8 million was recorded as an increase in additional paid in capital as the notes were issued to affiliates of the Corporation. The Corporation recognized a gain of $5.2 million and $19.4 million from activity related to derivative liabilities in connection with the convertible securities during the three and six months ended June 30, 2020, respectively,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Letter of Credit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leases office space in New Jersey, Minnesota, Tennessee, and San Francisco under non-cancelable operating leases,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Corporation’s leases are being considered for subletting.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Montgomery Lease: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Therefore, as of April 9, 2021, the Corporation was no longer in default with respect to the Montgomery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three and six months ended June 30, 2021:</w:t>
      </w:r>
    </w:p>
    <w:p>
      <w:pPr>
        <w:sectPr>
          <w:pgSz w:w="11900" w:h="16838" w:orient="portrait"/>
          <w:cols w:equalWidth="0" w:num="1">
            <w:col w:w="11240"/>
          </w:cols>
          <w:pgMar w:left="320" w:top="989" w:right="339" w:bottom="1440" w:gutter="0" w:footer="0" w:header="0"/>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30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ind w:left="1109" w:hanging="960"/>
        <w:spacing w:after="0"/>
        <w:tabs>
          <w:tab w:leader="none" w:pos="11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1,090</w:t>
      </w:r>
    </w:p>
    <w:p>
      <w:pPr>
        <w:spacing w:after="0" w:line="22" w:lineRule="exact"/>
        <w:rPr>
          <w:rFonts w:ascii="Arial" w:cs="Arial" w:eastAsia="Arial" w:hAnsi="Arial"/>
          <w:sz w:val="18"/>
          <w:szCs w:val="18"/>
          <w:color w:val="auto"/>
        </w:rPr>
      </w:pPr>
    </w:p>
    <w:p>
      <w:pPr>
        <w:ind w:left="1249"/>
        <w:spacing w:after="0"/>
        <w:rPr>
          <w:rFonts w:ascii="Arial" w:cs="Arial" w:eastAsia="Arial" w:hAnsi="Arial"/>
          <w:sz w:val="18"/>
          <w:szCs w:val="18"/>
          <w:color w:val="auto"/>
        </w:rPr>
      </w:pPr>
      <w:r>
        <w:rPr>
          <w:rFonts w:ascii="Arial" w:cs="Arial" w:eastAsia="Arial" w:hAnsi="Arial"/>
          <w:sz w:val="18"/>
          <w:szCs w:val="18"/>
          <w:color w:val="auto"/>
        </w:rPr>
        <w:t>116</w:t>
      </w:r>
    </w:p>
    <w:p>
      <w:pPr>
        <w:spacing w:after="0" w:line="22" w:lineRule="exact"/>
        <w:rPr>
          <w:rFonts w:ascii="Arial" w:cs="Arial" w:eastAsia="Arial" w:hAnsi="Arial"/>
          <w:sz w:val="18"/>
          <w:szCs w:val="18"/>
          <w:color w:val="auto"/>
        </w:rPr>
      </w:pPr>
    </w:p>
    <w:p>
      <w:pPr>
        <w:ind w:left="1329"/>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3" w:lineRule="exact"/>
        <w:rPr>
          <w:sz w:val="20"/>
          <w:szCs w:val="20"/>
          <w:color w:val="auto"/>
        </w:rPr>
      </w:pPr>
    </w:p>
    <w:p>
      <w:pPr>
        <w:ind w:left="1169"/>
        <w:spacing w:after="0"/>
        <w:rPr>
          <w:sz w:val="20"/>
          <w:szCs w:val="20"/>
          <w:color w:val="auto"/>
        </w:rPr>
      </w:pPr>
      <w:r>
        <w:rPr>
          <w:rFonts w:ascii="Arial" w:cs="Arial" w:eastAsia="Arial" w:hAnsi="Arial"/>
          <w:sz w:val="17"/>
          <w:szCs w:val="17"/>
          <w:color w:val="auto"/>
        </w:rPr>
        <w:t>(650)</w:t>
      </w:r>
    </w:p>
    <w:p>
      <w:pPr>
        <w:spacing w:after="0" w:line="47" w:lineRule="exact"/>
        <w:rPr>
          <w:sz w:val="20"/>
          <w:szCs w:val="20"/>
          <w:color w:val="auto"/>
        </w:rPr>
      </w:pPr>
    </w:p>
    <w:p>
      <w:pPr>
        <w:ind w:left="1249" w:hanging="1100"/>
        <w:spacing w:after="0"/>
        <w:tabs>
          <w:tab w:leader="none" w:pos="1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40640</wp:posOffset>
            </wp:positionV>
            <wp:extent cx="925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ind w:left="969" w:hanging="969"/>
        <w:spacing w:after="0"/>
        <w:tabs>
          <w:tab w:leader="none" w:pos="9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2,225</w:t>
      </w:r>
    </w:p>
    <w:p>
      <w:pPr>
        <w:spacing w:after="0" w:line="22" w:lineRule="exact"/>
        <w:rPr>
          <w:rFonts w:ascii="Arial" w:cs="Arial" w:eastAsia="Arial" w:hAnsi="Arial"/>
          <w:sz w:val="18"/>
          <w:szCs w:val="18"/>
          <w:color w:val="auto"/>
        </w:rPr>
      </w:pPr>
    </w:p>
    <w:p>
      <w:pPr>
        <w:ind w:left="1089"/>
        <w:spacing w:after="0"/>
        <w:rPr>
          <w:rFonts w:ascii="Arial" w:cs="Arial" w:eastAsia="Arial" w:hAnsi="Arial"/>
          <w:sz w:val="18"/>
          <w:szCs w:val="18"/>
          <w:color w:val="auto"/>
        </w:rPr>
      </w:pPr>
      <w:r>
        <w:rPr>
          <w:rFonts w:ascii="Arial" w:cs="Arial" w:eastAsia="Arial" w:hAnsi="Arial"/>
          <w:sz w:val="18"/>
          <w:szCs w:val="18"/>
          <w:color w:val="auto"/>
        </w:rPr>
        <w:t>268</w:t>
      </w:r>
    </w:p>
    <w:p>
      <w:pPr>
        <w:spacing w:after="0" w:line="22" w:lineRule="exact"/>
        <w:rPr>
          <w:rFonts w:ascii="Arial" w:cs="Arial" w:eastAsia="Arial" w:hAnsi="Arial"/>
          <w:sz w:val="18"/>
          <w:szCs w:val="18"/>
          <w:color w:val="auto"/>
        </w:rPr>
      </w:pPr>
    </w:p>
    <w:p>
      <w:pPr>
        <w:ind w:left="1189"/>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3" w:lineRule="exact"/>
        <w:rPr>
          <w:sz w:val="20"/>
          <w:szCs w:val="20"/>
          <w:color w:val="auto"/>
        </w:rPr>
      </w:pPr>
    </w:p>
    <w:p>
      <w:pPr>
        <w:ind w:left="889"/>
        <w:spacing w:after="0"/>
        <w:rPr>
          <w:sz w:val="20"/>
          <w:szCs w:val="20"/>
          <w:color w:val="auto"/>
        </w:rPr>
      </w:pPr>
      <w:r>
        <w:rPr>
          <w:rFonts w:ascii="Arial" w:cs="Arial" w:eastAsia="Arial" w:hAnsi="Arial"/>
          <w:sz w:val="18"/>
          <w:szCs w:val="18"/>
          <w:color w:val="auto"/>
        </w:rPr>
        <w:t>(1,426)</w:t>
      </w:r>
    </w:p>
    <w:p>
      <w:pPr>
        <w:spacing w:after="0" w:line="35" w:lineRule="exact"/>
        <w:rPr>
          <w:sz w:val="20"/>
          <w:szCs w:val="20"/>
          <w:color w:val="auto"/>
        </w:rPr>
      </w:pPr>
    </w:p>
    <w:p>
      <w:pPr>
        <w:ind w:left="969" w:hanging="969"/>
        <w:spacing w:after="0"/>
        <w:tabs>
          <w:tab w:leader="none" w:pos="9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198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59" w:lineRule="exact"/>
        <w:rPr>
          <w:sz w:val="20"/>
          <w:szCs w:val="20"/>
          <w:color w:val="auto"/>
        </w:rPr>
      </w:pPr>
    </w:p>
    <w:p>
      <w:pPr>
        <w:ind w:left="969" w:hanging="969"/>
        <w:spacing w:after="0"/>
        <w:tabs>
          <w:tab w:leader="none" w:pos="9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2,559</w:t>
      </w:r>
    </w:p>
    <w:p>
      <w:pPr>
        <w:spacing w:after="0" w:line="23" w:lineRule="exact"/>
        <w:rPr>
          <w:rFonts w:ascii="Arial" w:cs="Arial" w:eastAsia="Arial" w:hAnsi="Arial"/>
          <w:sz w:val="18"/>
          <w:szCs w:val="18"/>
          <w:color w:val="auto"/>
        </w:rPr>
      </w:pPr>
    </w:p>
    <w:p>
      <w:pPr>
        <w:ind w:left="929"/>
        <w:spacing w:after="0"/>
        <w:rPr>
          <w:rFonts w:ascii="Arial" w:cs="Arial" w:eastAsia="Arial" w:hAnsi="Arial"/>
          <w:sz w:val="18"/>
          <w:szCs w:val="18"/>
          <w:color w:val="auto"/>
        </w:rPr>
      </w:pPr>
      <w:r>
        <w:rPr>
          <w:rFonts w:ascii="Arial" w:cs="Arial" w:eastAsia="Arial" w:hAnsi="Arial"/>
          <w:sz w:val="15"/>
          <w:szCs w:val="15"/>
          <w:color w:val="auto"/>
        </w:rPr>
        <w:t>4.4 years</w:t>
      </w:r>
    </w:p>
    <w:p>
      <w:pPr>
        <w:spacing w:after="0" w:line="57" w:lineRule="exact"/>
        <w:rPr>
          <w:rFonts w:ascii="Arial" w:cs="Arial" w:eastAsia="Arial" w:hAnsi="Arial"/>
          <w:sz w:val="18"/>
          <w:szCs w:val="18"/>
          <w:color w:val="auto"/>
        </w:rPr>
      </w:pPr>
    </w:p>
    <w:p>
      <w:pPr>
        <w:ind w:left="969"/>
        <w:spacing w:after="0"/>
        <w:rPr>
          <w:rFonts w:ascii="Arial" w:cs="Arial" w:eastAsia="Arial" w:hAnsi="Arial"/>
          <w:sz w:val="18"/>
          <w:szCs w:val="18"/>
          <w:color w:val="auto"/>
        </w:rPr>
      </w:pPr>
      <w:r>
        <w:rPr>
          <w:rFonts w:ascii="Arial" w:cs="Arial" w:eastAsia="Arial" w:hAnsi="Arial"/>
          <w:sz w:val="16"/>
          <w:szCs w:val="16"/>
          <w:color w:val="auto"/>
        </w:rPr>
        <w:t>10.28 %</w:t>
      </w:r>
    </w:p>
    <w:p>
      <w:pPr>
        <w:spacing w:after="0" w:line="222" w:lineRule="exact"/>
        <w:rPr>
          <w:sz w:val="20"/>
          <w:szCs w:val="20"/>
          <w:color w:val="auto"/>
        </w:rPr>
      </w:pPr>
    </w:p>
    <w:p>
      <w:pPr>
        <w:sectPr>
          <w:pgSz w:w="11900" w:h="16838" w:orient="portrait"/>
          <w:cols w:equalWidth="0" w:num="2">
            <w:col w:w="8931" w:space="720"/>
            <w:col w:w="1589"/>
          </w:cols>
          <w:pgMar w:left="320" w:top="989" w:right="33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maturities of lease liabilities as of June 30,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2,790</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r>
      <w:tr>
        <w:trPr>
          <w:trHeight w:val="229"/>
        </w:trPr>
        <w:tc>
          <w:tcPr>
            <w:tcW w:w="9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r>
        <w:trPr>
          <w:trHeight w:val="223"/>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w:t>
            </w:r>
          </w:p>
        </w:tc>
      </w:tr>
      <w:tr>
        <w:trPr>
          <w:trHeight w:val="229"/>
        </w:trPr>
        <w:tc>
          <w:tcPr>
            <w:tcW w:w="9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9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9,284</w:t>
            </w:r>
          </w:p>
        </w:tc>
      </w:tr>
      <w:tr>
        <w:trPr>
          <w:trHeight w:val="20"/>
        </w:trPr>
        <w:tc>
          <w:tcPr>
            <w:tcW w:w="9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100.0% of the first 4.0% compensation that is contributed by the employee up to 4.0% of eligible annual compensation. The Corporation's service contributions to the 401(k) Plan amounted to approximately $0.2 million and $0.3 million for the three months ended June 30, 2021 and 2020, respectively, and $0.5 million and $0.7 million for the six months ended June 30, 2021 and 2020, respectively, and are included in salaries and benefits on the Condensed Consolidated Statements of Operations and Comprehensive Loss. The Corporation's cash match is invested pursuant to the participant's contribution direction. Employer contributions are immediately 100.0% vested.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Corporation's 2020 Equity Incentive Plan (the "2020 Plan"), 2014 Equity Incentive Plan (the "2014 Plan"), and the 2020 Management Incentive Plan (collectively with the 2020 Plan and the 2014 Plan, the "Plan"), provide for grants to acquire shares of the Corporation's common stock, par value $0.0001 per share, to employees, directors, officers, and consultants of the Corporation. During the six months ended June 30, 2021, the Corporation approved the 2020 Plan and the 2020 Management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The maximum number of shares of the Corporation's common stock reserved for issuance over the term of the Plan, shares outstanding, and shares remaining under the Plan, after giving effect to the Exchange Ratio, as of June 30, 2021, and December 31, 2020,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6"/>
        </w:trPr>
        <w:tc>
          <w:tcPr>
            <w:tcW w:w="7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June 30, 2021</w:t>
            </w:r>
          </w:p>
        </w:tc>
        <w:tc>
          <w:tcPr>
            <w:tcW w:w="1320" w:type="dxa"/>
            <w:vAlign w:val="bottom"/>
            <w:gridSpan w:val="2"/>
          </w:tcPr>
          <w:p>
            <w:pPr>
              <w:ind w:left="180"/>
              <w:spacing w:after="0" w:line="176" w:lineRule="exact"/>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29"/>
        </w:trPr>
        <w:tc>
          <w:tcPr>
            <w:tcW w:w="7320" w:type="dxa"/>
            <w:vAlign w:val="bottom"/>
            <w:gridSpan w:val="3"/>
            <w:vMerge w:val="continue"/>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Under Plan</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Plan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0" w:type="dxa"/>
            <w:vAlign w:val="bottom"/>
          </w:tcPr>
          <w:p>
            <w:pPr>
              <w:spacing w:after="0"/>
              <w:rPr>
                <w:sz w:val="1"/>
                <w:szCs w:val="1"/>
                <w:color w:val="auto"/>
              </w:rPr>
            </w:pPr>
          </w:p>
        </w:tc>
      </w:tr>
      <w:tr>
        <w:trPr>
          <w:trHeight w:val="223"/>
        </w:trPr>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9"/>
              </w:rPr>
              <w:t>2014</w:t>
            </w:r>
          </w:p>
        </w:tc>
        <w:tc>
          <w:tcPr>
            <w:tcW w:w="68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Plan</w:t>
            </w: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5"/>
              </w:rPr>
              <w:t>54,402,264</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45,896,586</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6920" w:type="dxa"/>
            <w:vAlign w:val="bottom"/>
            <w:gridSpan w:val="2"/>
          </w:tcPr>
          <w:p>
            <w:pPr>
              <w:ind w:left="40"/>
              <w:spacing w:after="0"/>
              <w:rPr>
                <w:sz w:val="20"/>
                <w:szCs w:val="20"/>
                <w:color w:val="auto"/>
              </w:rPr>
            </w:pPr>
            <w:r>
              <w:rPr>
                <w:rFonts w:ascii="Arial" w:cs="Arial" w:eastAsia="Arial" w:hAnsi="Arial"/>
                <w:sz w:val="18"/>
                <w:szCs w:val="18"/>
                <w:color w:val="auto"/>
              </w:rPr>
              <w:t>Plan</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30,641,401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1,794,857</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28,846,544</w:t>
            </w:r>
          </w:p>
        </w:tc>
        <w:tc>
          <w:tcPr>
            <w:tcW w:w="0" w:type="dxa"/>
            <w:vAlign w:val="bottom"/>
          </w:tcPr>
          <w:p>
            <w:pPr>
              <w:spacing w:after="0"/>
              <w:rPr>
                <w:sz w:val="1"/>
                <w:szCs w:val="1"/>
                <w:color w:val="auto"/>
              </w:rPr>
            </w:pPr>
          </w:p>
        </w:tc>
      </w:tr>
      <w:tr>
        <w:trPr>
          <w:trHeight w:val="229"/>
        </w:trPr>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2020</w:t>
            </w:r>
          </w:p>
        </w:tc>
        <w:tc>
          <w:tcPr>
            <w:tcW w:w="69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Management Incentive Plan</w:t>
            </w:r>
          </w:p>
        </w:tc>
        <w:tc>
          <w:tcPr>
            <w:tcW w:w="12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5"/>
              </w:rPr>
              <w:t>33,426,983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33,426,983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-445135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-445135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6"/>
        </w:trPr>
        <w:tc>
          <w:tcPr>
            <w:tcW w:w="7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13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29"/>
        </w:trPr>
        <w:tc>
          <w:tcPr>
            <w:tcW w:w="7320" w:type="dxa"/>
            <w:vAlign w:val="bottom"/>
            <w:gridSpan w:val="2"/>
            <w:vMerge w:val="continue"/>
          </w:tcPr>
          <w:p>
            <w:pPr>
              <w:spacing w:after="0"/>
              <w:rPr>
                <w:sz w:val="19"/>
                <w:szCs w:val="19"/>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Under Plan</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Plan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54,402,264</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36,557,759</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17,844,505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-153670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-153670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Plan without having been fully exercised will be available for future awards under the 2020 Plan. Shares may be issued from authorized but unissued Corporation stock.</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is administered by the Board. The options are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100.0% of the fair value of a share of common stock on the date of grant. Stock options awarded under the Plan expire 10 years after the grant date. Incentive stock options and non-statutory options granted to employees, directors, officers and consultants of the Corporation typically vest over four years. The fair value of each restricted stock award is determined based on the fair value of the Corporation's common shares on the date of grant. The total estimated fair value is amortized as an expense over the requisite service period as approved by the Board.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granted options to purchase 1,937,968 shares of common stock during the six months ended June 30, 2021. The Corporation recorded stock-based compensation expense for options, RSUs, and performance restricted stock units (PRSUs) granted of $43.0 million and $85.7 million during the three and six months ended June 30, 2021,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PRSUs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PRSUs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r>
      <w:tr>
        <w:trPr>
          <w:trHeight w:val="21"/>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there was approximately $481.8 million of unrecognized stock-based compensation expense related to unvested stock options, RSUs, and PRSUs, estimated to be recognized over a period of 4.52 years. As of December 31, 2020, there was approximately $14.9 million of unrecognized stock-based compensation expense related to unvested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six months ended June 30, 2021 and 2020, respectively,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37.74 %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30.38 %</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 summary of option activity under the 2020 Plan during the six months ended June 30, 2021 is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1"/>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260" w:type="dxa"/>
            <w:vAlign w:val="bottom"/>
          </w:tcPr>
          <w:p>
            <w:pPr>
              <w:jc w:val="right"/>
              <w:spacing w:after="0"/>
              <w:rPr>
                <w:sz w:val="20"/>
                <w:szCs w:val="20"/>
                <w:color w:val="auto"/>
              </w:rPr>
            </w:pPr>
            <w:r>
              <w:rPr>
                <w:rFonts w:ascii="Arial" w:cs="Arial" w:eastAsia="Arial" w:hAnsi="Arial"/>
                <w:sz w:val="18"/>
                <w:szCs w:val="18"/>
                <w:color w:val="auto"/>
              </w:rPr>
              <w:t>1,937,968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(143,111)</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Outstanding, June 30,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1,794,857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 summary of option activity under the 2014 Plan during the six months ended June 30, 2021 is as follows:</w:t>
            </w: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1"/>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36,513,193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(975,768)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(387,711)</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Outstanding, June 30,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35,149,714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86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-1653540</wp:posOffset>
            </wp:positionV>
            <wp:extent cx="514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-1816735</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2021 and 2020 was $3.36 per share and $1.83 per share,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outstanding stock options, substantially all of which are expected to vest, had an aggregate intrinsic value of $396.1 million, and a weighted-average remaining contractual term of 7.10 years. As of June 30, 2021, there were 22,820,428 options exercisable under the Plan, with an aggregate intrinsic value of $255.8 million, a weighted-average exercise price of $2.11 per share, and a weighted-average remaining contractual term of 6.31 years. The total intrinsic value of stock options exercised during the six months ended June 30, 2021 and 2020 was $8.2 million and $0.7 million, respectively. Cash received from stock option exercises during the six months ended June 30, 2021 and 2020 totaled $1.6 million and $0.7 million,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RSU activity for the six months ended June 30, 2021, is presented below:</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18,091,714</w:t>
            </w:r>
          </w:p>
        </w:tc>
      </w:tr>
      <w:tr>
        <w:trPr>
          <w:trHeight w:val="229"/>
        </w:trPr>
        <w:tc>
          <w:tcPr>
            <w:tcW w:w="9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(95,834)</w:t>
            </w:r>
          </w:p>
        </w:tc>
      </w:tr>
      <w:tr>
        <w:trPr>
          <w:trHeight w:val="248"/>
        </w:trPr>
        <w:tc>
          <w:tcPr>
            <w:tcW w:w="9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Outstanding, June 30,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17,995,880</w:t>
            </w:r>
          </w:p>
        </w:tc>
      </w:tr>
      <w:tr>
        <w:trPr>
          <w:trHeight w:val="20"/>
        </w:trPr>
        <w:tc>
          <w:tcPr>
            <w:tcW w:w="99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the RSUs was $15.69 per underlying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weighted-average grant date fair value of Market PRSUs granted during the six months ended June 30, 2021, was $9.59 per underlying share. 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40.70 %</w:t>
            </w:r>
          </w:p>
        </w:tc>
      </w:tr>
      <w:tr>
        <w:trPr>
          <w:trHeight w:val="270"/>
        </w:trPr>
        <w:tc>
          <w:tcPr>
            <w:tcW w:w="9780" w:type="dxa"/>
            <w:vAlign w:val="bottom"/>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0.50</w:t>
            </w:r>
          </w:p>
        </w:tc>
      </w:tr>
      <w:tr>
        <w:trPr>
          <w:trHeight w:val="270"/>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(3)</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Expected volatility is based on a blend of peer group company historical data adjusted for the Corporation's leverage.</w:t>
      </w:r>
    </w:p>
    <w:p>
      <w:pPr>
        <w:spacing w:after="0" w:line="13" w:lineRule="exact"/>
        <w:rPr>
          <w:rFonts w:ascii="Arial" w:cs="Arial" w:eastAsia="Arial" w:hAnsi="Arial"/>
          <w:sz w:val="9"/>
          <w:szCs w:val="9"/>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Risk-free interest rate based on U.S. Treasury yields with a term equal to the remaining Performance Period as of the grant date.</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Dividend yield was assumed to be zero as the Corporation does not anticipate paying dividends.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PRSU activity for the six months ended June 30, 2021, is presented below:</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27,460,364</w:t>
            </w: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Non-vested at June 30,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27,460,364</w:t>
            </w:r>
          </w:p>
        </w:tc>
      </w:tr>
      <w:tr>
        <w:trPr>
          <w:trHeight w:val="21"/>
        </w:trPr>
        <w:tc>
          <w:tcPr>
            <w:tcW w:w="9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$210.9 million of unrecognized share-based compensation expense related to PRSUs, which is expected to be recognized over a period of 4.52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six months ended June 30, 2021 and 2020, was $0.0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A summary of activity relating to the warrants of the service providers during the six months ended June 30, 2021 and 2020, respectively,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warrants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June 30,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Outstanding, December 31, 2020</w:t>
            </w:r>
          </w:p>
        </w:tc>
        <w:tc>
          <w:tcPr>
            <w:tcW w:w="1260" w:type="dxa"/>
            <w:vAlign w:val="bottom"/>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2021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Pr>
          <w:p>
            <w:pPr>
              <w:ind w:left="280"/>
              <w:spacing w:after="0"/>
              <w:rPr>
                <w:sz w:val="20"/>
                <w:szCs w:val="20"/>
                <w:color w:val="auto"/>
              </w:rPr>
            </w:pPr>
            <w:r>
              <w:rPr>
                <w:rFonts w:ascii="Arial" w:cs="Arial" w:eastAsia="Arial" w:hAnsi="Arial"/>
                <w:sz w:val="18"/>
                <w:szCs w:val="18"/>
                <w:color w:val="auto"/>
              </w:rPr>
              <w:t>Outstanding,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-933450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-1525270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June 30, 2021, the Corporation began planning the launch of an Employee Stock Purchase Plan (ESPP), which is tentatively expected to be offered beginning in third quarter 2021. The ESPP will provide a means by which eligible employees and/or eligible service providers of either our Corporation or designated-related corporations and affiliates may be given an opportunity to purchase shares of our Class A common stock at a 15.0% discount from the fair market value of the common stock as determined on a specific date at six-month intervals. At the time of filing this report, no shares of the Corporation’s common stock have been purchased or distributed pursuant to the ESPP.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effective tax rate of the Corporation for the three months ended June 30, 2021 and 2020, was (0.0%) and (0.0%), respectively. The consolidated effective tax rate of the Corporation for the six months ended June 30,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June 30, 2021, it had no material uncertain tax positions. Interest and penalties related to unrecognized tax expense (benefits) are recognized in income tax expense, when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as of June 30, 2021 and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17. Net (Loss)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income per share attributable to common stockholders was calculated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 except per share data)</w:t>
            </w: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Three Months Ended June 30,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weighted average number of common shares and common share equivalents outstanding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408,156,682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88,607,537</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Diluted weighted average number of common shares and common share equivalents outstanding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408,156,682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242,625,338</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 attributable to common stockholders—basic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 attributable to common stockholders—diluted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 except per share data)</w:t>
            </w: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8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(22,759)</w:t>
            </w:r>
          </w:p>
        </w:tc>
      </w:tr>
      <w:tr>
        <w:trPr>
          <w:trHeight w:val="27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Basic and diluted weighted average number of common shares and common share equivalents outstanding</w:t>
            </w:r>
            <w:r>
              <w:rPr>
                <w:rFonts w:ascii="Arial" w:cs="Arial" w:eastAsia="Arial" w:hAnsi="Arial"/>
                <w:sz w:val="23"/>
                <w:szCs w:val="23"/>
                <w:color w:val="auto"/>
                <w:w w:val="98"/>
                <w:vertAlign w:val="superscript"/>
              </w:rPr>
              <w:t>(1)</w:t>
            </w:r>
          </w:p>
        </w:tc>
        <w:tc>
          <w:tcPr>
            <w:tcW w:w="18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395,422,849</w:t>
            </w:r>
          </w:p>
        </w:tc>
        <w:tc>
          <w:tcPr>
            <w:tcW w:w="8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88,478,171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1"/>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80" w:right="20" w:hanging="172"/>
        <w:spacing w:after="0" w:line="273" w:lineRule="auto"/>
        <w:tabs>
          <w:tab w:leader="none" w:pos="150" w:val="left"/>
        </w:tabs>
        <w:numPr>
          <w:ilvl w:val="0"/>
          <w:numId w:val="20"/>
        </w:numPr>
        <w:rPr>
          <w:rFonts w:ascii="Arial" w:cs="Arial" w:eastAsia="Arial" w:hAnsi="Arial"/>
          <w:sz w:val="9"/>
          <w:szCs w:val="9"/>
          <w:color w:val="auto"/>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Corporation had a net loss in second quarter and first half of 2021 and a net loss in the first half of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84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0"/>
        </w:trPr>
        <w:tc>
          <w:tcPr>
            <w:tcW w:w="840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23"/>
                <w:szCs w:val="23"/>
                <w:color w:val="auto"/>
                <w:vertAlign w:val="superscript"/>
              </w:rPr>
              <w:t>(1)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36,944,571</w:t>
            </w:r>
          </w:p>
        </w:tc>
        <w:tc>
          <w:tcPr>
            <w:tcW w:w="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spacing w:after="0"/>
              <w:rPr>
                <w:sz w:val="20"/>
                <w:szCs w:val="20"/>
                <w:color w:val="auto"/>
              </w:rPr>
            </w:pPr>
            <w:r>
              <w:rPr>
                <w:rFonts w:ascii="Arial" w:cs="Arial" w:eastAsia="Arial" w:hAnsi="Arial"/>
                <w:sz w:val="18"/>
                <w:szCs w:val="18"/>
                <w:color w:val="auto"/>
              </w:rPr>
              <w:t>17,524,474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23"/>
                <w:szCs w:val="23"/>
                <w:color w:val="auto"/>
                <w:vertAlign w:val="superscript"/>
              </w:rPr>
              <w:t>(1)</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23"/>
                <w:szCs w:val="23"/>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38,533,271</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4,884,132</w:t>
            </w:r>
          </w:p>
        </w:tc>
      </w:tr>
      <w:tr>
        <w:trPr>
          <w:trHeight w:val="270"/>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Warrants to purchase convertible preferred stock (as converted to common stock) </w:t>
            </w:r>
            <w:r>
              <w:rPr>
                <w:rFonts w:ascii="Arial" w:cs="Arial" w:eastAsia="Arial" w:hAnsi="Arial"/>
                <w:sz w:val="23"/>
                <w:szCs w:val="23"/>
                <w:color w:val="auto"/>
                <w:vertAlign w:val="superscript"/>
              </w:rPr>
              <w:t>(1)</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2,618,770</w:t>
            </w:r>
          </w:p>
        </w:tc>
      </w:tr>
      <w:tr>
        <w:trPr>
          <w:trHeight w:val="223"/>
        </w:trPr>
        <w:tc>
          <w:tcPr>
            <w:tcW w:w="84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93,002,316</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7,502,902</w:t>
            </w:r>
          </w:p>
        </w:tc>
      </w:tr>
      <w:tr>
        <w:trPr>
          <w:trHeight w:val="20"/>
        </w:trPr>
        <w:tc>
          <w:tcPr>
            <w:tcW w:w="8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-1019175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6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50"/>
        </w:trPr>
        <w:tc>
          <w:tcPr>
            <w:tcW w:w="864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23"/>
                <w:szCs w:val="23"/>
                <w:color w:val="auto"/>
                <w:vertAlign w:val="superscript"/>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36,944,571</w:t>
            </w: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36,676,749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1260" w:type="dxa"/>
            <w:vAlign w:val="bottom"/>
          </w:tcPr>
          <w:p>
            <w:pPr>
              <w:jc w:val="right"/>
              <w:spacing w:after="0"/>
              <w:rPr>
                <w:sz w:val="20"/>
                <w:szCs w:val="20"/>
                <w:color w:val="auto"/>
              </w:rPr>
            </w:pPr>
            <w:r>
              <w:rPr>
                <w:rFonts w:ascii="Arial" w:cs="Arial" w:eastAsia="Arial" w:hAnsi="Arial"/>
                <w:sz w:val="18"/>
                <w:szCs w:val="18"/>
                <w:color w:val="auto"/>
              </w:rPr>
              <w:t>17,524,474</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23"/>
                <w:szCs w:val="23"/>
                <w:color w:val="auto"/>
                <w:vertAlign w:val="superscript"/>
              </w:rPr>
              <w:t>(1)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139,444,346</w:t>
            </w:r>
          </w:p>
        </w:tc>
      </w:tr>
      <w:tr>
        <w:trPr>
          <w:trHeight w:val="270"/>
        </w:trPr>
        <w:tc>
          <w:tcPr>
            <w:tcW w:w="8640" w:type="dxa"/>
            <w:vAlign w:val="bottom"/>
          </w:tcPr>
          <w:p>
            <w:pPr>
              <w:ind w:left="20"/>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23"/>
                <w:szCs w:val="23"/>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38,533,271</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4,884,132</w:t>
            </w:r>
          </w:p>
        </w:tc>
      </w:tr>
      <w:tr>
        <w:trPr>
          <w:trHeight w:val="270"/>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Warrants to purchase convertible preferred stock (as converted to common stock) </w:t>
            </w:r>
            <w:r>
              <w:rPr>
                <w:rFonts w:ascii="Arial" w:cs="Arial" w:eastAsia="Arial" w:hAnsi="Arial"/>
                <w:sz w:val="23"/>
                <w:szCs w:val="23"/>
                <w:color w:val="auto"/>
                <w:vertAlign w:val="superscript"/>
              </w:rPr>
              <w:t>(1)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2,618,770</w:t>
            </w:r>
          </w:p>
        </w:tc>
      </w:tr>
      <w:tr>
        <w:trPr>
          <w:trHeight w:val="223"/>
        </w:trPr>
        <w:tc>
          <w:tcPr>
            <w:tcW w:w="86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93,002,316</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183,623,997</w:t>
            </w: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-1019175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0" w:lineRule="exact"/>
        <w:rPr>
          <w:sz w:val="20"/>
          <w:szCs w:val="20"/>
          <w:color w:val="auto"/>
        </w:rPr>
      </w:pPr>
    </w:p>
    <w:p>
      <w:pPr>
        <w:ind w:left="180" w:right="20" w:hanging="172"/>
        <w:spacing w:after="0" w:line="217" w:lineRule="auto"/>
        <w:tabs>
          <w:tab w:leader="none" w:pos="169"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June 30, 2021, and December 31, 2020, respectively, there were no material known contingent liabilities arising outside the normal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Securities Class Actions and Derivative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February 2021, the Corporation and certain of our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The complaints generally relate to allegations published in an article issued on February 4, 2021, by Hindenburg Research LLC (the “Hindenburg Article”). The complaints seek unspecified damages on behalf of all persons and entities who purchased or acquired Clover securities during the proposed class period (which begins on October 6, 2020, and, depending on the complaint, ends on February 3, 2021, or February 4, 2021), as well as certain other costs.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 In June 2021, the lead plaintiff and a named plaintiff filed the amended complaint, asserting violations of sections 10(b) and 20(a) of the Exchange Act and Rule 10b-5 promulgated under the Exchange Act. The amended complaint names Clover and certain of its officers and directors as defendants and removes certain defendants named in the initial complaints. The amended complaint generally relates to allegations published in the Hindenburg Article and seeks unspecified damages on behalf of all persons and entities other than the defendants who purchased or acquired Clover securities during the proposed class period (which begins on October 6, 2020, and ends on February 3, 2021), as well as certain other costs. Pursuant to the court’s briefing schedule, the defendants’ response to the amended complaint is due in August 2021.</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 xml:space="preserve">The fourth action was filed in the United States District of Delaware and is captioned </w:t>
      </w:r>
      <w:r>
        <w:rPr>
          <w:rFonts w:ascii="Arial" w:cs="Arial" w:eastAsia="Arial" w:hAnsi="Arial"/>
          <w:sz w:val="17"/>
          <w:szCs w:val="17"/>
          <w:i w:val="1"/>
          <w:iCs w:val="1"/>
          <w:color w:val="231F20"/>
        </w:rPr>
        <w:t>Wiegand v. Garipalli, et al.</w:t>
      </w:r>
      <w:r>
        <w:rPr>
          <w:rFonts w:ascii="Arial" w:cs="Arial" w:eastAsia="Arial" w:hAnsi="Arial"/>
          <w:sz w:val="17"/>
          <w:szCs w:val="17"/>
          <w:color w:val="231F20"/>
        </w:rPr>
        <w:t>, Case No. 1:21-cv-01053 (D. Del.). The complaint asserts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w:t>
      </w:r>
    </w:p>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In June 2021, the parties in the </w:t>
      </w:r>
      <w:r>
        <w:rPr>
          <w:rFonts w:ascii="Arial" w:cs="Arial" w:eastAsia="Arial" w:hAnsi="Arial"/>
          <w:sz w:val="18"/>
          <w:szCs w:val="18"/>
          <w:i w:val="1"/>
          <w:iCs w:val="1"/>
          <w:color w:val="auto"/>
        </w:rPr>
        <w:t>Sun</w:t>
      </w:r>
      <w:r>
        <w:rPr>
          <w:rFonts w:ascii="Arial" w:cs="Arial" w:eastAsia="Arial" w:hAnsi="Arial"/>
          <w:sz w:val="18"/>
          <w:szCs w:val="18"/>
          <w:color w:val="auto"/>
        </w:rPr>
        <w:t xml:space="preserve"> and </w:t>
      </w:r>
      <w:r>
        <w:rPr>
          <w:rFonts w:ascii="Arial" w:cs="Arial" w:eastAsia="Arial" w:hAnsi="Arial"/>
          <w:sz w:val="18"/>
          <w:szCs w:val="18"/>
          <w:i w:val="1"/>
          <w:iCs w:val="1"/>
          <w:color w:val="auto"/>
        </w:rPr>
        <w:t>Furman</w:t>
      </w:r>
      <w:r>
        <w:rPr>
          <w:rFonts w:ascii="Arial" w:cs="Arial" w:eastAsia="Arial" w:hAnsi="Arial"/>
          <w:sz w:val="18"/>
          <w:szCs w:val="18"/>
          <w:color w:val="auto"/>
        </w:rPr>
        <w:t xml:space="preserve"> actions submitted joint stipulations and proposed orders to stay both actions. Soon thereafter, the courts in both actions approved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jc w:val="both"/>
        <w:spacing w:after="0" w:line="246" w:lineRule="auto"/>
        <w:rPr>
          <w:sz w:val="20"/>
          <w:szCs w:val="20"/>
          <w:color w:val="auto"/>
        </w:rPr>
      </w:pPr>
      <w:r>
        <w:rPr>
          <w:rFonts w:ascii="Arial" w:cs="Arial" w:eastAsia="Arial" w:hAnsi="Arial"/>
          <w:sz w:val="18"/>
          <w:szCs w:val="18"/>
          <w:color w:val="auto"/>
        </w:rPr>
        <w:t xml:space="preserve">stipulations, thereby staying all proceedings and deadlines in the </w:t>
      </w:r>
      <w:r>
        <w:rPr>
          <w:rFonts w:ascii="Arial" w:cs="Arial" w:eastAsia="Arial" w:hAnsi="Arial"/>
          <w:sz w:val="18"/>
          <w:szCs w:val="18"/>
          <w:i w:val="1"/>
          <w:iCs w:val="1"/>
          <w:color w:val="auto"/>
        </w:rPr>
        <w:t>Sun</w:t>
      </w:r>
      <w:r>
        <w:rPr>
          <w:rFonts w:ascii="Arial" w:cs="Arial" w:eastAsia="Arial" w:hAnsi="Arial"/>
          <w:sz w:val="18"/>
          <w:szCs w:val="18"/>
          <w:color w:val="auto"/>
        </w:rPr>
        <w:t xml:space="preserve"> and </w:t>
      </w:r>
      <w:r>
        <w:rPr>
          <w:rFonts w:ascii="Arial" w:cs="Arial" w:eastAsia="Arial" w:hAnsi="Arial"/>
          <w:sz w:val="18"/>
          <w:szCs w:val="18"/>
          <w:i w:val="1"/>
          <w:iCs w:val="1"/>
          <w:color w:val="auto"/>
        </w:rPr>
        <w:t>Furman</w:t>
      </w:r>
      <w:r>
        <w:rPr>
          <w:rFonts w:ascii="Arial" w:cs="Arial" w:eastAsia="Arial" w:hAnsi="Arial"/>
          <w:sz w:val="18"/>
          <w:szCs w:val="18"/>
          <w:color w:val="auto"/>
        </w:rPr>
        <w:t xml:space="preserve"> actions pending a final decision on a motion to dismiss in the Middle District of Tennessee class actions consolidated under the </w:t>
      </w:r>
      <w:r>
        <w:rPr>
          <w:rFonts w:ascii="Arial" w:cs="Arial" w:eastAsia="Arial" w:hAnsi="Arial"/>
          <w:sz w:val="18"/>
          <w:szCs w:val="18"/>
          <w:i w:val="1"/>
          <w:iCs w:val="1"/>
          <w:color w:val="auto"/>
        </w:rPr>
        <w:t>Bond</w:t>
      </w:r>
      <w:r>
        <w:rPr>
          <w:rFonts w:ascii="Arial" w:cs="Arial" w:eastAsia="Arial" w:hAnsi="Arial"/>
          <w:sz w:val="18"/>
          <w:szCs w:val="18"/>
          <w:color w:val="auto"/>
        </w:rPr>
        <w:t xml:space="preserve"> action.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Assessments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Direct Contracting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2021, the Corporation began participating in the DC Model, which utilizes a structured model intended to reduce expenditures and preserve or enhance quality of care for beneficiaries in Medicare FFS. As a participating entity in the DC Model with a global risk arrangement, the Corporation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components of the financial agreement for Direct Contracting include:</w:t>
      </w:r>
    </w:p>
    <w:p>
      <w:pPr>
        <w:spacing w:after="0" w:line="235" w:lineRule="exact"/>
        <w:rPr>
          <w:sz w:val="20"/>
          <w:szCs w:val="20"/>
          <w:color w:val="auto"/>
        </w:rPr>
      </w:pPr>
    </w:p>
    <w:p>
      <w:pPr>
        <w:jc w:val="both"/>
        <w:ind w:left="660" w:hanging="328"/>
        <w:spacing w:after="0" w:line="22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Performance Year Benchmark </w:t>
      </w:r>
      <w:r>
        <w:rPr>
          <w:rFonts w:ascii="Arial" w:cs="Arial" w:eastAsia="Arial" w:hAnsi="Arial"/>
          <w:sz w:val="18"/>
          <w:szCs w:val="18"/>
          <w:color w:val="auto"/>
        </w:rPr>
        <w:t>The target amount for Medicare expenditures on covered items and services (Medicare Part A and B) furnished</w:t>
      </w:r>
      <w:r>
        <w:rPr>
          <w:rFonts w:ascii="Arial" w:cs="Arial" w:eastAsia="Arial" w:hAnsi="Arial"/>
          <w:sz w:val="18"/>
          <w:szCs w:val="18"/>
          <w:b w:val="1"/>
          <w:bCs w:val="1"/>
          <w:color w:val="auto"/>
        </w:rPr>
        <w:t xml:space="preserve"> </w:t>
      </w:r>
      <w:r>
        <w:rPr>
          <w:rFonts w:ascii="Arial" w:cs="Arial" w:eastAsia="Arial" w:hAnsi="Arial"/>
          <w:sz w:val="18"/>
          <w:szCs w:val="18"/>
          <w:color w:val="auto"/>
        </w:rPr>
        <w:t>to a DCE’s aligned beneficiaries during a performance year. The Performance Year Benchmark will be compared to the DCE’s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Performance Year </w:t>
      </w:r>
      <w:r>
        <w:rPr>
          <w:rFonts w:ascii="Arial" w:cs="Arial" w:eastAsia="Arial" w:hAnsi="Arial"/>
          <w:sz w:val="17"/>
          <w:szCs w:val="17"/>
          <w:color w:val="auto"/>
        </w:rPr>
        <w:t>A calendar year except for the commencement year, which began on April 1, 2021, and will end on December 31, 2021.</w:t>
      </w:r>
    </w:p>
    <w:p>
      <w:pPr>
        <w:spacing w:after="0" w:line="236"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Risk-Sharing Arrangements </w:t>
      </w:r>
      <w:r>
        <w:rPr>
          <w:rFonts w:ascii="Arial" w:cs="Arial" w:eastAsia="Arial" w:hAnsi="Arial"/>
          <w:sz w:val="18"/>
          <w:szCs w:val="18"/>
          <w:color w:val="auto"/>
        </w:rPr>
        <w:t>Used in determining the percent of savings and losses that DCEs are eligible to receive as shared savings or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repay as shared losses.</w:t>
      </w:r>
    </w:p>
    <w:p>
      <w:pPr>
        <w:spacing w:after="0" w:line="189" w:lineRule="exact"/>
        <w:rPr>
          <w:rFonts w:ascii="Arial" w:cs="Arial" w:eastAsia="Arial" w:hAnsi="Arial"/>
          <w:sz w:val="18"/>
          <w:szCs w:val="18"/>
          <w:b w:val="1"/>
          <w:bCs w:val="1"/>
          <w:color w:val="auto"/>
        </w:rPr>
      </w:pPr>
    </w:p>
    <w:p>
      <w:pPr>
        <w:jc w:val="both"/>
        <w:ind w:left="660" w:hanging="328"/>
        <w:spacing w:after="0" w:line="23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Financial Reconciliation </w:t>
      </w:r>
      <w:r>
        <w:rPr>
          <w:rFonts w:ascii="Arial" w:cs="Arial" w:eastAsia="Arial" w:hAnsi="Arial"/>
          <w:sz w:val="18"/>
          <w:szCs w:val="18"/>
          <w:color w:val="auto"/>
        </w:rPr>
        <w:t>The process by which CMS determines shared savings or shared losses by comparing the calculated total benchmark</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 for a given DCE’s aligned population to the actual expenditures of that DCE’s aligned beneficiaries over the course of a performance year that includes various risk-mitigation options such as stop-loss reinsurance and risk corridors.</w:t>
      </w:r>
    </w:p>
    <w:p>
      <w:pPr>
        <w:spacing w:after="0" w:line="199"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Risk-Mitigation Options </w:t>
      </w:r>
      <w:r>
        <w:rPr>
          <w:rFonts w:ascii="Arial" w:cs="Arial" w:eastAsia="Arial" w:hAnsi="Arial"/>
          <w:sz w:val="17"/>
          <w:szCs w:val="17"/>
          <w:color w:val="auto"/>
        </w:rPr>
        <w:t>DCEs may elect a “stop-loss arrangement” each performance year, which is designed to reduce the financial uncertainty</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high-cost expenditures of individual beneficiaries. The Corporation has elected participation in the program for the current performance year. Additionally, CMS has created a mandatory risk corridor program that allocates the DCE’s shared savings and losses in bands of percentage thresholds, after a deviation of greater than 25.0% of the Performance Year Benchmark.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Certain of the Corporation’s arrangements with third-party providers require it to guarantee the performance of its care network to CMS, which if not obtained, could potentially result in payment to CMS during the financial reconciliation period. As a result of the DC agreement, the Corporation determined that there was a performance guarantee with the providers of DCE Beneficiaries that should be recognized in the financial statements. The Direct Contracting performance year obligation and receivable were initially measured as the target amount for Medicare expenditures on covered items and services. The obligation and receivable were subsequently amortized on a straight-line basis for the amount that represented the completed performance. The DCE is entitled to all of the consideration under the arrangement for all aligned beneficiaries and in the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The Corporation is unable to estimate the maximum potential amount of future payments under the guarantee as the stop-loss arrangement contains corridors (tiered levels), a certain percentage of which the Corporation will still be responsible for paying at various levels as well as a number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4" w:name="page35"/>
    <w:bookmarkEnd w:id="34"/>
    <w:p>
      <w:pPr>
        <w:spacing w:after="0" w:line="246" w:lineRule="auto"/>
        <w:rPr>
          <w:sz w:val="20"/>
          <w:szCs w:val="20"/>
          <w:color w:val="auto"/>
        </w:rPr>
      </w:pPr>
      <w:r>
        <w:rPr>
          <w:rFonts w:ascii="Arial" w:cs="Arial" w:eastAsia="Arial" w:hAnsi="Arial"/>
          <w:sz w:val="18"/>
          <w:szCs w:val="18"/>
          <w:color w:val="auto"/>
        </w:rPr>
        <w:t>additional variables that are not reasonable for the Corporation to estimate such as risk ratings and benchmark trends that have an inestimable impact on the estimate of future payments.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include the financial statement impacts of the performance guarantee: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Contracting performance year receivable</w:t>
            </w:r>
          </w:p>
        </w:tc>
        <w:tc>
          <w:tcPr>
            <w:tcW w:w="2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436,334</w:t>
            </w:r>
          </w:p>
        </w:tc>
      </w:tr>
      <w:tr>
        <w:trPr>
          <w:trHeight w:val="227"/>
        </w:trPr>
        <w:tc>
          <w:tcPr>
            <w:tcW w:w="564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Direct Contracting performance year obligation </w:t>
            </w:r>
            <w:r>
              <w:rPr>
                <w:rFonts w:ascii="Arial" w:cs="Arial" w:eastAsia="Arial" w:hAnsi="Arial"/>
                <w:sz w:val="23"/>
                <w:szCs w:val="23"/>
                <w:color w:val="auto"/>
                <w:vertAlign w:val="superscript"/>
              </w:rPr>
              <w:t>(1)</w:t>
            </w:r>
          </w:p>
        </w:tc>
        <w:tc>
          <w:tcPr>
            <w:tcW w:w="268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455,143</w:t>
            </w:r>
          </w:p>
        </w:tc>
      </w:tr>
    </w:tbl>
    <w:p>
      <w:pPr>
        <w:ind w:left="180" w:hanging="154"/>
        <w:spacing w:after="0" w:line="207" w:lineRule="auto"/>
        <w:tabs>
          <w:tab w:leader="none" w:pos="1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This obligation represents the consideration due to providers, net of the shared savings or loss for the period and amortization of the liability.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462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Three and Six Months Ended</w:t>
            </w:r>
          </w:p>
        </w:tc>
      </w:tr>
      <w:tr>
        <w:trPr>
          <w:trHeight w:val="22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6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90"/>
              </w:rPr>
              <w:t>June 30, 2021</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Direct Contracting performance year receivable</w:t>
            </w:r>
          </w:p>
        </w:tc>
        <w:tc>
          <w:tcPr>
            <w:tcW w:w="4620" w:type="dxa"/>
            <w:vAlign w:val="bottom"/>
            <w:shd w:val="clear" w:color="auto" w:fill="CCEEFF"/>
          </w:tcPr>
          <w:p>
            <w:pPr>
              <w:jc w:val="center"/>
              <w:ind w:left="3770"/>
              <w:spacing w:after="0"/>
              <w:rPr>
                <w:sz w:val="20"/>
                <w:szCs w:val="20"/>
                <w:color w:val="auto"/>
              </w:rPr>
            </w:pPr>
            <w:r>
              <w:rPr>
                <w:rFonts w:ascii="Arial" w:cs="Arial" w:eastAsia="Arial" w:hAnsi="Arial"/>
                <w:sz w:val="18"/>
                <w:szCs w:val="18"/>
                <w:color w:val="auto"/>
                <w:w w:val="93"/>
              </w:rPr>
              <w:t>(218,167)</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Amortization of the Direct Contracting performance year obligation</w:t>
            </w:r>
          </w:p>
        </w:tc>
        <w:tc>
          <w:tcPr>
            <w:tcW w:w="4620" w:type="dxa"/>
            <w:vAlign w:val="bottom"/>
          </w:tcPr>
          <w:p>
            <w:pPr>
              <w:jc w:val="center"/>
              <w:ind w:left="3790"/>
              <w:spacing w:after="0"/>
              <w:rPr>
                <w:sz w:val="20"/>
                <w:szCs w:val="20"/>
                <w:color w:val="auto"/>
              </w:rPr>
            </w:pPr>
            <w:r>
              <w:rPr>
                <w:rFonts w:ascii="Arial" w:cs="Arial" w:eastAsia="Arial" w:hAnsi="Arial"/>
                <w:sz w:val="18"/>
                <w:szCs w:val="18"/>
                <w:color w:val="auto"/>
                <w:w w:val="89"/>
              </w:rPr>
              <w:t>218,167</w:t>
            </w:r>
          </w:p>
        </w:tc>
      </w:tr>
      <w:tr>
        <w:trPr>
          <w:trHeight w:val="108"/>
        </w:trPr>
        <w:tc>
          <w:tcPr>
            <w:tcW w:w="6620" w:type="dxa"/>
            <w:vAlign w:val="bottom"/>
            <w:shd w:val="clear" w:color="auto" w:fill="CCEEFF"/>
          </w:tcPr>
          <w:p>
            <w:pPr>
              <w:spacing w:after="0"/>
              <w:rPr>
                <w:sz w:val="9"/>
                <w:szCs w:val="9"/>
                <w:color w:val="auto"/>
              </w:rPr>
            </w:pPr>
          </w:p>
        </w:tc>
        <w:tc>
          <w:tcPr>
            <w:tcW w:w="4620" w:type="dxa"/>
            <w:vAlign w:val="bottom"/>
            <w:shd w:val="clear" w:color="auto" w:fill="CCEEFF"/>
          </w:tcPr>
          <w:p>
            <w:pPr>
              <w:spacing w:after="0"/>
              <w:rPr>
                <w:sz w:val="9"/>
                <w:szCs w:val="9"/>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Direct Contracting revenue</w:t>
            </w:r>
          </w:p>
        </w:tc>
        <w:tc>
          <w:tcPr>
            <w:tcW w:w="4620" w:type="dxa"/>
            <w:vAlign w:val="bottom"/>
          </w:tcPr>
          <w:p>
            <w:pPr>
              <w:jc w:val="center"/>
              <w:ind w:left="3790"/>
              <w:spacing w:after="0"/>
              <w:rPr>
                <w:sz w:val="20"/>
                <w:szCs w:val="20"/>
                <w:color w:val="auto"/>
              </w:rPr>
            </w:pPr>
            <w:r>
              <w:rPr>
                <w:rFonts w:ascii="Arial" w:cs="Arial" w:eastAsia="Arial" w:hAnsi="Arial"/>
                <w:sz w:val="18"/>
                <w:szCs w:val="18"/>
                <w:color w:val="auto"/>
                <w:w w:val="89"/>
              </w:rPr>
              <w:t>216,373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Operating Segments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Corporation manages operations based on two reportable segments: Medicare Advantage and Direct Contracting. The reportable segments are distinguished based on the healthcare delivery business model. Its Medicare Advantage segment is an insurance business model that focuses on leveraging the Clover Assistant at the point of care. Its Direct Contracting segment is similar to a cost management and care coordination model accounted for as a performance guarantee, where Clover is responsible for coordinating care, managing costs, and providing support to providers and their DCE Beneficiaries through the use of Clover Assistant. These segment groupings are consistent with information used by our Chief Executive Officer, the Corporation’s chief operating decision maker, to assess performance and allocate resources. There are certain revenues and expenses that are attributable to our clinical services and our corporate overhead; these amounts are reported separately from our reportable segments in the tables presenting segment results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in which the Company holds interests comprise the following segments:</w:t>
      </w:r>
    </w:p>
    <w:p>
      <w:pPr>
        <w:spacing w:after="0" w:line="2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Medicare Advantage Segment </w:t>
      </w:r>
      <w:r>
        <w:rPr>
          <w:rFonts w:ascii="Arial" w:cs="Arial" w:eastAsia="Arial" w:hAnsi="Arial"/>
          <w:sz w:val="16"/>
          <w:szCs w:val="16"/>
          <w:color w:val="auto"/>
        </w:rPr>
        <w:t>MA plans that generally provide access to a wide network of primary care physicians, specialists, and hospitals.</w:t>
      </w:r>
    </w:p>
    <w:p>
      <w:pPr>
        <w:spacing w:after="0" w:line="275" w:lineRule="exact"/>
        <w:rPr>
          <w:rFonts w:ascii="Arial" w:cs="Arial" w:eastAsia="Arial" w:hAnsi="Arial"/>
          <w:sz w:val="16"/>
          <w:szCs w:val="16"/>
          <w:color w:val="auto"/>
        </w:rPr>
      </w:pPr>
    </w:p>
    <w:p>
      <w:pPr>
        <w:ind w:left="660" w:right="20" w:hanging="328"/>
        <w:spacing w:after="0" w:line="28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Direct Contracting Segment </w:t>
      </w:r>
      <w:r>
        <w:rPr>
          <w:rFonts w:ascii="Arial" w:cs="Arial" w:eastAsia="Arial" w:hAnsi="Arial"/>
          <w:sz w:val="18"/>
          <w:szCs w:val="18"/>
          <w:color w:val="auto"/>
        </w:rPr>
        <w:t>DC Model with CMS, which provides options aimed at reducing expenditures and preserving or enhancing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of care for beneficiaries.</w:t>
      </w:r>
    </w:p>
    <w:p>
      <w:pPr>
        <w:spacing w:after="0" w:line="188" w:lineRule="exact"/>
        <w:rPr>
          <w:rFonts w:ascii="Arial" w:cs="Arial" w:eastAsia="Arial" w:hAnsi="Arial"/>
          <w:sz w:val="18"/>
          <w:szCs w:val="18"/>
          <w:color w:val="auto"/>
        </w:rPr>
      </w:pPr>
    </w:p>
    <w:p>
      <w:pPr>
        <w:ind w:left="660" w:right="20" w:hanging="328"/>
        <w:spacing w:after="0" w:line="31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Corporate/Other </w:t>
      </w:r>
      <w:r>
        <w:rPr>
          <w:rFonts w:ascii="Arial" w:cs="Arial" w:eastAsia="Arial" w:hAnsi="Arial"/>
          <w:sz w:val="17"/>
          <w:szCs w:val="17"/>
          <w:color w:val="auto"/>
        </w:rPr>
        <w:t>Other clinical services not included in Medicare Advantage and Direct Contracting and all other corporate overhead.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is comprised of Clover Home Care and other clinical services that are offered to our health plan members.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table below summarizes the Corporation’s results by operating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Medicare</w:t>
            </w: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Direct</w:t>
            </w: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Advantage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Contracting</w:t>
            </w:r>
          </w:p>
        </w:tc>
        <w:tc>
          <w:tcPr>
            <w:tcW w:w="150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w w:val="96"/>
              </w:rPr>
              <w:t>Premiums earned, (Net of ceded premiums of $126)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195,357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195,357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Contracting revenue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medical claims incurred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458,521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(46,049)</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954,539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1,215,897</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w w:val="96"/>
              </w:rPr>
              <w:t>Premiums earned, (Net of ceded premiums of $250)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394,733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394,733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Contracting revenue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medical claims incurred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431,963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672,953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(60,156)</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954,539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1,215,897</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reportable segments’ gross loss to the net loss included in our Condensed Consolidated Statements of Operations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for the three and six months ended June 30, 2021,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Three Months Ended June 30, 2021</w:t>
            </w: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Six Months Ended June 30, 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(60,156)</w:t>
            </w:r>
          </w:p>
        </w:tc>
      </w:tr>
      <w:tr>
        <w:trPr>
          <w:trHeight w:val="257"/>
        </w:trPr>
        <w:tc>
          <w:tcPr>
            <w:tcW w:w="4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128,191</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45,628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84,234</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0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0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134,512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49,006</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13,668</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Dividend Restrictions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As of June 30, 2021 and December 31, 2020, neither of the regulated insurance subsidiaries had paid any dividends.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Condensed Consolidated Financial Statements and notes thereto for the three and six months ended June 30, 2021, contained in this Quarterly Report on Form 10-Q (the "Form 10-Q") and the Consolidated Financial Statements and notes thereto for the year ended December 31, 2020, contained in Exhibit 99.5 of Amendment No. 1 to the Current Report on Form 8-K filed with the Securities and Exchange Commission (the "SEC") on April 1, 2021 (the "Form 8-K/A"). This discussion contains forward-looking statements and involves numerous risks and uncertainties, including, but not limited to, those described in the "Risk Factors" section of our 2020 Annual Report on Form 10-K filed with the SEC on March 31, 2021 (the "2020 Form 10-K"), as supplemented by the risks and uncertainties described in the “Risk Factors” section of this document. Actual results may differ materially from those contained in any forward-looking statements. Unless the context otherwise requires, references in this "Management’s Discussion and Analysis of Financial Condition and Results of Operations” to "we," "us,” "our," "Clover," and "the Corporation" are intended to mean the business and operations of Clover Health Investments, Corp. and its consolidated subsidiaries subsequent to the closing of the Business Combination (as defined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By empowering physicians with data-driven, personalized insights at the point of care through our software, we believe we can improve clinical decision making.</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next generation Medicare Advantage (MA) insurer, we operate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We believe the use of the Clover Assistant and related data insights allow us to viably offer these “Obvious” plans at scale, through an asset-light approach.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As of June 30, 2021, we operated in 108 MA markets across eight states with 66,566 Medicare Advantage members. As of June 30, 2021, our PPO plans were licensed in 45 states and the District of Columbia and were not licensed in Michigan, New Hampshire, New York, North Carolina and Vermont, and our HMO was licensed in New Jersey and Texas.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8, 2021, the Centers for Medicare and Medicaid Services (CMS), an agency of the United States Department of Health and Human Services, announced that our subsidiary, Clover Health Partners, LLC (Health Partners), began participating as a Direct Contracting Entity (DCE) in the CMS’s Global and Professional Direct Contracting Model (DC Model) on April 1, 2021. Our DCE assumes full risk (i.e., 100.0% shared savings and shared losses) for the total cost of care of aligned Original Medicare beneficiaries (DCE Beneficiaries). We operate the Direct Contracting (DC) operations through Health Partners, which focuses on our technology platform, the Clover Assistant, to enhance healthcare delivery, reduce expenditures, and improve care for DCE Beneficiaries. As of June 30, 2021, we had contracted with approximately 1,800 individual providers across eight states, and we had 62,025 aligned DCE Beneficiaries. Our participation in the DC Model enables us to moved beyond the MA market and target the Medicare fee-for-service (FFS) market, which is the largest segment of Medicare. We believe that expanding into the FFS market is not only a strategic milestone for Clover but also demonstrates the scalability of the Clover Assistant. Additionally, on June 9, 2021, we announced our plans to scale our in-home-primary care program, Clover Home Care, through our DC operations. Clover Home Care was designed to better identify and care for our most medically complex members, with a focus on health outcomes improvement and medical expense reduction rather than risk adjustment.</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2021, we were partnering with providers to care for approximately 129,000 lives under management, which included 66,566 Medicare Advantage members and 62,025 aligned DCE Beneficiaries. That is nearly double the number of lives we had under management as of January 1, 2021.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24, 2021, we announced plans to make our MA plans available in an additional 101 counties and an additional state beginning in 2022. The expansion, which is subject to CMS approval, would make our MA plans available in a total of 209 counties across nine states. Together, these markets represent approximately 5.2 million available Medicare lives as of May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Redemption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22, 2021, we announced that we are redeeming, at 5:00 p.m. New York City time on August 23, 2021 (the "Redemption Date"), all of our outstanding public warrants and private placement warrants (the “Warrants”) to purchase shares of our common stock, par value $0.0001 per share (the “Common Stock”), for a redemption price of $0.10 per Warrant. The Warrants may be exercised by the holders thereof until 5:00 p.m. New York City time on the Redemption Date to purchase fully paid and non-assessable shares of Class A Common Stock underlying such Warrants. Payment upon exercise of the Warrants may be made either (i) in cash, at an exercise price of $11.50 per share of Class A Common Stock or (ii) on a "cashless basis" in which the exercising holder will receive 0.249 shares of Class A Common Stock per Warrant. If any holder of Warrants would, after taking into account all of such holder's Warrants exercised at one time, be entitled to receive a fractional interest in a share of Class A Common Stock, the number of shares the holder will be entitled to receive will be rounded down to the nearest whole number of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7, 2021, we consummated the previously announced domestication and mergers (the "Business Combination") pursuant to that certain Agreement and Plan of Merger, dated October 5, 2020 (the "Merger Agreement"), by and among Social Capital Hedosophia Holdings Corp III, a Cayman Islands exempted company (SCH), Asclepius Merger Sub Inc., a Delaware corporation and a direct wholly owned subsidiary of SCH, and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For more information, see Note 3 (Business Combination) to Financial Statements in this report.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Combination has had a significant impact on our reported financial position and results as a consequence of the reverse recapitalization.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SCH.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we became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the impacts of the Business Combination, see Note 3 (Business Combination), Note 9 (Notes and Securities Payable), Note 10 (Warrants Payable), and Note 14 (Convertible Preferred Stock) to Financial Statements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8" w:name="page39"/>
    <w:bookmarkEnd w:id="38"/>
    <w:p>
      <w:pPr>
        <w:jc w:val="both"/>
        <w:ind w:right="20"/>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(Clover Home Care)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ensure that our members received appropriate levels of care despite their inability to physically visit a physician’s office. In total, we pivoted from 100.0% in-person Clover Assistant visits before the COVID-19 pandemic to 82.0% and 64.0% virtual Clover Assistant visits during the months of April and May 2020,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ensure the safety of our members, we have implemented multi-channel member communications to support COVID-19 vaccination access and availability, provider network support for telehealth adoption by Clover Home Care practices and, most recently, the provision of in-home COVID-19 vaccinations for our most vulnerable members.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continuing to monitor the ongoing financial impact of COVID-19 on our business and operations and are making adjustments accordingly. We have worked closely with our network of providers to ensure that members are receiving necessary care. Given that a large portion of our membership is elderly and generally in the high-risk category for COVID-19, we have incurred additional costs during the three months ended June 30, 2021, to care for those members who have contracted the virus. While the direct costs of testing and treatment related to COVID-19 have declined in recent months, the indirect costs attributable to the COVID-19 pandemic have increased. During the three months ended June 30, 2021, we experienced increased utilization related to services that were deferred and increased costs related to conditions that were exacerbated by a lack of diagnoses and treatment in the earlier periods of the pandemic. We will continue to monitor the pandemic’s impact on our members.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quarterly information presented in the following table illustrates the financial results for our MA segment operations as impacted by COVID-19: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right"/>
              <w:ind w:right="317"/>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June 30, 2021</w:t>
            </w:r>
          </w:p>
        </w:tc>
        <w:tc>
          <w:tcPr>
            <w:tcW w:w="240" w:type="dxa"/>
            <w:vAlign w:val="bottom"/>
          </w:tcPr>
          <w:p>
            <w:pPr>
              <w:spacing w:after="0"/>
              <w:rPr>
                <w:sz w:val="15"/>
                <w:szCs w:val="15"/>
                <w:color w:val="auto"/>
              </w:rPr>
            </w:pPr>
          </w:p>
        </w:tc>
        <w:tc>
          <w:tcPr>
            <w:tcW w:w="148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March 31, 2021</w:t>
            </w:r>
          </w:p>
        </w:tc>
        <w:tc>
          <w:tcPr>
            <w:tcW w:w="240" w:type="dxa"/>
            <w:vAlign w:val="bottom"/>
          </w:tcPr>
          <w:p>
            <w:pPr>
              <w:spacing w:after="0"/>
              <w:rPr>
                <w:sz w:val="15"/>
                <w:szCs w:val="15"/>
                <w:color w:val="auto"/>
              </w:rPr>
            </w:pPr>
          </w:p>
        </w:tc>
        <w:tc>
          <w:tcPr>
            <w:tcW w:w="148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w w:val="95"/>
              </w:rPr>
              <w:t>December 31, 2020</w:t>
            </w:r>
          </w:p>
        </w:tc>
        <w:tc>
          <w:tcPr>
            <w:tcW w:w="240" w:type="dxa"/>
            <w:vAlign w:val="bottom"/>
          </w:tcPr>
          <w:p>
            <w:pPr>
              <w:spacing w:after="0"/>
              <w:rPr>
                <w:sz w:val="15"/>
                <w:szCs w:val="15"/>
                <w:color w:val="auto"/>
              </w:rPr>
            </w:pPr>
          </w:p>
        </w:tc>
        <w:tc>
          <w:tcPr>
            <w:tcW w:w="15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w w:val="95"/>
              </w:rPr>
              <w:t>September 30, 2020</w:t>
            </w:r>
          </w:p>
        </w:tc>
        <w:tc>
          <w:tcPr>
            <w:tcW w:w="240" w:type="dxa"/>
            <w:vAlign w:val="bottom"/>
          </w:tcPr>
          <w:p>
            <w:pPr>
              <w:spacing w:after="0"/>
              <w:rPr>
                <w:sz w:val="15"/>
                <w:szCs w:val="15"/>
                <w:color w:val="auto"/>
              </w:rPr>
            </w:pPr>
          </w:p>
        </w:tc>
        <w:tc>
          <w:tcPr>
            <w:tcW w:w="144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5"/>
                <w:szCs w:val="15"/>
                <w:color w:val="auto"/>
              </w:rPr>
            </w:pPr>
          </w:p>
        </w:tc>
        <w:tc>
          <w:tcPr>
            <w:tcW w:w="148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 xml:space="preserve">PMPM </w:t>
            </w:r>
            <w:r>
              <w:rPr>
                <w:rFonts w:ascii="Arial" w:cs="Arial" w:eastAsia="Arial" w:hAnsi="Arial"/>
                <w:sz w:val="16"/>
                <w:szCs w:val="16"/>
                <w:b w:val="1"/>
                <w:bCs w:val="1"/>
                <w:color w:val="auto"/>
                <w:w w:val="89"/>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 xml:space="preserve">PMPM </w:t>
            </w:r>
            <w:r>
              <w:rPr>
                <w:rFonts w:ascii="Arial" w:cs="Arial" w:eastAsia="Arial" w:hAnsi="Arial"/>
                <w:sz w:val="16"/>
                <w:szCs w:val="16"/>
                <w:b w:val="1"/>
                <w:bCs w:val="1"/>
                <w:color w:val="auto"/>
                <w:w w:val="89"/>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 xml:space="preserve">PMPM </w:t>
            </w:r>
            <w:r>
              <w:rPr>
                <w:rFonts w:ascii="Arial" w:cs="Arial" w:eastAsia="Arial" w:hAnsi="Arial"/>
                <w:sz w:val="16"/>
                <w:szCs w:val="16"/>
                <w:b w:val="1"/>
                <w:bCs w:val="1"/>
                <w:color w:val="auto"/>
                <w:w w:val="89"/>
                <w:vertAlign w:val="superscript"/>
              </w:rPr>
              <w:t>(1)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 xml:space="preserve">PMPM </w:t>
            </w:r>
            <w:r>
              <w:rPr>
                <w:rFonts w:ascii="Arial" w:cs="Arial" w:eastAsia="Arial" w:hAnsi="Arial"/>
                <w:sz w:val="16"/>
                <w:szCs w:val="16"/>
                <w:b w:val="1"/>
                <w:bCs w:val="1"/>
                <w:color w:val="auto"/>
                <w:w w:val="93"/>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 xml:space="preserve">PMPM </w:t>
            </w:r>
            <w:r>
              <w:rPr>
                <w:rFonts w:ascii="Arial" w:cs="Arial" w:eastAsia="Arial" w:hAnsi="Arial"/>
                <w:sz w:val="16"/>
                <w:szCs w:val="16"/>
                <w:b w:val="1"/>
                <w:bCs w:val="1"/>
                <w:color w:val="auto"/>
                <w:w w:val="89"/>
                <w:vertAlign w:val="superscript"/>
              </w:rPr>
              <w:t>(1)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 xml:space="preserve">PMPM </w:t>
            </w:r>
            <w:r>
              <w:rPr>
                <w:rFonts w:ascii="Arial" w:cs="Arial" w:eastAsia="Arial" w:hAnsi="Arial"/>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7"/>
          </w:tcPr>
          <w:p>
            <w:pPr>
              <w:jc w:val="right"/>
              <w:ind w:right="477"/>
              <w:spacing w:after="0"/>
              <w:rPr>
                <w:sz w:val="20"/>
                <w:szCs w:val="20"/>
                <w:color w:val="auto"/>
              </w:rPr>
            </w:pPr>
            <w:r>
              <w:rPr>
                <w:rFonts w:ascii="Arial" w:cs="Arial" w:eastAsia="Arial" w:hAnsi="Arial"/>
                <w:sz w:val="13"/>
                <w:szCs w:val="13"/>
                <w:b w:val="1"/>
                <w:bCs w:val="1"/>
                <w:color w:val="auto"/>
                <w:w w:val="96"/>
              </w:rPr>
              <w:t>(dollars in thousands, except PMPM amounts)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6"/>
              </w:rPr>
              <w:t>Premiums earned,</w:t>
            </w:r>
          </w:p>
        </w:tc>
        <w:tc>
          <w:tcPr>
            <w:tcW w:w="8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   195,357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980</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199,376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1,005</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164,598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950</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167,075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972</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170,315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163,710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8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w w:val="93"/>
              </w:rPr>
              <w:t>Net medical claims</w:t>
            </w:r>
          </w:p>
        </w:tc>
        <w:tc>
          <w:tcPr>
            <w:tcW w:w="880" w:type="dxa"/>
            <w:vAlign w:val="bottom"/>
            <w:vMerge w:val="restart"/>
          </w:tcPr>
          <w:p>
            <w:pPr>
              <w:jc w:val="right"/>
              <w:ind w:right="137"/>
              <w:spacing w:after="0"/>
              <w:rPr>
                <w:sz w:val="20"/>
                <w:szCs w:val="20"/>
                <w:color w:val="auto"/>
              </w:rPr>
            </w:pPr>
            <w:r>
              <w:rPr>
                <w:rFonts w:ascii="Arial" w:cs="Arial" w:eastAsia="Arial" w:hAnsi="Arial"/>
                <w:sz w:val="13"/>
                <w:szCs w:val="13"/>
                <w:color w:val="auto"/>
              </w:rPr>
              <w:t>216,785</w:t>
            </w:r>
          </w:p>
        </w:tc>
        <w:tc>
          <w:tcPr>
            <w:tcW w:w="120" w:type="dxa"/>
            <w:vAlign w:val="bottom"/>
          </w:tcPr>
          <w:p>
            <w:pPr>
              <w:spacing w:after="0"/>
              <w:rPr>
                <w:sz w:val="10"/>
                <w:szCs w:val="10"/>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1,087</w:t>
            </w:r>
          </w:p>
        </w:tc>
        <w:tc>
          <w:tcPr>
            <w:tcW w:w="240" w:type="dxa"/>
            <w:vAlign w:val="bottom"/>
          </w:tcPr>
          <w:p>
            <w:pPr>
              <w:spacing w:after="0"/>
              <w:rPr>
                <w:sz w:val="10"/>
                <w:szCs w:val="10"/>
                <w:color w:val="auto"/>
              </w:rPr>
            </w:pPr>
          </w:p>
        </w:tc>
        <w:tc>
          <w:tcPr>
            <w:tcW w:w="700" w:type="dxa"/>
            <w:vAlign w:val="bottom"/>
            <w:vMerge w:val="restart"/>
          </w:tcPr>
          <w:p>
            <w:pPr>
              <w:jc w:val="right"/>
              <w:ind w:right="137"/>
              <w:spacing w:after="0"/>
              <w:rPr>
                <w:sz w:val="20"/>
                <w:szCs w:val="20"/>
                <w:color w:val="auto"/>
              </w:rPr>
            </w:pPr>
            <w:r>
              <w:rPr>
                <w:rFonts w:ascii="Arial" w:cs="Arial" w:eastAsia="Arial" w:hAnsi="Arial"/>
                <w:sz w:val="13"/>
                <w:szCs w:val="13"/>
                <w:color w:val="auto"/>
              </w:rPr>
              <w:t>214,432</w:t>
            </w:r>
          </w:p>
        </w:tc>
        <w:tc>
          <w:tcPr>
            <w:tcW w:w="140" w:type="dxa"/>
            <w:vAlign w:val="bottom"/>
          </w:tcPr>
          <w:p>
            <w:pPr>
              <w:spacing w:after="0"/>
              <w:rPr>
                <w:sz w:val="10"/>
                <w:szCs w:val="10"/>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1,081</w:t>
            </w:r>
          </w:p>
        </w:tc>
        <w:tc>
          <w:tcPr>
            <w:tcW w:w="240" w:type="dxa"/>
            <w:vAlign w:val="bottom"/>
          </w:tcPr>
          <w:p>
            <w:pPr>
              <w:spacing w:after="0"/>
              <w:rPr>
                <w:sz w:val="10"/>
                <w:szCs w:val="10"/>
                <w:color w:val="auto"/>
              </w:rPr>
            </w:pPr>
          </w:p>
        </w:tc>
        <w:tc>
          <w:tcPr>
            <w:tcW w:w="700" w:type="dxa"/>
            <w:vAlign w:val="bottom"/>
            <w:vMerge w:val="restart"/>
          </w:tcPr>
          <w:p>
            <w:pPr>
              <w:jc w:val="right"/>
              <w:ind w:right="137"/>
              <w:spacing w:after="0"/>
              <w:rPr>
                <w:sz w:val="20"/>
                <w:szCs w:val="20"/>
                <w:color w:val="auto"/>
              </w:rPr>
            </w:pPr>
            <w:r>
              <w:rPr>
                <w:rFonts w:ascii="Arial" w:cs="Arial" w:eastAsia="Arial" w:hAnsi="Arial"/>
                <w:sz w:val="13"/>
                <w:szCs w:val="13"/>
                <w:color w:val="auto"/>
              </w:rPr>
              <w:t>179,928</w:t>
            </w:r>
          </w:p>
        </w:tc>
        <w:tc>
          <w:tcPr>
            <w:tcW w:w="140" w:type="dxa"/>
            <w:vAlign w:val="bottom"/>
          </w:tcPr>
          <w:p>
            <w:pPr>
              <w:spacing w:after="0"/>
              <w:rPr>
                <w:sz w:val="10"/>
                <w:szCs w:val="10"/>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1,034</w:t>
            </w:r>
          </w:p>
        </w:tc>
        <w:tc>
          <w:tcPr>
            <w:tcW w:w="240" w:type="dxa"/>
            <w:vAlign w:val="bottom"/>
          </w:tcPr>
          <w:p>
            <w:pPr>
              <w:spacing w:after="0"/>
              <w:rPr>
                <w:sz w:val="10"/>
                <w:szCs w:val="10"/>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144,846</w:t>
            </w:r>
          </w:p>
        </w:tc>
        <w:tc>
          <w:tcPr>
            <w:tcW w:w="120" w:type="dxa"/>
            <w:vAlign w:val="bottom"/>
          </w:tcPr>
          <w:p>
            <w:pPr>
              <w:spacing w:after="0"/>
              <w:rPr>
                <w:sz w:val="10"/>
                <w:szCs w:val="10"/>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842</w:t>
            </w:r>
          </w:p>
        </w:tc>
        <w:tc>
          <w:tcPr>
            <w:tcW w:w="240" w:type="dxa"/>
            <w:vAlign w:val="bottom"/>
          </w:tcPr>
          <w:p>
            <w:pPr>
              <w:spacing w:after="0"/>
              <w:rPr>
                <w:sz w:val="10"/>
                <w:szCs w:val="10"/>
                <w:color w:val="auto"/>
              </w:rPr>
            </w:pPr>
          </w:p>
        </w:tc>
        <w:tc>
          <w:tcPr>
            <w:tcW w:w="700" w:type="dxa"/>
            <w:vAlign w:val="bottom"/>
            <w:vMerge w:val="restart"/>
          </w:tcPr>
          <w:p>
            <w:pPr>
              <w:jc w:val="right"/>
              <w:ind w:right="137"/>
              <w:spacing w:after="0"/>
              <w:rPr>
                <w:sz w:val="20"/>
                <w:szCs w:val="20"/>
                <w:color w:val="auto"/>
              </w:rPr>
            </w:pPr>
            <w:r>
              <w:rPr>
                <w:rFonts w:ascii="Arial" w:cs="Arial" w:eastAsia="Arial" w:hAnsi="Arial"/>
                <w:sz w:val="13"/>
                <w:szCs w:val="13"/>
                <w:color w:val="auto"/>
              </w:rPr>
              <w:t>119,366</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701</w:t>
            </w:r>
          </w:p>
        </w:tc>
        <w:tc>
          <w:tcPr>
            <w:tcW w:w="200" w:type="dxa"/>
            <w:vAlign w:val="bottom"/>
          </w:tcPr>
          <w:p>
            <w:pPr>
              <w:spacing w:after="0"/>
              <w:rPr>
                <w:sz w:val="10"/>
                <w:szCs w:val="10"/>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146,328</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incurred </w:t>
            </w:r>
            <w:r>
              <w:rPr>
                <w:rFonts w:ascii="Arial" w:cs="Arial" w:eastAsia="Arial" w:hAnsi="Arial"/>
                <w:sz w:val="16"/>
                <w:szCs w:val="16"/>
                <w:color w:val="auto"/>
                <w:vertAlign w:val="superscript"/>
              </w:rPr>
              <w:t>(2)</w:t>
            </w: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Medical care ratio,</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111.0 %</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107.6 %</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109.3 %</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86.7 %</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70.1 %</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89.4 %</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net (MCR) </w:t>
            </w:r>
            <w:r>
              <w:rPr>
                <w:rFonts w:ascii="Arial" w:cs="Arial" w:eastAsia="Arial" w:hAnsi="Arial"/>
                <w:sz w:val="16"/>
                <w:szCs w:val="16"/>
                <w:color w:val="auto"/>
                <w:vertAlign w:val="superscript"/>
              </w:rPr>
              <w:t>(3)</w:t>
            </w: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20" w:hanging="172"/>
        <w:spacing w:after="0" w:line="217" w:lineRule="auto"/>
        <w:tabs>
          <w:tab w:leader="none" w:pos="177"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Net medical claims incurred related to MA only.</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Defined as our total net medical claims incurred divided by premiums earned, net.</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Since fourth quarter 2020, we incurred additional net medical claims related to COVID-19 without experiencing the same offsetting reduction in outpatient and office-based utilization we experienced in second quarter 2020.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and results of operations related to the COVID-19 pandemic, see the section entitled "Risk Factors—Risks Related to Clover’s Business and Industry. We are subject to risks associated with the COVID-19 pandemic, which could have a material adverse effect on our business, results of operations, financial condition and financial performance" in the 2020 Form 10-K.</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of Our Operating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manage our business with two reportable segments: Medicare Advantage and Direct Contracting. The reportable segments are distinguished based on the healthcare delivery business model. Our MA segment is an insurance business model that focuses on leveraging the Clover Assistant at the point of care. Our DC segment is similar to a cost management and care coordination model accounted for as a performance guarantee, where Clover is responsible for coordinating care, managing costs, and providing support to providers and their DCE Beneficiaries through the use of Clover Assistant.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segment groupings are consistent with information used by our Chief Executive Officer, the Corporation’s chief operating decision maker, to assess performance and allocate resources. The Medicare Advantage segment consists of MA plans that generally provide access to a wide network of primary care physicians, specialists and hospitals. The Direct Contracting segment consists of our operations in connection with the DC Model, which provides options aimed at reducing expenditures and preserving or enhancing quality of care for DCE Beneficiaries.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Advantage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its MA operating segment, the Corporation provides PPO and HMO plans that generally provide access to a wide network of primary care physicians, specialists and hospitals. We seek to improve care and lower costs by empowering physicians with data-driven, personalized insights at the point of care through our software platform, the Clover Assistant.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1"/>
              </w:rPr>
              <w:t>Six Months Ended June 30,</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84"/>
              </w:rPr>
              <w:t>2021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84"/>
              </w:rPr>
              <w:t>2020</w:t>
            </w:r>
          </w:p>
        </w:tc>
        <w:tc>
          <w:tcPr>
            <w:tcW w:w="1000" w:type="dxa"/>
            <w:vAlign w:val="bottom"/>
            <w:tcBorders>
              <w:bottom w:val="single" w:sz="8" w:color="auto"/>
            </w:tcBorders>
          </w:tcPr>
          <w:p>
            <w:pPr>
              <w:spacing w:after="0"/>
              <w:rPr>
                <w:sz w:val="19"/>
                <w:szCs w:val="19"/>
                <w:color w:val="auto"/>
              </w:rPr>
            </w:pPr>
          </w:p>
        </w:tc>
      </w:tr>
      <w:tr>
        <w:trPr>
          <w:trHeight w:val="263"/>
        </w:trPr>
        <w:tc>
          <w:tcPr>
            <w:tcW w:w="5780" w:type="dxa"/>
            <w:vAlign w:val="bottom"/>
          </w:tcPr>
          <w:p>
            <w:pPr>
              <w:ind w:left="20"/>
              <w:spacing w:after="0"/>
              <w:rPr>
                <w:sz w:val="20"/>
                <w:szCs w:val="20"/>
                <w:color w:val="auto"/>
              </w:rPr>
            </w:pPr>
            <w:r>
              <w:rPr>
                <w:rFonts w:ascii="Arial" w:cs="Arial" w:eastAsia="Arial" w:hAnsi="Arial"/>
                <w:sz w:val="14"/>
                <w:szCs w:val="14"/>
                <w:color w:val="auto"/>
              </w:rPr>
              <w:t>(Premium and expense amounts in thousands, except PMPM amounts)</w:t>
            </w:r>
          </w:p>
        </w:tc>
        <w:tc>
          <w:tcPr>
            <w:tcW w:w="300" w:type="dxa"/>
            <w:vAlign w:val="bottom"/>
          </w:tcPr>
          <w:p>
            <w:pPr>
              <w:spacing w:after="0"/>
              <w:rPr>
                <w:sz w:val="22"/>
                <w:szCs w:val="22"/>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PMPM</w:t>
            </w:r>
          </w:p>
        </w:tc>
        <w:tc>
          <w:tcPr>
            <w:tcW w:w="300" w:type="dxa"/>
            <w:vAlign w:val="bottom"/>
          </w:tcPr>
          <w:p>
            <w:pPr>
              <w:spacing w:after="0"/>
              <w:rPr>
                <w:sz w:val="22"/>
                <w:szCs w:val="22"/>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PMPM</w:t>
            </w:r>
          </w:p>
        </w:tc>
      </w:tr>
      <w:tr>
        <w:trPr>
          <w:trHeight w:val="210"/>
        </w:trPr>
        <w:tc>
          <w:tcPr>
            <w:tcW w:w="5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Medicare Advantage Data:</w:t>
            </w: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Members as of period end (#)</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99"/>
              </w:rPr>
              <w:t>N/A</w:t>
            </w: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Premiums earned, gross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394,983</w:t>
            </w:r>
          </w:p>
        </w:tc>
        <w:tc>
          <w:tcPr>
            <w:tcW w:w="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334,282</w:t>
            </w:r>
          </w:p>
        </w:tc>
        <w:tc>
          <w:tcPr>
            <w:tcW w:w="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993</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Premiums earned,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394,733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334,025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991</w:t>
            </w: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Medical claim expense incurred, gross</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790</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Net medical claims incurred</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431,963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265,694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789</w:t>
            </w:r>
          </w:p>
        </w:tc>
      </w:tr>
      <w:tr>
        <w:trPr>
          <w:trHeight w:val="230"/>
        </w:trPr>
        <w:tc>
          <w:tcPr>
            <w:tcW w:w="5780" w:type="dxa"/>
            <w:vAlign w:val="bottom"/>
            <w:shd w:val="clear" w:color="auto" w:fill="CFF0FC"/>
          </w:tcPr>
          <w:p>
            <w:pPr>
              <w:ind w:left="20"/>
              <w:spacing w:after="0" w:line="230" w:lineRule="exact"/>
              <w:rPr>
                <w:sz w:val="20"/>
                <w:szCs w:val="20"/>
                <w:color w:val="auto"/>
              </w:rPr>
            </w:pPr>
            <w:r>
              <w:rPr>
                <w:rFonts w:ascii="Arial" w:cs="Arial" w:eastAsia="Arial" w:hAnsi="Arial"/>
                <w:sz w:val="18"/>
                <w:szCs w:val="18"/>
                <w:color w:val="auto"/>
              </w:rPr>
              <w:t xml:space="preserve">Medical care ratio, gross </w:t>
            </w:r>
            <w:r>
              <w:rPr>
                <w:rFonts w:ascii="Arial" w:cs="Arial" w:eastAsia="Arial" w:hAnsi="Arial"/>
                <w:sz w:val="23"/>
                <w:szCs w:val="23"/>
                <w:color w:val="auto"/>
                <w:vertAlign w:val="superscript"/>
              </w:rPr>
              <w:t>(1)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109.5 %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79.6 %</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N/A</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Medical care ratio, net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-1165860</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-1165860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1"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Defined as our total gross medical claims incurred divided by premiums earned, gross.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ectPr>
          <w:pgSz w:w="11900" w:h="16838" w:orient="portrait"/>
          <w:cols w:equalWidth="0" w:num="1">
            <w:col w:w="11240"/>
          </w:cols>
          <w:pgMar w:left="320" w:top="989"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(the "ACA").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 (Medicare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are our medical expenses and consists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our medical care ratio by dividing total net medical claim expenses incurred by premiums earned, in each case on a gross or net basis, as the case may be, in a given period. We believe our MCR is an indicator of our gross margin for our MA plans and the ability of our Clover Assistant platform to capture and analyze data over time to generate actionable insights for returning members to improve care and reduce medical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Direct Contracting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DC segment consists of operations in connection with the DC Model. provides a variety of programs aimed at reducing expenditures and preserving or enhancing quality of care for DCE Beneficiaries. We measure Direct Contracting revenues and medical claims on a per-beneficiary per-month (PBPM) basis. In the aggregate, we view these as important metrics to assess our financial performance, including our ability to reduce expenditures and preserve or enhance quality of care for DCE Beneficiaries.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0"/>
              </w:rPr>
              <w:t>Six Months Ended</w:t>
            </w:r>
          </w:p>
        </w:tc>
        <w:tc>
          <w:tcPr>
            <w:tcW w:w="1740" w:type="dxa"/>
            <w:vAlign w:val="bottom"/>
          </w:tcPr>
          <w:p>
            <w:pPr>
              <w:spacing w:after="0"/>
              <w:rPr>
                <w:sz w:val="19"/>
                <w:szCs w:val="19"/>
                <w:color w:val="auto"/>
              </w:rPr>
            </w:pPr>
          </w:p>
        </w:tc>
      </w:tr>
      <w:tr>
        <w:trPr>
          <w:trHeight w:val="234"/>
        </w:trPr>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(Revenue and claims amounts in thousands, except PBPM amounts)</w:t>
            </w:r>
          </w:p>
        </w:tc>
        <w:tc>
          <w:tcPr>
            <w:tcW w:w="6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88"/>
              </w:rPr>
              <w:t>June 30, 2021</w:t>
            </w:r>
          </w:p>
        </w:tc>
        <w:tc>
          <w:tcPr>
            <w:tcW w:w="1740" w:type="dxa"/>
            <w:vAlign w:val="bottom"/>
            <w:tcBorders>
              <w:bottom w:val="single" w:sz="8" w:color="auto"/>
            </w:tcBorders>
          </w:tcPr>
          <w:p>
            <w:pPr>
              <w:spacing w:after="0"/>
              <w:rPr>
                <w:sz w:val="20"/>
                <w:szCs w:val="20"/>
                <w:color w:val="auto"/>
              </w:rPr>
            </w:pPr>
          </w:p>
        </w:tc>
      </w:tr>
      <w:tr>
        <w:trPr>
          <w:trHeight w:val="223"/>
        </w:trPr>
        <w:tc>
          <w:tcPr>
            <w:tcW w:w="590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Direct Contracting Data </w:t>
            </w:r>
            <w:r>
              <w:rPr>
                <w:rFonts w:ascii="Arial" w:cs="Arial" w:eastAsia="Arial" w:hAnsi="Arial"/>
                <w:sz w:val="23"/>
                <w:szCs w:val="23"/>
                <w:b w:val="1"/>
                <w:bCs w:val="1"/>
                <w:color w:val="auto"/>
                <w:vertAlign w:val="superscript"/>
              </w:rPr>
              <w:t>(1)</w:t>
            </w:r>
          </w:p>
        </w:tc>
        <w:tc>
          <w:tcPr>
            <w:tcW w:w="620" w:type="dxa"/>
            <w:vAlign w:val="bottom"/>
          </w:tcPr>
          <w:p>
            <w:pPr>
              <w:spacing w:after="0"/>
              <w:rPr>
                <w:sz w:val="19"/>
                <w:szCs w:val="19"/>
                <w:color w:val="auto"/>
              </w:rPr>
            </w:pPr>
          </w:p>
        </w:tc>
        <w:tc>
          <w:tcPr>
            <w:tcW w:w="216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19"/>
                <w:szCs w:val="19"/>
                <w:color w:val="auto"/>
              </w:rPr>
            </w:pPr>
          </w:p>
        </w:tc>
        <w:tc>
          <w:tcPr>
            <w:tcW w:w="1740" w:type="dxa"/>
            <w:vAlign w:val="bottom"/>
          </w:tcPr>
          <w:p>
            <w:pPr>
              <w:jc w:val="right"/>
              <w:ind w:right="930"/>
              <w:spacing w:after="0"/>
              <w:rPr>
                <w:sz w:val="20"/>
                <w:szCs w:val="20"/>
                <w:color w:val="auto"/>
              </w:rPr>
            </w:pPr>
            <w:r>
              <w:rPr>
                <w:rFonts w:ascii="Arial" w:cs="Arial" w:eastAsia="Arial" w:hAnsi="Arial"/>
                <w:sz w:val="18"/>
                <w:szCs w:val="18"/>
                <w:b w:val="1"/>
                <w:bCs w:val="1"/>
                <w:color w:val="auto"/>
              </w:rPr>
              <w:t>PBPM</w:t>
            </w:r>
          </w:p>
        </w:tc>
      </w:tr>
      <w:tr>
        <w:trPr>
          <w:trHeight w:val="223"/>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Beneficiaries as of period end (#)</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62,025</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Direct Contracting revenue</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216,373</w:t>
            </w:r>
          </w:p>
        </w:tc>
        <w:tc>
          <w:tcPr>
            <w:tcW w:w="8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62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241,912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304"/>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Direct Contracting margin</w:t>
            </w:r>
            <w:r>
              <w:rPr>
                <w:rFonts w:ascii="Arial" w:cs="Arial" w:eastAsia="Arial" w:hAnsi="Arial"/>
                <w:sz w:val="23"/>
                <w:szCs w:val="23"/>
                <w:color w:val="auto"/>
                <w:vertAlign w:val="superscript"/>
              </w:rPr>
              <w:t>(2)</w:t>
            </w:r>
          </w:p>
        </w:tc>
        <w:tc>
          <w:tcPr>
            <w:tcW w:w="6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111.8 %</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-638175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4"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We began participating in Direct Contracting in April 2021.</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Defined as net medical claims incurred divided by Direct Contracting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Direct Contracting revenue represents CMS’s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as applicable. Premiums and recoupments incurred in direct relation to the DC Model are recognized as a reduction or increase in Direct Contracting revenue, as applicable. We believe Direct Contracting revenue provides useful insight into the gross economic benefit generated by our business operations and allows us to evaluate our performance without regard to changes in our underlying reinsurance structure.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 (Direct Contracting)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medical claims incurred consists of the total incurred expense that CMS and we will remit for medical services provided on behalf of DCE Beneficiaries during the months in which they are alignment eligible and aligned to the DCE. Additionally, net medical claims incurred is inclusive of fees paid to providers for Clover Assistant usage, care coordination, and any shared savings or shared loss agreements with providers. Net medical claims incurred is presented on our Condensed Consolidated Statements of Operations and Comprehensive Loss in accordance with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Margin (DCM)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DCM by dividing net medical claims incurred by Direct Contracting revenue in a given period. We believe our DCM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components described below, additional components of our results of operations include Premiums Earned, net, Direct Contracting revenue and Net Medical Claims Incurred, which are described in the “Key Performance Measures of Our Operating Segments” section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income primarily consists of income earned from rental agreements with third parties for subleases of our leased office facilities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Corporation was approximately $8.0 million. The fee has been permanently repealed beginning in 2021.</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Premium deficiency reserves are established to the extent that the sum of expected future costs, claim adjustment expenses, and maintenance costs exceeds related future premiums. We assess the profitability of our contracts with CMS to identify those contracts where current operating results or forecasts indicate probable future losses. Premium deficiency reserve expense (benefit)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are no longer required to re-measure the value of the warrants. Change in fair value of warrants payable for our Public Warrants and Private Placement Warrants acquired in the Business Combination reflects the mark-to-market adjustment associated with warrants to purchase our Class A Common Stock from the Closing date through the end of the reporting period. The change in fair value of warrants payable is inclusive of the warrant amortization expense associated with the warrants payable in each period.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consists mostly of interest expense associated with our previously outstanding non-convertible notes under our term loan facility (Term Loan Notes). All remaining principal and interest has been voluntarily paid and the facility has been terminated as of June 29,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(Gain) loss on derivative consisted of (gain) loss on embedded derivatives contained in the Convertible Securities. The embedded derivatives related to the conversion features of the Convertible Securities, which reflected a premium above the principal and accrued interest thereon.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gain or loss on derivative based on changes in fair value of the embedded derivatives contained in the Convertible Securities. The carrying amounts of these embedded derivatives were recorded at fair value at issuance, marked-to-market as of each balance sheet date, and changes in fair value were reported as either income or expense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estimate the fair value attributable to these features, we estimated the value of the Convertible Securities (i) with the embedded derivatives and</w:t>
      </w:r>
    </w:p>
    <w:p>
      <w:pPr>
        <w:spacing w:after="0" w:line="35" w:lineRule="exact"/>
        <w:rPr>
          <w:sz w:val="20"/>
          <w:szCs w:val="20"/>
          <w:color w:val="auto"/>
        </w:rPr>
      </w:pPr>
    </w:p>
    <w:p>
      <w:pPr>
        <w:jc w:val="both"/>
        <w:ind w:firstLine="8"/>
        <w:spacing w:after="0" w:line="253" w:lineRule="auto"/>
        <w:tabs>
          <w:tab w:leader="none" w:pos="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was then used to estimate the fair value of the embedded derivatives. A probability-weighted present value of expected future returns model was then used to estimate the value of the conversion features under various probable scenarios. The assumptions used to arrive at the estimated fair value generally included the stock price, strike price, volatility, risk-free rate, and time to maturity, among others.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7, 2021, in connection with the Closing, the Convertible Securities converted to shares of the Corporation's common stock and the associated derivative liability was eliminated.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consolidated results of operations for the periods presented and as a percentage of our total revenues for those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ind w:left="140"/>
              <w:spacing w:after="0" w:line="122" w:lineRule="exact"/>
              <w:rPr>
                <w:sz w:val="20"/>
                <w:szCs w:val="20"/>
                <w:color w:val="auto"/>
              </w:rPr>
            </w:pPr>
            <w:r>
              <w:rPr>
                <w:rFonts w:ascii="Arial" w:cs="Arial" w:eastAsia="Arial" w:hAnsi="Arial"/>
                <w:sz w:val="14"/>
                <w:szCs w:val="14"/>
                <w:b w:val="1"/>
                <w:bCs w:val="1"/>
                <w:color w:val="auto"/>
              </w:rPr>
              <w:t>Change</w:t>
            </w:r>
          </w:p>
        </w:tc>
        <w:tc>
          <w:tcPr>
            <w:tcW w:w="140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280"/>
              <w:spacing w:after="0" w:line="176" w:lineRule="exact"/>
              <w:rPr>
                <w:sz w:val="20"/>
                <w:szCs w:val="20"/>
                <w:color w:val="auto"/>
              </w:rPr>
            </w:pPr>
            <w:r>
              <w:rPr>
                <w:rFonts w:ascii="Arial" w:cs="Arial" w:eastAsia="Arial" w:hAnsi="Arial"/>
                <w:sz w:val="18"/>
                <w:szCs w:val="18"/>
                <w:color w:val="auto"/>
                <w:w w:val="96"/>
              </w:rPr>
              <w:t>Premiums earned, net (Net of ceded premiums of $126 and $128 for the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195,357</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170,315</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25,042</w:t>
            </w:r>
          </w:p>
        </w:tc>
        <w:tc>
          <w:tcPr>
            <w:tcW w:w="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three months ended June 30, 2021 and 2020, respectively)</w:t>
            </w:r>
          </w:p>
        </w:tc>
        <w:tc>
          <w:tcPr>
            <w:tcW w:w="2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240,391</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medical claims incurred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339,155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70"/>
        </w:trPr>
        <w:tc>
          <w:tcPr>
            <w:tcW w:w="5880" w:type="dxa"/>
            <w:vAlign w:val="bottom"/>
          </w:tcPr>
          <w:p>
            <w:pPr>
              <w:ind w:left="2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62,167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19,227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42,940</w:t>
            </w:r>
          </w:p>
        </w:tc>
        <w:tc>
          <w:tcPr>
            <w:tcW w:w="80" w:type="dxa"/>
            <w:vAlign w:val="bottom"/>
          </w:tcPr>
          <w:p>
            <w:pPr>
              <w:spacing w:after="0"/>
              <w:rPr>
                <w:sz w:val="23"/>
                <w:szCs w:val="23"/>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39,203</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445,423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warrants payable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(7,248)</w:t>
            </w:r>
          </w:p>
        </w:tc>
        <w:tc>
          <w:tcPr>
            <w:tcW w:w="80" w:type="dxa"/>
            <w:vAlign w:val="bottom"/>
          </w:tcPr>
          <w:p>
            <w:pPr>
              <w:spacing w:after="0"/>
              <w:rPr>
                <w:sz w:val="19"/>
                <w:szCs w:val="19"/>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notes and securities discount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Gain on derivative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(323,014)</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-25400</wp:posOffset>
            </wp:positionV>
            <wp:extent cx="514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514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514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-1019810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-1019810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-1019810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-2228215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-2228215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-2228215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-3102610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-3102610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 Not presented as prior period amount is zero or line item is a change from a gain to a loss and thus yields a result that is not meaningful.</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increased $25.0 million, or 14.7%, to $195.4 million for the three months ended June 30, 2021, compared to the three months ended June 30, 2020. The increase was mostly due to membership growth of 17.2% from 56,815 Medicare Advantage members at June 30, 2020, to 66,566 Medicare Advantage members at June 30, 2021. Additional risk adjustment revenue of $2.8 million was recognized during the three months ended June 30, 2021, compared to the three months ended June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participation in Direct Contracting launched in April 2021. Revenue related to Direct Contracting was $216.4 million for the three months ended June 30, 2021. This revenue was attributable to the alignment of 62,025 beneficiaries to our DCE at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$1.0 million, or 58.0%, to $0.7 million for the three months ended June 30, 2021, compared to the three months ended June 30, 2020. The decrease was primarily due to lower net investment income of $0.4 million and decreased rental income of $0.1 million in the three months ended June 30, 2021, and receipt of a $0.5 million state subsidy in the three months ended June 30, 2020, that was not received in the three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increased $339.2 million, or 284.1%, to $458.5 for the three months ended June 30, 2021, compared to the three months ended June 30, 2020. The increase was primarily due to the launch of Direct Contracting in April 2021, MA membership growth, and the impact from the COVID-19 pandemic as discussed in further detail immediately below.</w:t>
      </w:r>
    </w:p>
    <w:p>
      <w:pPr>
        <w:sectPr>
          <w:pgSz w:w="11900" w:h="16838" w:orient="portrait"/>
          <w:cols w:equalWidth="0" w:num="1">
            <w:col w:w="11240"/>
          </w:cols>
          <w:pgMar w:left="320" w:top="1093"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As background, 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second quarter 2020. In second quarter 2020, we experienced a reduction in utilization across all settings, including inpatient hospital admissions. By the end of third quarter 2020, our non-COVID-19 utilization of healthcare services returned to near pre-COVID-19 levels but remained slightly below historical benchmarks. During the three months ended June 30, 2021, we experienced an increase in utilization related to services, diagnoses, and treatment of conditions, which we believe reflects care deferred as a result of the COVID-19 pandemic, as compared to the three months ended June 30, 2020. See also "—Impact of COVID-19"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$42.9 million, or 223.3%, to $62.2 million for the three months ended June 30, 2021, compared to the three months ended June 30, 2020. The increase was driven by higher year-over-year stock-based compensation expense of $43.0 million due to increased headcount and additional awards issued in connection with the Business Combination.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$24.2 million, or 112.5%, to $45.6 million for the three months ended June 30, 2021, compared to the three months ended June 30, 2020. The increase was primarily driven by increases in legal and other professional fees to support our growth and additional costs related to being a public company. Software application expense also increased due to the continued build of platform and information technology capabilities within the organization. For the three months ended June 30, 2021, we recognized $6.7 million in amortization expense of deferred acquisition costs with none recognized for the three months ended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$27.9 million premium deficiency reserve expense recorded for the three months ended June 30, 2021, in anticipation of a reserve deemed necessary for the remainder of 2021. For the three months ended June 30, 2020, there was a benefit of $11.3 million for benefit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in fair value of warrants payable changed by $124.9 million with a loss of $134.5 million for the three months ended June 30, 2021, compared to a loss of $9.6 million for the three months ended June 30, 2020. The change was primarily due to the mark-to-market adjustment in the three months ended June 30, 2021 of the Public Warrants and Private Placement Warrants. For additional information, see Note 5 (Fair Value Measurements) and Note 10 (Warrants Payable) to Financial Statements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$7.2 million, or 85.5%, to $1.2 million for the three months ended June 30, 2021, compared to the three months ended June 30, 2020, primarily related to the conversion of the Convertible Securities to shares of the Corporation’s common stock due to the completion of the Business Combination on January 7,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notes and securities discounts decreased $4.8 million, or 99.8%, to none for the three months ended June 30, 2021, compared to the three months ended June 30, 2020. The decrease relates to the completion of the Business Combination on January 7, 2021, whereby the unamortized discount associated with the August 2019 tranche of the Convertible Securities was accelerated.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gain on derivative for the three months ended June 30, 2021, as compared to $5.2 million gain on derivative for the three months ended June 30, 2020. The change relates to the capital contribution treatment of the elimination of the derivative associated with the completion of the Business Combination on January 7,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consolidated results of operations for the periods presented and as a percentage of our total revenues for those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8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ind w:left="140"/>
              <w:spacing w:after="0" w:line="122" w:lineRule="exact"/>
              <w:rPr>
                <w:sz w:val="20"/>
                <w:szCs w:val="20"/>
                <w:color w:val="auto"/>
              </w:rPr>
            </w:pPr>
            <w:r>
              <w:rPr>
                <w:rFonts w:ascii="Arial" w:cs="Arial" w:eastAsia="Arial" w:hAnsi="Arial"/>
                <w:sz w:val="14"/>
                <w:szCs w:val="14"/>
                <w:b w:val="1"/>
                <w:bCs w:val="1"/>
                <w:color w:val="auto"/>
              </w:rPr>
              <w:t>Change</w:t>
            </w:r>
          </w:p>
        </w:tc>
        <w:tc>
          <w:tcPr>
            <w:tcW w:w="140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80" w:type="dxa"/>
            <w:vAlign w:val="bottom"/>
          </w:tcPr>
          <w:p>
            <w:pPr>
              <w:ind w:left="280"/>
              <w:spacing w:after="0" w:line="176" w:lineRule="exact"/>
              <w:rPr>
                <w:sz w:val="20"/>
                <w:szCs w:val="20"/>
                <w:color w:val="auto"/>
              </w:rPr>
            </w:pPr>
            <w:r>
              <w:rPr>
                <w:rFonts w:ascii="Arial" w:cs="Arial" w:eastAsia="Arial" w:hAnsi="Arial"/>
                <w:sz w:val="18"/>
                <w:szCs w:val="18"/>
                <w:color w:val="auto"/>
                <w:w w:val="92"/>
              </w:rPr>
              <w:t>Premiums earned, net (Net of ceded premiums of $250 and $257 for the six</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394,733</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334,025</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60,708</w:t>
            </w:r>
          </w:p>
        </w:tc>
        <w:tc>
          <w:tcPr>
            <w:tcW w:w="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months ended June 30, 2021 and 2020, respectively</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275,211</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0"/>
        </w:trPr>
        <w:tc>
          <w:tcPr>
            <w:tcW w:w="5880" w:type="dxa"/>
            <w:vAlign w:val="bottom"/>
          </w:tcPr>
          <w:p>
            <w:pPr>
              <w:ind w:left="2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40,711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87,480</w:t>
            </w:r>
          </w:p>
        </w:tc>
        <w:tc>
          <w:tcPr>
            <w:tcW w:w="80" w:type="dxa"/>
            <w:vAlign w:val="bottom"/>
          </w:tcPr>
          <w:p>
            <w:pPr>
              <w:spacing w:after="0"/>
              <w:rPr>
                <w:sz w:val="23"/>
                <w:szCs w:val="23"/>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43,485</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8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913,747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341,046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572,701</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(300,950)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(297,490)</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8,598.0</w:t>
            </w:r>
          </w:p>
        </w:tc>
        <w:tc>
          <w:tcPr>
            <w:tcW w:w="0" w:type="dxa"/>
            <w:vAlign w:val="bottom"/>
          </w:tcPr>
          <w:p>
            <w:pPr>
              <w:spacing w:after="0"/>
              <w:rPr>
                <w:sz w:val="1"/>
                <w:szCs w:val="1"/>
                <w:color w:val="auto"/>
              </w:rPr>
            </w:pPr>
          </w:p>
        </w:tc>
      </w:tr>
      <w:tr>
        <w:trPr>
          <w:trHeight w:val="108"/>
        </w:trPr>
        <w:tc>
          <w:tcPr>
            <w:tcW w:w="58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80"/>
              <w:spacing w:after="0"/>
              <w:rPr>
                <w:sz w:val="20"/>
                <w:szCs w:val="20"/>
                <w:color w:val="auto"/>
              </w:rPr>
            </w:pPr>
            <w:r>
              <w:rPr>
                <w:rFonts w:ascii="Arial" w:cs="Arial" w:eastAsia="Arial" w:hAnsi="Arial"/>
                <w:sz w:val="18"/>
                <w:szCs w:val="18"/>
                <w:color w:val="auto"/>
              </w:rPr>
              <w:t>Change in fair value of warrants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37,132</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5880" w:type="dxa"/>
            <w:vAlign w:val="bottom"/>
          </w:tcPr>
          <w:p>
            <w:pPr>
              <w:ind w:left="280"/>
              <w:spacing w:after="0"/>
              <w:rPr>
                <w:sz w:val="20"/>
                <w:szCs w:val="20"/>
                <w:color w:val="auto"/>
              </w:rPr>
            </w:pPr>
            <w:r>
              <w:rPr>
                <w:rFonts w:ascii="Arial" w:cs="Arial" w:eastAsia="Arial" w:hAnsi="Arial"/>
                <w:sz w:val="18"/>
                <w:szCs w:val="18"/>
                <w:color w:val="auto"/>
              </w:rPr>
              <w:t>Amortization of notes and securities discount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3,141</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derivative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(343,269)</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-1148080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-1148080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-1148080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-2348230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-2348230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-2348230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-3196590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-3196590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 Not presented as prior period amount is zero or line item is a change from a gain to a loss and thus yields a result that is not meaningful.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increased $60.7 million, or 18.2%, to $394.7 million for the six months ended June 30, 2021, compared to the six months ended June 30, 2020. The increase was mostly due to membership growth of 17.2% from 56,815 Medicare Advantage members at June 30, 2020, to 66,566 Medicare Advantage members at June 30, 2021. Additional risk adjustment revenue of $2.8 million was recognized during the six months ended June 30, 2021, compared to the six months ended June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participation in Direct Contracting launched in April 2021. Revenue related to Direct Contracting was $216.4 million for the six months ended June 30, 2021. This revenue was attributable to the alignment of 62,025 beneficiaries to our DCE at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$1.9 million, or 52.5%, to $1.7 million for the six months ended June 30, 2021, compared to the six months ended June 30, 2020. The decrease was primarily due to lower net investment income of $1.2 million and decreased rental income of $0.2 million during the six months ended June 30, 2021, and a receipt of a $0.5 million state subsidy during the six months ended June 30, 2020, that was not received in the six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increased $407.3 million, or 153.3%, to $673.0 million for the six months ended June 30, 2021, compared to the six months ended June 30, 2020. The increase was primarily due to the launch of Direct Contracting in April 2021, MA membership growth, and the impact from the COVID-19 pandemic as discussed in further detail immediately below.</w:t>
      </w:r>
    </w:p>
    <w:p>
      <w:pPr>
        <w:sectPr>
          <w:pgSz w:w="11900" w:h="16838" w:orient="portrait"/>
          <w:cols w:equalWidth="0" w:num="1">
            <w:col w:w="11240"/>
          </w:cols>
          <w:pgMar w:left="320" w:top="1097"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As background, 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During the six months ended June 30, 2021, we experienced an increase in utilization related to services, diagnoses, and treatment of conditions, which we believe reflects care deferred as a result of the COVID-19 pandemic, as compared to the six months ended June 30,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$87.5 million, or 214.9%, to $128.2 million for the six months ended June 30, 2021, compared to the six months ended June 30, 2020. The increase was primarily driven by higher year-over-year stock-based compensation expense of $82.3 million due to increased headcount and additional awards issued in connection with the Business Combination.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$34.3 million, or 68.6%, to $84.2 million for the six months ended June 30, 2021, compared to the six months ended June 30, 2020. The increase was primarily driven by increases in legal and other professional fees to support our growth and additional costs related to becoming a public company. Software application expense also increased due to the continued build of platform and information technology capabilities within the organization. For the six months ended June 30, 2021, we recognized $8.5 million in amortization expense of deferred acquisition costs with none recognized for the six months ended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$27.9 million premium deficiency reserve expense recorded for the six months ended June 30, 2021, in anticipation of a reserve deemed necessary for the remainder of 2021. For the six months ended June 30, 2020, there was a benefit of $15.6 million for benefit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 in fair value of warrants payable was $37.1 million, reflecting a loss of $49.0 million for the six months ended June 30, 2021, compared to a loss of $11.9 million for the six months ended June 30, 2020. The change was primarily due to the mark-to-market adjustment of the Public Warrants and Private Placement Warrants as of June 30, 2021, compared to the initial measurement value as of January 7, 2021. For additional information, see Note 5 (Fair Value Measurements) and Note 10 (Warrants Payable) to Financial Statements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decreased $13.9 million, or 85.2%, to $2.4 million for the six months ended June 30, 2021, compared to the six months ended June 30, 2020, primarily related to the conversion of the Convertible Securities to shares of the Corporation’s common stock due to the completion of the Business Combination on January 7,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of notes and securities discounts increased $3.1 million, or 29.8%, to $13.7 million for the six months ended June 30, 2021, compared to the six months ended June 30, 2020. The increase primarily relates to the completion of the Business Combination on January 7, 2021, whereby the unamortized discount associated with the August 2019 tranche of the Convertible Securities was accelerated. The increase is also driven by $0.6 million of amortization of debt discount associated with the Convertible Securities during the period from January 1, 2021, to January 7,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gain on derivative for the six months ended June 30, 2021, as compared to a $19.4 million gain on derivative for the six months ended June 30, 2020. This change relates to the capital contribution treatment of the elimination of the derivative associated with the completion of the Business Combination on January 7,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cash, cash equivalents, and short-term investments of $590.1 million. Additionally, as of June 30, 2021, we had $40.1 million of available-for-sale and held-to-maturity investment securities, an outstanding balance of $21.2 million on our convertible notes and no outstanding balance on our Term Loan Notes. Our cash equivalents, short-term investments, and investment securities consist primarily of money market funds and U.S. government debt securities.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we have financed our operations primarily from the proceeds we received through private sales of equity securities, issuances of convertible notes, premiums earned under our MA plans, borrowings under our term loan facility and, most recently, with our Direct Contracting revenues.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were $431.7 million and $5.4 million as of June 30, 2021, and December 31, 2020, respectively. This increase at the parent company primarily reflects proceeds from the Business Combination offset by the capital contributions to insurance subsidiaries and repayment of debt. Our unregulated subsidiaries held $32.5 million and $44.6 million of cash, cash equivalents, and short-term investments as of June 30, 2021, and December 31, 2020, respectively. Our regulated insurance subsidiaries held $125.9 million and $46.4 million of cash, cash equivalents, and short-term investments as of June 30, 2021, and December 31, 2020, respectively. Additionally, our regulated insurance subsidiaries held $40.1 million and $54.7 million of available-for-sale and held-to-maturity investment securities as of June 30,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the Form 8-K/A.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22, 23, and 24 to our Consolidated Financial Statements included in the Form 8-K/A.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cash flows for the six months ended June 30, 2021 and 2020.</w:t>
      </w:r>
    </w:p>
    <w:p>
      <w:pPr>
        <w:spacing w:after="0" w:line="262"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p>
      <w:pPr>
        <w:ind w:left="8640"/>
        <w:spacing w:after="0"/>
        <w:tabs>
          <w:tab w:leader="none" w:pos="99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1654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1"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2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(157,024)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(23,944)</w:t>
            </w:r>
          </w:p>
        </w:tc>
      </w:tr>
      <w:tr>
        <w:trPr>
          <w:trHeight w:val="230"/>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(86,611)</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68,347</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637,034</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(4,589)</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six months ended June 30, 2021, net cash used in operating activities was $157.0 million, which included net loss of $366.0 million. Non-cash activities included a $48.9 million gain as a result of the change in fair value of warrants payable and an $85.7</w:t>
      </w:r>
    </w:p>
    <w:p>
      <w:pPr>
        <w:sectPr>
          <w:pgSz w:w="11900" w:h="16838" w:orient="portrait"/>
          <w:cols w:equalWidth="0" w:num="1">
            <w:col w:w="11240"/>
          </w:cols>
          <w:pgMar w:left="320" w:top="1093"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million charge to stock-based compensation expense. Changes to our working capital included a $27.9 million charge to our premium deficiency reserve and an increase of $15.6 million in surety bonds and deposits related to Direct Contracting.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net cash used in operating activities was $23.9 million, which included a net loss of $22.8 million. Non-cash activities primarily consisted of a $19.4 million gain on derivative, $10.5 million in amortization of notes and securities discount, a $11.8 million loss on the change in fair value of warrants payable, and $3.4 million of stock-based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of $86.6 million was primarily due to $323.5 million used to purchase investment securities, offset by $237.1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2020, of $68.3 million was primarily due to $142.1 million provided from the sale and maturity of investment securities, partially offset by $73.3 million used to purchase investment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of $637.0 million was the result of $666.2 million in proceeds from the reverse recapitalization in connection with the Business Combination, net of transaction costs, partially offset by $30.9 million in principal payments on our outstanding Term Loan Notes.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financing activities for the six months ended June 30, 2020, of $4.6 million was primarily the result of $9.1 million in principal payments on our outstanding Term Loan Notes, partially offset by $3.9 million from the acquisition of our noncontrolling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 loan and security agreement with a commercial lender in March 2017, which provided for term loans in an aggregate principal amount of up to $60.0 million. At that time, we borrowed $40.0 million as a term loan under the agreement which was subject to an interest rate of 11.0%, payable monthly, and had a maturity date of March 1, 2022. In October 2017, we borrowed the remaining $20.0 million as a term loan under the agreement which was subject to an interest rate of 11.25%, payable monthly, and had a maturity date of October 1, 2022. Each loan was payable in monthly installments of interest only for the first 24 months, and thereafter interest and principal were payable in 36 equal monthly installments. The loans were secured by substantially all of our assets, including our intellectual property, and equity interests in our unregulated subsidiaries.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2021, the Corporation voluntarily paid the remaining principal of $20.7 million and interest of $0.2 million, thereby terminating the Loan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 convertible securities purchase agreement with qualified institutional buyers, including entities affiliated with our Chief Executive Officer and other holders of more than 5.0% of our common stock, for an aggregate principal amount of up to $500.0 million. In February, March, May, and August 2019, we issued an aggregate of $373.8 million initial principal amount of convertible securities, or the Convertible Securities, under the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9 (Notes and Securities Payable) to Financial Statements in this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funds from future operating cash flows, cash and investments will be sufficient for future operations and commitments, and for capital acquisitions and other strategic transactions.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7"/>
          <w:szCs w:val="17"/>
          <w:color w:val="auto"/>
        </w:rPr>
        <w:t>Material changes to our contractual obligations and commitments as of June 30, 2021, as compared to the amounts disclosed in the Form 8-K/A as of December 31, 2020 included: 1) a performance guarantee of $455.1 million, 2) the voluntary payment of the remaining principal of $20.7 million and interest of $0.2 million and termination of the Loan Facility on June 29, 2021, and 3) the conversion of $373.8 million of the Convertible Securities into common stock of the Corporation, effective as of the completion of the Business Combination, with these events as described in Note 19 (Direct Contracting), Note 9 (Notes and Securities Payable) and Note 3 (Business Combination) to Financial Statements in this report, respectively. There were no other material changes to our contractual obligations and commitments as compared to those disclosed in the Form 8-K/A. For additional information regarding our remaining estimated contractual obligations and commitments, see Note 9 (Notes and Securities Payable), Note 11 (Derivative Liabilities), Note 18 (Commitments and Contingencies) and Note 19 (Direct Contracting) to Financial Statements in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detailed description of our critical accounting estimates, see "Management’s Discussion and Analysis of Financial Condition and Results of Operations" in the Form 8-K/A. For a detailed discussion of our significant accounting policies, see Note 2 to the consolidated financial statements included in the Form 8-K/A and Note 2 (Summary of Significant Accounting Policies) to the Financial Statements in this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include assets and liabilities with estimated fair values that are subject to market risk. Our primary market risk has been interest rate risk associated with investments in fixed maturities. We do not have material exposure to commodity risk.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Our investment portfolio is invested in U.S. Treasury fixed maturity securities. As of June 30, 2021, none of our fixed maturity securities portfolio was unrated or rated below investment grade.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June 30, 2021, pursuant to Rule 13a-15(b) under the Securities Exchange Act of 1934, as amended (the "Exchange Act"). Based upon that evaluation, our Certifying Officers concluded that, as of June 30, 2021, our disclosure controls and procedures were effective.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Remediation of Material Weakness — Technical Accounting Related to Derivative Accounting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the audited financial statements of Clover Health Investments, Corp. and its consolidated subsidiaries as of prior to the consummation of the Business Combination for the year ended December 31, 2020, we identified a material weakness in our internal control over financial reporting,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material weakness related specifically to our application of the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52" w:name="page53"/>
    <w:bookmarkEnd w:id="52"/>
    <w:p>
      <w:pPr>
        <w:jc w:val="both"/>
        <w:spacing w:after="0" w:line="301" w:lineRule="auto"/>
        <w:rPr>
          <w:sz w:val="20"/>
          <w:szCs w:val="20"/>
          <w:color w:val="auto"/>
        </w:rPr>
      </w:pPr>
      <w:r>
        <w:rPr>
          <w:rFonts w:ascii="Arial" w:cs="Arial" w:eastAsia="Arial" w:hAnsi="Arial"/>
          <w:sz w:val="16"/>
          <w:szCs w:val="16"/>
          <w:color w:val="auto"/>
        </w:rPr>
        <w:t>adjustment decreased the gain on derivatives by $44.8 million, with a corresponding increase to net loss for the same periods, in each case as compared to the amounts reflected in the Corporation's press release announcing our financial results for the three months and year ended December 31, 2020, that we furnished in a Current Report on Form 8-K that was filed on March 1, 2020. Management has determined that the material weakness has been remediated due to the fact that the embedded derivative was extinguished upon the consummation of the Business Combination on January 7,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For example, in February 2021, Clover received a subpoena from the SEC as part of an investigation related to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concerning legal proceedings can be found in Note 18 (Commitments and Contingencies) to the Condensed Consolidated Financial Statements included in Part I, Item 1 of this Form 10-Q, which information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or permanently, if one or more of these risks and uncertainties occurs. For a discussion of the risk factors that could adversely affect our financial results and condition, and the value of, and return on, an investment in the Corporation, we refer you to the “Risk Factors” section in Part I, Item 1A in the 2020 Form 10-K. The following risk factors supplement the “Risk Factors” section in the 2020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Direct Contracting presents new risks to our business.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expanded our business into CMS’ new Direct Contracting model (DC Model) in April 2021, enabling us to target a larger market opportunity, the Medicare fee-for-service (FFS) market, which is the largest segment of Medicare. As such, our Direct Contracting business is in the early stages of development, and we are subject to the risks inherent to the launch of any new business, including the risks that we may not generate sufficient returns to justify our investment and that it may take longer or be more costly to achieve the expected benefits from this new program. In connection with our expansion into Direct Contracting, we are enhancing and iterating the functionality of Clover Assistant as well as forming relationships with a greater number of physicians, and we may face new risks and difficulties, many of which we may not be able to predict or foresee. Also, because the DC Model is a new model designed by CMS’s Center for Medicare &amp; Medicaid Innovation (CMMI), CMMI is constantly evaluating the program and may revise the applicable rules and design at any time, and such changes may have a significant impact on our ability to carry out our business. Similarly, while the Direct Contracting program is expected to last five years, CMMI can determine to terminate the program at any time, and in some cases may be required to do so, and if the program is terminated, we will no longer be able to target the FFS market, which in turn could reduce the return on our investments and negatively impact our business, financial condition, results of operations and future prospects.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activities are highly regulated, and new and proposed government regulation or legislative reforms could increase our cost of doing business and reduce our membership, profitability and liquidity.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healthcare industry is heavily regulated and closely scrutinized by federal, state and local governments. Comprehensive statutes and regulations govern the manner in which we are compensated for providing coverage for our Medicare Advantage members, our contractual relationships with our physicians, vendors and members, our marketing activities and other aspects of our operations. Of particular importance are:</w:t>
      </w:r>
    </w:p>
    <w:p>
      <w:pPr>
        <w:jc w:val="both"/>
        <w:ind w:left="660" w:hanging="328"/>
        <w:spacing w:after="0" w:line="24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3"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2"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jc w:val="both"/>
        <w:ind w:left="660" w:hanging="328"/>
        <w:spacing w:after="0" w:line="264"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 Kickback Statute, a person or entity does not need to have actual knowledge of the statute or specific intent to violate it to have committed a violation;</w:t>
      </w:r>
    </w:p>
    <w:p>
      <w:pPr>
        <w:jc w:val="both"/>
        <w:ind w:left="660" w:hanging="328"/>
        <w:spacing w:after="0" w:line="23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 insurance holding company laws and regulations pertaining to licensing and plan solvency requirements;</w:t>
      </w:r>
    </w:p>
    <w:p>
      <w:pPr>
        <w:ind w:left="660" w:hanging="328"/>
        <w:spacing w:after="0" w:line="24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reassignment of payment rules that prohibit certain types of billing and collection practices in connection with claims payable by the Medicare or Medicaid programs;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left="660" w:hanging="328"/>
        <w:spacing w:after="0" w:line="24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third-party payor;</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 of the Affordable Care Act (the “ACA”), that requires MA plans to spend at least 85% of premium dollars on medical care;</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and state laws that govern our relationships with pharmaceutical manufacturers, wholesalers, pharmacies, members and consumers;</w:t>
      </w:r>
    </w:p>
    <w:p>
      <w:pPr>
        <w:spacing w:after="0" w:line="7"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that regulate debt collection practices;</w:t>
      </w:r>
    </w:p>
    <w:p>
      <w:pPr>
        <w:jc w:val="both"/>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2"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laws governing the ways in which we communicate with members and market our services, including the Telephone Consumer Protection Act, the Controlling the Assault of Non-Solicited Pornography and Marketing Act;</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w:t>
      </w:r>
    </w:p>
    <w:p>
      <w:pPr>
        <w:spacing w:after="0" w:line="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the operations of our therapeutics affiliate, the extensive, complex, and evolving laws and regulations applicable to the operations of our therapeutics affiliate, primarily those of the U.S. Food and Drug Administration (the “FDA”); and</w:t>
      </w:r>
    </w:p>
    <w:p>
      <w:pPr>
        <w:spacing w:after="0" w:line="1" w:lineRule="exact"/>
        <w:rPr>
          <w:rFonts w:ascii="Arial" w:cs="Arial" w:eastAsia="Arial" w:hAnsi="Arial"/>
          <w:sz w:val="18"/>
          <w:szCs w:val="18"/>
          <w:color w:val="auto"/>
        </w:rPr>
      </w:pPr>
    </w:p>
    <w:p>
      <w:pPr>
        <w:jc w:val="both"/>
        <w:ind w:left="660" w:hanging="328"/>
        <w:spacing w:after="0" w:line="23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law governing CMMI models, such as the DC Model, including a requirement under section 1115A of the Social Security Act for CMMI to modify or terminate the design or implementation of a model if it is determined that it is not expected to achieve the aims of the statute to improve the quality of care without increasing Medicare spending, to reduce Medicare spending without reducing the quality of care, or to improve the quality of care and reduce spending.</w:t>
      </w:r>
    </w:p>
    <w:p>
      <w:pPr>
        <w:spacing w:after="0" w:line="216"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scrutiny or challenge under one or more of such laws. Also, it is possible that some of our business activities, such as participation in the DC Model, could discontinue.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Achieving and sustaining compliance with these laws may also prove costly.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6"/>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0" w:type="dxa"/>
            <w:vAlign w:val="bottom"/>
            <w:gridSpan w:val="6"/>
          </w:tcPr>
          <w:p>
            <w:pPr>
              <w:ind w:left="378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0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7"/>
          </w:tcPr>
          <w:p>
            <w:pPr>
              <w:spacing w:after="0" w:line="202" w:lineRule="exact"/>
              <w:rPr>
                <w:rFonts w:ascii="Arial" w:cs="Arial" w:eastAsia="Arial" w:hAnsi="Arial"/>
                <w:sz w:val="18"/>
                <w:szCs w:val="18"/>
                <w:color w:val="0000FF"/>
                <w:w w:val="95"/>
              </w:rPr>
            </w:pPr>
            <w:hyperlink w:anchor="page59">
              <w:r>
                <w:rPr>
                  <w:rFonts w:ascii="Arial" w:cs="Arial" w:eastAsia="Arial" w:hAnsi="Arial"/>
                  <w:sz w:val="18"/>
                  <w:szCs w:val="18"/>
                  <w:color w:val="0000FF"/>
                  <w:w w:val="95"/>
                </w:rPr>
                <w:t>Certification of Principal Executive Officer Pursuant to Rules 13a-14(a) and 15d-14(a) under the Securities Exchange Act of 1934, as</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Adopted Pursuant to Section 302 of the Sarbanes-Oxley Act of 2002.</w:t>
              </w:r>
            </w:hyperlink>
          </w:p>
        </w:tc>
        <w:tc>
          <w:tcPr>
            <w:tcW w:w="4620" w:type="dxa"/>
            <w:vAlign w:val="bottom"/>
            <w:tcBorders>
              <w:top w:val="single" w:sz="8" w:color="0000FF"/>
            </w:tcBorders>
            <w:gridSpan w:val="2"/>
          </w:tcPr>
          <w:p>
            <w:pPr>
              <w:spacing w:after="0"/>
              <w:rPr>
                <w:sz w:val="17"/>
                <w:szCs w:val="17"/>
                <w:color w:val="auto"/>
              </w:rPr>
            </w:pPr>
          </w:p>
        </w:tc>
        <w:tc>
          <w:tcPr>
            <w:tcW w:w="500" w:type="dxa"/>
            <w:vAlign w:val="bottom"/>
            <w:gridSpan w:val="3"/>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Certification of Principal Financial Officer Pursuant to Rules 13a-14(a) and 15d-14(a) under the Securities Exchange Act of 1934, as</w:t>
              </w:r>
            </w:hyperlink>
          </w:p>
        </w:tc>
        <w:tc>
          <w:tcPr>
            <w:tcW w:w="540" w:type="dxa"/>
            <w:vAlign w:val="bottom"/>
            <w:gridSpan w:val="4"/>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Adopted Pursuant to Section 302 of the Sarbanes-Oxley Act of 2002.</w:t>
              </w:r>
            </w:hyperlink>
          </w:p>
        </w:tc>
        <w:tc>
          <w:tcPr>
            <w:tcW w:w="5120" w:type="dxa"/>
            <w:vAlign w:val="bottom"/>
            <w:gridSpan w:val="5"/>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c>
          <w:tcPr>
            <w:tcW w:w="6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61">
              <w:r>
                <w:rPr>
                  <w:rFonts w:ascii="Arial" w:cs="Arial" w:eastAsia="Arial" w:hAnsi="Arial"/>
                  <w:sz w:val="18"/>
                  <w:szCs w:val="18"/>
                  <w:color w:val="0000FF"/>
                  <w:w w:val="91"/>
                </w:rPr>
                <w:t>Act of 2002.</w:t>
              </w:r>
            </w:hyperlink>
          </w:p>
        </w:tc>
        <w:tc>
          <w:tcPr>
            <w:tcW w:w="9200" w:type="dxa"/>
            <w:vAlign w:val="bottom"/>
            <w:gridSpan w:val="6"/>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7"/>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62">
              <w:r>
                <w:rPr>
                  <w:rFonts w:ascii="Arial" w:cs="Arial" w:eastAsia="Arial" w:hAnsi="Arial"/>
                  <w:sz w:val="18"/>
                  <w:szCs w:val="18"/>
                  <w:color w:val="0000FF"/>
                  <w:w w:val="91"/>
                </w:rPr>
                <w:t>Act of 2002.</w:t>
              </w:r>
            </w:hyperlink>
          </w:p>
        </w:tc>
        <w:tc>
          <w:tcPr>
            <w:tcW w:w="9080" w:type="dxa"/>
            <w:vAlign w:val="bottom"/>
            <w:tcBorders>
              <w:top w:val="single" w:sz="8" w:color="0000FF"/>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86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w:t>
      </w:r>
    </w:p>
    <w:p>
      <w:pPr>
        <w:spacing w:after="0" w:line="292" w:lineRule="exact"/>
        <w:rPr>
          <w:sz w:val="20"/>
          <w:szCs w:val="20"/>
          <w:color w:val="auto"/>
        </w:rPr>
      </w:pPr>
    </w:p>
    <w:p>
      <w:pPr>
        <w:ind w:left="20"/>
        <w:spacing w:after="0"/>
        <w:tabs>
          <w:tab w:leader="none" w:pos="5360" w:val="left"/>
          <w:tab w:leader="none" w:pos="786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Joseph Wagner</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Principal Accounting Officer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Vivek Garipalli, certify that:</w:t>
      </w:r>
    </w:p>
    <w:p>
      <w:pPr>
        <w:spacing w:after="0" w:line="225" w:lineRule="exact"/>
        <w:rPr>
          <w:sz w:val="20"/>
          <w:szCs w:val="20"/>
          <w:color w:val="auto"/>
        </w:rPr>
      </w:pPr>
    </w:p>
    <w:p>
      <w:pPr>
        <w:ind w:left="520" w:hanging="43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June 30, 2021;</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60" w:hanging="432"/>
        <w:spacing w:after="0" w:line="277" w:lineRule="auto"/>
        <w:tabs>
          <w:tab w:leader="none" w:pos="5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7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Joseph Wagner, certify that:</w:t>
      </w:r>
    </w:p>
    <w:p>
      <w:pPr>
        <w:spacing w:after="0" w:line="225" w:lineRule="exact"/>
        <w:rPr>
          <w:sz w:val="20"/>
          <w:szCs w:val="20"/>
          <w:color w:val="auto"/>
        </w:rPr>
      </w:pPr>
    </w:p>
    <w:p>
      <w:pPr>
        <w:ind w:left="540" w:hanging="4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June 30, 2021;</w:t>
      </w:r>
    </w:p>
    <w:p>
      <w:pPr>
        <w:spacing w:after="0" w:line="225" w:lineRule="exact"/>
        <w:rPr>
          <w:rFonts w:ascii="Arial" w:cs="Arial" w:eastAsia="Arial" w:hAnsi="Arial"/>
          <w:sz w:val="18"/>
          <w:szCs w:val="18"/>
          <w:color w:val="auto"/>
        </w:rPr>
      </w:pPr>
    </w:p>
    <w:p>
      <w:pPr>
        <w:jc w:val="both"/>
        <w:ind w:left="540" w:right="340" w:hanging="432"/>
        <w:spacing w:after="0" w:line="263" w:lineRule="auto"/>
        <w:tabs>
          <w:tab w:leader="none" w:pos="5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300" w:hanging="432"/>
        <w:spacing w:after="0" w:line="308" w:lineRule="auto"/>
        <w:tabs>
          <w:tab w:leader="none" w:pos="5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360" w:hanging="432"/>
        <w:spacing w:after="0" w:line="277" w:lineRule="auto"/>
        <w:tabs>
          <w:tab w:leader="none" w:pos="5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160" w:hanging="451"/>
        <w:spacing w:after="0" w:line="263" w:lineRule="auto"/>
        <w:tabs>
          <w:tab w:leader="none" w:pos="9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620" w:hanging="451"/>
        <w:spacing w:after="0" w:line="342" w:lineRule="auto"/>
        <w:tabs>
          <w:tab w:leader="none" w:pos="9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51"/>
        <w:spacing w:after="0" w:line="263" w:lineRule="auto"/>
        <w:tabs>
          <w:tab w:leader="none" w:pos="9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40" w:right="40" w:hanging="432"/>
        <w:spacing w:after="0" w:line="308" w:lineRule="auto"/>
        <w:tabs>
          <w:tab w:leader="none" w:pos="5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60" w:hanging="451"/>
        <w:spacing w:after="0" w:line="277" w:lineRule="auto"/>
        <w:tabs>
          <w:tab w:leader="none" w:pos="9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20" w:hanging="451"/>
        <w:spacing w:after="0" w:line="277" w:lineRule="auto"/>
        <w:tabs>
          <w:tab w:leader="none" w:pos="9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40" w:val="left"/>
          <w:tab w:leader="none" w:pos="7020" w:val="left"/>
        </w:tabs>
        <w:rPr>
          <w:sz w:val="20"/>
          <w:szCs w:val="20"/>
          <w:color w:val="auto"/>
        </w:rPr>
      </w:pPr>
      <w:r>
        <w:rPr>
          <w:rFonts w:ascii="Arial" w:cs="Arial" w:eastAsia="Arial" w:hAnsi="Arial"/>
          <w:sz w:val="18"/>
          <w:szCs w:val="18"/>
          <w:color w:val="auto"/>
        </w:rPr>
        <w:t>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14605</wp:posOffset>
            </wp:positionV>
            <wp:extent cx="31032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Joseph Wagner</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Financial Officer and Principal Accounting Officer</w:t>
      </w:r>
    </w:p>
    <w:p>
      <w:pPr>
        <w:sectPr>
          <w:pgSz w:w="11900" w:h="16838" w:orient="portrait"/>
          <w:cols w:equalWidth="0" w:num="1">
            <w:col w:w="11340"/>
          </w:cols>
          <w:pgMar w:left="220" w:top="76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80" w:right="80" w:firstLine="441"/>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451"/>
        <w:spacing w:after="0" w:line="277" w:lineRule="auto"/>
        <w:tabs>
          <w:tab w:leader="none" w:pos="9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80" w:right="80" w:firstLine="441"/>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451"/>
        <w:spacing w:after="0" w:line="277" w:lineRule="auto"/>
        <w:tabs>
          <w:tab w:leader="none" w:pos="9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4520" w:val="left"/>
          <w:tab w:leader="none" w:pos="7000" w:val="left"/>
        </w:tabs>
        <w:rPr>
          <w:sz w:val="20"/>
          <w:szCs w:val="20"/>
          <w:color w:val="auto"/>
        </w:rPr>
      </w:pPr>
      <w:r>
        <w:rPr>
          <w:rFonts w:ascii="Arial" w:cs="Arial" w:eastAsia="Arial" w:hAnsi="Arial"/>
          <w:sz w:val="18"/>
          <w:szCs w:val="18"/>
          <w:color w:val="auto"/>
        </w:rPr>
        <w:t>: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Joseph Wagner</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Financial Officer and Principal Accounting Officer</w:t>
      </w:r>
    </w:p>
    <w:sectPr>
      <w:pgSz w:w="11900" w:h="16838" w:orient="portrait"/>
      <w:cols w:equalWidth="0" w:num="1">
        <w:col w:w="11320"/>
      </w:cols>
      <w:pgMar w:left="24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Roman"/>
      <w:start w:val="2"/>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2021-08-11T15:48:08Z</dcterms:created>
  <dcterms:modified xsi:type="dcterms:W3CDTF">2021-08-11T15:48:08Z</dcterms:modified>
</cp:coreProperties>
</file>