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Soares Karen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CLOVER HEALTH INVESTMENTS, CORP. NOT APPLICABLE</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WILMINGTON DE</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19801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CLOVER HEALTH INVESTMENTS,</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2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4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CORP. /DE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CLOV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1"/>
        </w:trPr>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1"/>
        </w:trPr>
        <w:tc>
          <w:tcPr>
            <w:tcW w:w="80" w:type="dxa"/>
            <w:vAlign w:val="bottom"/>
          </w:tcPr>
          <w:p>
            <w:pPr>
              <w:spacing w:after="0"/>
              <w:rPr>
                <w:sz w:val="5"/>
                <w:szCs w:val="5"/>
                <w:color w:val="auto"/>
              </w:rPr>
            </w:pPr>
          </w:p>
        </w:tc>
        <w:tc>
          <w:tcPr>
            <w:tcW w:w="980" w:type="dxa"/>
            <w:vAlign w:val="bottom"/>
            <w:tcBorders>
              <w:top w:val="single" w:sz="8" w:color="0000EE"/>
            </w:tcBorders>
          </w:tcPr>
          <w:p>
            <w:pPr>
              <w:spacing w:after="0"/>
              <w:rPr>
                <w:sz w:val="5"/>
                <w:szCs w:val="5"/>
                <w:color w:val="auto"/>
              </w:rPr>
            </w:pPr>
          </w:p>
        </w:tc>
        <w:tc>
          <w:tcPr>
            <w:tcW w:w="2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980"/>
              <w:spacing w:after="0" w:line="185" w:lineRule="exact"/>
              <w:rPr>
                <w:sz w:val="20"/>
                <w:szCs w:val="20"/>
                <w:color w:val="auto"/>
              </w:rPr>
            </w:pPr>
            <w:r>
              <w:rPr>
                <w:rFonts w:ascii="Times New Roman" w:cs="Times New Roman" w:eastAsia="Times New Roman" w:hAnsi="Times New Roman"/>
                <w:sz w:val="17"/>
                <w:szCs w:val="17"/>
                <w:color w:val="0000FF"/>
              </w:rPr>
              <w:t>Chief Legal Officer</w:t>
            </w:r>
          </w:p>
        </w:tc>
        <w:tc>
          <w:tcPr>
            <w:tcW w:w="0" w:type="dxa"/>
            <w:vAlign w:val="bottom"/>
          </w:tcPr>
          <w:p>
            <w:pPr>
              <w:spacing w:after="0"/>
              <w:rPr>
                <w:sz w:val="1"/>
                <w:szCs w:val="1"/>
                <w:color w:val="auto"/>
              </w:rPr>
            </w:pPr>
          </w:p>
        </w:tc>
      </w:tr>
      <w:tr>
        <w:trPr>
          <w:trHeight w:val="226"/>
        </w:trPr>
        <w:tc>
          <w:tcPr>
            <w:tcW w:w="10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06/15/2026</w:t>
            </w:r>
          </w:p>
        </w:tc>
        <w:tc>
          <w:tcPr>
            <w:tcW w:w="2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234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4,681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1,567,741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of Common Stock required to be sold by the Reporting Person to cover tax withholding obligations in connection with the vesting of restricted stock units ("RSUs"). These sales are mandated by the Issuer's election under its equity incentive plans to require the satisfaction of tax withholding obligations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$4.61 to $4.64, inclusive. The Reporting Person undertakes to provide to the Issuer, any securityholder of the Issuer, or the staff of the Securities and Exchange Commission (the "SEC"), upon request, full information regarding the number of shares sold at each separate price within the range set forth in this footnote (2) to this Form 4.</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/s/Peter J. Rivas as attorney-</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06/16/2026</w:t>
            </w:r>
          </w:p>
        </w:tc>
        <w:tc>
          <w:tcPr>
            <w:tcW w:w="0" w:type="dxa"/>
            <w:vAlign w:val="bottom"/>
          </w:tcPr>
          <w:p>
            <w:pPr>
              <w:spacing w:after="0"/>
              <w:rPr>
                <w:sz w:val="1"/>
                <w:szCs w:val="1"/>
                <w:color w:val="auto"/>
              </w:rPr>
            </w:pPr>
          </w:p>
        </w:tc>
      </w:tr>
      <w:tr>
        <w:trPr>
          <w:trHeight w:val="87"/>
        </w:trPr>
        <w:tc>
          <w:tcPr>
            <w:tcW w:w="19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Karen M. Soares</w:t>
            </w:r>
          </w:p>
        </w:tc>
        <w:tc>
          <w:tcPr>
            <w:tcW w:w="1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20" w:type="dxa"/>
            <w:vAlign w:val="bottom"/>
            <w:tcBorders>
              <w:bottom w:val="single" w:sz="8" w:color="auto"/>
            </w:tcBorders>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9086" TargetMode="External"/><Relationship Id="rId14" Type="http://schemas.openxmlformats.org/officeDocument/2006/relationships/hyperlink" Target="http://www.sec.gov/cgi-bin/browse-edgar?action=getcompany&amp;CIK=00018011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2026-06-16T07:18:22Z</dcterms:created>
  <dcterms:modified xsi:type="dcterms:W3CDTF">2026-06-16T07:18:22Z</dcterms:modified>
</cp:coreProperties>
</file>