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Social Capital Hedosophia Holdings Corp. III</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7"/>
          <w:szCs w:val="17"/>
          <w:color w:val="auto"/>
        </w:rPr>
        <w:t>Subject Company: Clover Health Investments, Corp.</w:t>
      </w:r>
    </w:p>
    <w:p>
      <w:pPr>
        <w:spacing w:after="0" w:line="2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7"/>
          <w:szCs w:val="17"/>
          <w:color w:val="auto"/>
        </w:rPr>
        <w:t>Commission File No. 001-39252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 SCH Merger Announcement – NYT Coverage | October 6, 2020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Headlines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49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New York Times | </w:t>
      </w:r>
      <w:r>
        <w:rPr>
          <w:rFonts w:ascii="Times New Roman" w:cs="Times New Roman" w:eastAsia="Times New Roman" w:hAnsi="Times New Roman"/>
          <w:sz w:val="18"/>
          <w:szCs w:val="18"/>
          <w:u w:val="single" w:color="auto"/>
          <w:color w:val="auto"/>
        </w:rPr>
        <w:t>DealBook: Clover Health Is Near a $3.7 Billion Deal to Be Bought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health care company, in talks with an affiliate of the billionaire Chamath Palihapitiya, hopes to use the money to fuel growth and achieve profitability.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New York Times | </w:t>
      </w:r>
      <w:r>
        <w:rPr>
          <w:rFonts w:ascii="Times New Roman" w:cs="Times New Roman" w:eastAsia="Times New Roman" w:hAnsi="Times New Roman"/>
          <w:sz w:val="18"/>
          <w:szCs w:val="18"/>
          <w:u w:val="single" w:color="auto"/>
          <w:color w:val="auto"/>
        </w:rPr>
        <w:t>DealBook Newsletter: Don’t Be Afraid of It’?</w:t>
      </w:r>
    </w:p>
    <w:p>
      <w:pPr>
        <w:spacing w:after="0" w:line="27" w:lineRule="exact"/>
        <w:rPr>
          <w:sz w:val="24"/>
          <w:szCs w:val="24"/>
          <w:color w:val="auto"/>
        </w:rPr>
      </w:pPr>
    </w:p>
    <w:p>
      <w:pPr>
        <w:ind w:right="360" w:firstLine="8"/>
        <w:spacing w:after="0" w:line="260" w:lineRule="auto"/>
        <w:tabs>
          <w:tab w:leader="none" w:pos="20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Clover Health is going public via SPAC. Chamath Palihapitiya’s blank-check company, Social Capital Hedosophia Holdings, is acquiring Medicare Advantage insurance company Clover, in a deal valuing the company at $3.7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49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Full-Text Clips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DealBook: Clover Health Is Near a $3.7 Billion Deal to Be Bought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New York Times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Lauren Hirsch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6, 2020</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health care company, in talks with an affiliate of the billionaire Chamath Palihapitiya, hopes to use the money to fuel growth and achieve profitability.</w:t>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 “blank check company” led by the billionaire Chamath Palihapitiya is nearing a deal to acquire the Medicare insurance company Clover Health, according to people familiar with the matter. The deal, which could be announced as soon as Tuesday, would value Clover Health at $3.7 billion.</w:t>
      </w:r>
    </w:p>
    <w:p>
      <w:pPr>
        <w:spacing w:after="0" w:line="16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deal is being done through a special-purpose vehicle, or SPAC, which uses public market funds to buy private companies and take them public. It is the third such deal done through Mr. Palihapitiya’s Social Capital Hedosophia fund, following the real estate start-up Opendoor and the space tourism company Virgin Galactic.</w:t>
      </w:r>
    </w:p>
    <w:p>
      <w:pPr>
        <w:spacing w:after="0" w:line="176"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Clover, founded in 2013, sells Medicare insurance in largely rural or underserved areas. Alongside that insurance, it also offers software to physicians that helps aggregate key data on patients who are part of the Clover network. That data can, in turn, improve care and bring the cost of care down, the company argues.</w:t>
      </w:r>
    </w:p>
    <w:p>
      <w:pPr>
        <w:spacing w:after="0" w:line="17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Still, Clover, which touts its software as a distinguishing feature, has indicated that technology alone is not enough to sustain the company. Clover laid off about a quarter of its employees last year as it sought to focus on hiring health care experts in addition to technology developers.</w:t>
      </w:r>
    </w:p>
    <w:p>
      <w:pPr>
        <w:spacing w:after="0" w:line="16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from the SPAC will fuel Clover Health’s growth beyond the more than 57,000 members it currently serves across seven states, the people said. That scale will help it achieve profitability, a goal it hopes to meet by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deal includes up to $1.2 billion in cash proceeds, $400 million of which will be through a private investment in the public entity, or PIPE, led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Palihapitiya.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 to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DealBook Newsletter: Don’t Be Afraid of 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New York 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Andrew Ross Sorkin, Lauren Hirsch, Ephrat Livni, Michael J. de la Merced and Jason Karaian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Clover Health is going public via SPAC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Chamath Palihapitiya’s blank-check company, Social Capital Hedosophia Holdings, is acquiring Medicare Advantage insurance company Clover, in a deal valuing the company at $3.7 billion. The deal includes up to $1.2 billion in cash proceeds, $400 million of which will be through a private investment in the public entity, or PIPE, led by Mr. Palihapitiya, the billionaire former Facebook executive turned tech investor.</w:t>
      </w:r>
    </w:p>
    <w:p>
      <w:pPr>
        <w:spacing w:after="0" w:line="176"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Clover considers itself primarily a tech company. It was founded in 2013, and sells Medicare advantage plans in counties that include rural or underserved areas, while also offering physicians software that it says aggregates key data to improve care and cut costs. “What makes us different — and why I think we get along with Chamath — is we offer technology first, not technology-enabled,” said Andrew Toy, Clover’s president and chief technology officer.</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That said, the company laid off about a quarter of its employees last year as it sought to hire more health experts. “Technology can solve a lot of problems, but it can’t solve all problems right at the same time,” Mr. Toy said of the move.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Clover will add scale with the cash it’s getting from the deal, helping it achieve profitability, a goal it hopes to meet by 2023.</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Third time’s the charm. The SPAC merging with Clover is the third such deal through Mr. Palihapitiya’s Hedosophia fund, following the real estate start-up Opendoor and the space tourism company Virgin Galactic. (The investor is also raising $2 billion for three more SPACs.) Mr. Palihapitiya said he is taking a portfolio approach to selecting targets, with the common ingredient being bets on technology. He stressed that he is putting money at risk: Social Capital Hedosophia has invested $453 million of personal capital across the three deals, a big chunk of the $3 billion it raised in total.</w:t>
      </w:r>
    </w:p>
    <w:p>
      <w:pPr>
        <w:spacing w:after="0" w:line="180" w:lineRule="exact"/>
        <w:rPr>
          <w:sz w:val="20"/>
          <w:szCs w:val="20"/>
          <w:color w:val="auto"/>
        </w:rPr>
      </w:pPr>
    </w:p>
    <w:p>
      <w:pPr>
        <w:ind w:right="160" w:firstLine="8"/>
        <w:spacing w:after="0" w:line="282" w:lineRule="auto"/>
        <w:tabs>
          <w:tab w:leader="none" w:pos="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put a lot of money on the line in the hopes these businesses can, frankly, do good things in the world. And if they do good things, I would like to profit from them as well,” Mr. Palihapitiya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 to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LEGAL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contains certain forward-looking statements within the meaning of the federal securities laws with respect to the proposed transaction between Clover Health Investments, Corp. (“</w:t>
      </w:r>
      <w:r>
        <w:rPr>
          <w:rFonts w:ascii="Times New Roman" w:cs="Times New Roman" w:eastAsia="Times New Roman" w:hAnsi="Times New Roman"/>
          <w:sz w:val="18"/>
          <w:szCs w:val="18"/>
          <w:u w:val="single" w:color="auto"/>
          <w:color w:val="auto"/>
        </w:rPr>
        <w:t>Clover</w:t>
      </w:r>
      <w:r>
        <w:rPr>
          <w:rFonts w:ascii="Times New Roman" w:cs="Times New Roman" w:eastAsia="Times New Roman" w:hAnsi="Times New Roman"/>
          <w:sz w:val="18"/>
          <w:szCs w:val="18"/>
          <w:color w:val="auto"/>
        </w:rPr>
        <w:t>”) and Social Capital Hedosophia Holdings Corp. III (“</w:t>
      </w:r>
      <w:r>
        <w:rPr>
          <w:rFonts w:ascii="Times New Roman" w:cs="Times New Roman" w:eastAsia="Times New Roman" w:hAnsi="Times New Roman"/>
          <w:sz w:val="18"/>
          <w:szCs w:val="18"/>
          <w:u w:val="single" w:color="auto"/>
          <w:color w:val="auto"/>
        </w:rPr>
        <w:t>SCH</w:t>
      </w:r>
      <w:r>
        <w:rPr>
          <w:rFonts w:ascii="Times New Roman" w:cs="Times New Roman" w:eastAsia="Times New Roman" w:hAnsi="Times New Roman"/>
          <w:sz w:val="18"/>
          <w:szCs w:val="18"/>
          <w:color w:val="auto"/>
        </w:rPr>
        <w:t>”).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the price of SCH’s securities, (ii) the risk that the transaction may not be completed by SCH’s business combination deadline and the potential failure to obtain an extension of the business combination deadline if sought by SCH, (iii) the failure to satisfy the conditions to the consummation of the transaction, including the adoption of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October 5, 2020, by and among SCH, Asclepius Merger Sub Inc. and Clover, by the shareholders of SCH, the satisfaction of the minimum trust account amount following redemptions by SCH’s public shareholders and the receipt of certain governmental and regulatory approvals, (iv) the lack of a third party valuation in determining whether or not to pursue the proposed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Clover’s business relationships, operating results and business generally, (viii) risks that the proposed transaction disrupts current plans and operations of Clover and potential difficulties in Clover employee retention as a result of the transaction, (ix) the outcome of any legal proceedings that may be instituted against Clover or against SCH related to the Merger Agreement or the transaction, (x) the ability to maintain the listing of SCH’s securities on a national securities exchange, (xi) the price of SCH’s securities may be volatile due to a variety of factors, including changes in the competitive and highly regulated industries in which SCH plans to operate or Clover operates, variations in operating performance across competitors, changes in laws and regulations affecting SCH’s or Clover’s business and changes in the combined capital structure, (xii) the ability to implement business plans, forecasts, and other expectations after the completion of the proposed transaction, and identify and realize additional opportunities, and (xiii) the risk of downturns and a changing regulatory landscape in the highly competitive healthcare industry. The foregoing list of factors is not exhaustive. You should carefully consider the foregoing factors and the other risks and uncertainties described in the “Risk Factors” section of SCH’s registration on Form S-1 (File No. 333-236776), the registration statement on Form S-4 discussed below and other documents filed by SCH from time to time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Clover and SCH assume no obligation and do not intend to update or revise these forward-looking statements, whether as a result of new information, future events, or otherwise. Neither Clover nor SCH gives any assurance that either Clover or SCH or the combined company will achieve its expectations.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relates to a proposed transaction between Clover and SCH.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SCH intends to file a registration statement on Form S-4 with the SEC, which will include a document that serves as a prospectus and proxy statement of SCH, referred to as a proxy statement/prospectus. A proxy statement/prospectus will be sent to all SCH shareholders. SCH also will file other documents regarding the proposed transaction with the SEC. Before making any voting decision, investors and security holders of SCH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SCH through the website maintained by the SEC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SCH with the SEC also may be obtained free of charge at SCH’s website at http://www.socialcapitalhedosophiaholdings.com/docsc.html or upon written request to 317 University Ave, Suite 200, Palo Alto, California 94301.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 and its directors and executive officers may be deemed to be participants in the solicitation of proxies from SCH’s shareholders in connection with the proposed transaction.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2020-10-07T05:09:27Z</dcterms:created>
  <dcterms:modified xsi:type="dcterms:W3CDTF">2020-10-07T05:09:27Z</dcterms:modified>
</cp:coreProperties>
</file>