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16081.xml.htm"/>
      <w:bookmarkStart w:id="1" w:name="kswkform4_178951608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Reynoso Jamie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CLOVER HEALTH INVESTMENTS,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NOT APPLICABLE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CLOVER HEALTH INVESTMENTS, CORP. /DE</w:t>
              </w:r>
            </w:hyperlink>
            <w:r>
              <w:rPr/>
              <w:t xml:space="preserve"> [ </w:t>
            </w:r>
            <w:r>
              <w:rPr>
                <w:rFonts w:ascii="Times;serif" w:hAnsi="Times;serif"/>
                <w:color w:val="0000FF"/>
                <w:sz w:val="24"/>
                <w:shd w:fill="FFFFFF" w:val="clear"/>
              </w:rPr>
              <w:t>CLOV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Medicare Advantage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885"/>
        <w:gridCol w:w="452"/>
        <w:gridCol w:w="710"/>
        <w:gridCol w:w="1275"/>
        <w:gridCol w:w="993"/>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9,273</w:t>
            </w:r>
            <w:r>
              <w:rPr>
                <w:rFonts w:ascii="Times;serif" w:hAnsi="Times;serif"/>
                <w:color w:val="008000"/>
                <w:position w:val="7"/>
                <w:sz w:val="16"/>
                <w:sz w:val="20"/>
                <w:shd w:fill="FFFFFF" w:val="clear"/>
              </w:rPr>
              <w:t>(1)</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4.78</w:t>
            </w:r>
            <w:r>
              <w:rPr>
                <w:rFonts w:ascii="Times;serif" w:hAnsi="Times;serif"/>
                <w:color w:val="008000"/>
                <w:position w:val="7"/>
                <w:sz w:val="16"/>
                <w:sz w:val="20"/>
                <w:shd w:fill="FFFFFF" w:val="clear"/>
              </w:rPr>
              <w:t>(2)</w:t>
            </w:r>
          </w:p>
        </w:tc>
        <w:tc>
          <w:tcPr>
            <w:tcW w:w="12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2,805,367</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shares of Class A Common Stock required to be sold by the Reporting Person to cover tax withholding obligations in connection with the vesting of the final 6.25% of restricted stock units (the "RSUs") on September 15, 2026. The RSUs were originally granted to the Reporting Person on September 16, 2022. These sales are mandated by the Issuer's election under its equity incentive plans to require the satisfaction of tax withholding obligations to be funded by a "sell to cover" transaction and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$4.70 to $4.78, inclusive. The Reporting Person undertakes to provide to the Issuer, any securityholder of the Issuer, or the staff of the Securities and Exchange Commission, upon request, full information regarding the number of shares sold at each separate price within the range set forth in this footnote (2)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/s/Peter J. Rivas as attorney-in-fact for Jamie L. Reynoso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9066" TargetMode="External"/><Relationship Id="rId5" Type="http://schemas.openxmlformats.org/officeDocument/2006/relationships/hyperlink" Target="http://www.sec.gov/cgi-bin/browse-edgar?action=getcompany&amp;CIK=0001801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753</Words>
  <Characters>4045</Characters>
  <CharactersWithSpaces>4728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