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205740</wp:posOffset>
            </wp:positionH>
            <wp:positionV relativeFrom="page">
              <wp:posOffset>583565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608330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51"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1" w:lineRule="exact"/>
        <w:rPr>
          <w:sz w:val="24"/>
          <w:szCs w:val="24"/>
          <w:color w:val="auto"/>
        </w:rPr>
      </w:pPr>
    </w:p>
    <w:p>
      <w:pPr>
        <w:ind w:left="440" w:hanging="181"/>
        <w:spacing w:after="0"/>
        <w:tabs>
          <w:tab w:leader="none" w:pos="44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20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p>
      <w:pPr>
        <w:spacing w:after="0" w:line="116"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51" w:lineRule="exact"/>
        <w:rPr>
          <w:sz w:val="24"/>
          <w:szCs w:val="24"/>
          <w:color w:val="auto"/>
        </w:rPr>
      </w:pPr>
    </w:p>
    <w:p>
      <w:pPr>
        <w:ind w:left="260"/>
        <w:spacing w:after="0"/>
        <w:rPr>
          <w:sz w:val="20"/>
          <w:szCs w:val="20"/>
          <w:color w:val="auto"/>
        </w:rPr>
      </w:pPr>
      <w:r>
        <w:rPr>
          <w:rFonts w:ascii="Wingdings" w:cs="Wingdings" w:eastAsia="Wingdings" w:hAnsi="Wingdings"/>
          <w:sz w:val="17"/>
          <w:szCs w:val="17"/>
          <w:b w:val="1"/>
          <w:bCs w:val="1"/>
          <w:color w:val="auto"/>
          <w:highlight w:val="black"/>
        </w:rPr>
        <w:t xml:space="preserve">o </w:t>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 to ________</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001-39252</w:t>
      </w:r>
    </w:p>
    <w:p>
      <w:pPr>
        <w:spacing w:after="0" w:line="29"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Clover Health Investments, Corp.</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127" w:lineRule="exact"/>
        <w:rPr>
          <w:sz w:val="24"/>
          <w:szCs w:val="24"/>
          <w:color w:val="auto"/>
        </w:rPr>
      </w:pPr>
    </w:p>
    <w:tbl>
      <w:tblPr>
        <w:tblLayout w:type="fixed"/>
        <w:tblInd w:w="1720" w:type="dxa"/>
        <w:tblCellMar>
          <w:top w:w="0" w:type="dxa"/>
          <w:left w:w="0" w:type="dxa"/>
          <w:bottom w:w="0" w:type="dxa"/>
          <w:right w:w="0" w:type="dxa"/>
        </w:tblCellMar>
      </w:tblPr>
      <w:tr>
        <w:trPr>
          <w:trHeight w:val="228"/>
        </w:trPr>
        <w:tc>
          <w:tcPr>
            <w:tcW w:w="4220" w:type="dxa"/>
            <w:vAlign w:val="bottom"/>
          </w:tcPr>
          <w:p>
            <w:pPr>
              <w:jc w:val="center"/>
              <w:ind w:right="1966"/>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98-1515192</w:t>
            </w:r>
          </w:p>
        </w:tc>
      </w:tr>
      <w:tr>
        <w:trPr>
          <w:trHeight w:val="149"/>
        </w:trPr>
        <w:tc>
          <w:tcPr>
            <w:tcW w:w="4220" w:type="dxa"/>
            <w:vAlign w:val="bottom"/>
          </w:tcPr>
          <w:p>
            <w:pPr>
              <w:jc w:val="center"/>
              <w:ind w:right="1946"/>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2960" w:type="dxa"/>
            <w:vAlign w:val="bottom"/>
          </w:tcPr>
          <w:p>
            <w:pPr>
              <w:jc w:val="center"/>
              <w:ind w:left="1969"/>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0"/>
        </w:trPr>
        <w:tc>
          <w:tcPr>
            <w:tcW w:w="4220" w:type="dxa"/>
            <w:vAlign w:val="bottom"/>
          </w:tcPr>
          <w:p>
            <w:pPr>
              <w:jc w:val="center"/>
              <w:ind w:right="1966"/>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960" w:type="dxa"/>
            <w:vAlign w:val="bottom"/>
          </w:tcPr>
          <w:p>
            <w:pPr>
              <w:jc w:val="center"/>
              <w:ind w:left="1949"/>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418"/>
        </w:trPr>
        <w:tc>
          <w:tcPr>
            <w:tcW w:w="4220" w:type="dxa"/>
            <w:vAlign w:val="bottom"/>
          </w:tcPr>
          <w:p>
            <w:pPr>
              <w:jc w:val="center"/>
              <w:ind w:right="1946"/>
              <w:spacing w:after="0"/>
              <w:rPr>
                <w:sz w:val="20"/>
                <w:szCs w:val="20"/>
                <w:color w:val="auto"/>
              </w:rPr>
            </w:pPr>
            <w:r>
              <w:rPr>
                <w:rFonts w:ascii="Times New Roman" w:cs="Times New Roman" w:eastAsia="Times New Roman" w:hAnsi="Times New Roman"/>
                <w:sz w:val="17"/>
                <w:szCs w:val="17"/>
                <w:b w:val="1"/>
                <w:bCs w:val="1"/>
                <w:color w:val="auto"/>
              </w:rPr>
              <w:t>3401 Mallory Lane</w:t>
            </w:r>
            <w:r>
              <w:rPr>
                <w:rFonts w:ascii="Arial" w:cs="Arial" w:eastAsia="Arial" w:hAnsi="Arial"/>
                <w:sz w:val="20"/>
                <w:szCs w:val="20"/>
                <w:color w:val="auto"/>
              </w:rPr>
              <w:t>,</w:t>
            </w:r>
            <w:r>
              <w:rPr>
                <w:rFonts w:ascii="Times New Roman" w:cs="Times New Roman" w:eastAsia="Times New Roman" w:hAnsi="Times New Roman"/>
                <w:sz w:val="17"/>
                <w:szCs w:val="17"/>
                <w:b w:val="1"/>
                <w:bCs w:val="1"/>
                <w:color w:val="auto"/>
              </w:rPr>
              <w:t xml:space="preserve"> Suite 210</w:t>
            </w:r>
          </w:p>
        </w:tc>
        <w:tc>
          <w:tcPr>
            <w:tcW w:w="2960" w:type="dxa"/>
            <w:vAlign w:val="bottom"/>
          </w:tcPr>
          <w:p>
            <w:pPr>
              <w:spacing w:after="0"/>
              <w:rPr>
                <w:sz w:val="24"/>
                <w:szCs w:val="24"/>
                <w:color w:val="auto"/>
              </w:rPr>
            </w:pPr>
          </w:p>
        </w:tc>
      </w:tr>
      <w:tr>
        <w:trPr>
          <w:trHeight w:val="292"/>
        </w:trPr>
        <w:tc>
          <w:tcPr>
            <w:tcW w:w="4220" w:type="dxa"/>
            <w:vAlign w:val="bottom"/>
          </w:tcPr>
          <w:p>
            <w:pPr>
              <w:jc w:val="center"/>
              <w:ind w:right="1966"/>
              <w:spacing w:after="0"/>
              <w:rPr>
                <w:sz w:val="20"/>
                <w:szCs w:val="20"/>
                <w:color w:val="auto"/>
              </w:rPr>
            </w:pPr>
            <w:r>
              <w:rPr>
                <w:rFonts w:ascii="Times New Roman" w:cs="Times New Roman" w:eastAsia="Times New Roman" w:hAnsi="Times New Roman"/>
                <w:sz w:val="17"/>
                <w:szCs w:val="17"/>
                <w:b w:val="1"/>
                <w:bCs w:val="1"/>
                <w:color w:val="auto"/>
              </w:rPr>
              <w:t>Franklin</w:t>
            </w:r>
            <w:r>
              <w:rPr>
                <w:rFonts w:ascii="Arial" w:cs="Arial" w:eastAsia="Arial" w:hAnsi="Arial"/>
                <w:sz w:val="20"/>
                <w:szCs w:val="20"/>
                <w:color w:val="auto"/>
              </w:rPr>
              <w:t>,</w:t>
            </w:r>
            <w:r>
              <w:rPr>
                <w:rFonts w:ascii="Times New Roman" w:cs="Times New Roman" w:eastAsia="Times New Roman" w:hAnsi="Times New Roman"/>
                <w:sz w:val="17"/>
                <w:szCs w:val="17"/>
                <w:b w:val="1"/>
                <w:bCs w:val="1"/>
                <w:color w:val="auto"/>
              </w:rPr>
              <w:t xml:space="preserve"> Tennessee</w:t>
            </w:r>
          </w:p>
        </w:tc>
        <w:tc>
          <w:tcPr>
            <w:tcW w:w="2960" w:type="dxa"/>
            <w:vAlign w:val="bottom"/>
          </w:tcPr>
          <w:p>
            <w:pPr>
              <w:jc w:val="right"/>
              <w:ind w:right="169"/>
              <w:spacing w:after="0"/>
              <w:rPr>
                <w:sz w:val="20"/>
                <w:szCs w:val="20"/>
                <w:color w:val="auto"/>
              </w:rPr>
            </w:pPr>
            <w:r>
              <w:rPr>
                <w:rFonts w:ascii="Times New Roman" w:cs="Times New Roman" w:eastAsia="Times New Roman" w:hAnsi="Times New Roman"/>
                <w:sz w:val="17"/>
                <w:szCs w:val="17"/>
                <w:b w:val="1"/>
                <w:bCs w:val="1"/>
                <w:color w:val="auto"/>
              </w:rPr>
              <w:t>37067</w:t>
            </w:r>
          </w:p>
        </w:tc>
      </w:tr>
      <w:tr>
        <w:trPr>
          <w:trHeight w:val="160"/>
        </w:trPr>
        <w:tc>
          <w:tcPr>
            <w:tcW w:w="4220" w:type="dxa"/>
            <w:vAlign w:val="bottom"/>
          </w:tcPr>
          <w:p>
            <w:pPr>
              <w:jc w:val="center"/>
              <w:ind w:right="1946"/>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960" w:type="dxa"/>
            <w:vAlign w:val="bottom"/>
          </w:tcPr>
          <w:p>
            <w:pPr>
              <w:jc w:val="center"/>
              <w:ind w:left="1969"/>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(201) 432-2133</w:t>
      </w:r>
    </w:p>
    <w:p>
      <w:pPr>
        <w:spacing w:after="0" w:line="123" w:lineRule="exact"/>
        <w:rPr>
          <w:sz w:val="24"/>
          <w:szCs w:val="24"/>
          <w:color w:val="auto"/>
        </w:rPr>
      </w:pPr>
    </w:p>
    <w:p>
      <w:pPr>
        <w:ind w:left="4460"/>
        <w:spacing w:after="0"/>
        <w:rPr>
          <w:sz w:val="20"/>
          <w:szCs w:val="20"/>
          <w:color w:val="auto"/>
        </w:rPr>
      </w:pPr>
      <w:r>
        <w:rPr>
          <w:rFonts w:ascii="Arial" w:cs="Arial" w:eastAsia="Arial" w:hAnsi="Arial"/>
          <w:sz w:val="10"/>
          <w:szCs w:val="10"/>
          <w:color w:val="auto"/>
        </w:rPr>
        <w:t>________________________________________</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4"/>
                <w:szCs w:val="14"/>
                <w:color w:val="auto"/>
              </w:rPr>
            </w:pPr>
          </w:p>
        </w:tc>
      </w:tr>
      <w:tr>
        <w:trPr>
          <w:trHeight w:val="196"/>
        </w:trPr>
        <w:tc>
          <w:tcPr>
            <w:tcW w:w="4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4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r>
      <w:tr>
        <w:trPr>
          <w:trHeight w:val="198"/>
        </w:trPr>
        <w:tc>
          <w:tcPr>
            <w:tcW w:w="4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Class A Common Stock, par value $0.0001 per share</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CLOV</w:t>
            </w:r>
          </w:p>
        </w:tc>
        <w:tc>
          <w:tcPr>
            <w:tcW w:w="80" w:type="dxa"/>
            <w:vAlign w:val="bottom"/>
          </w:tcPr>
          <w:p>
            <w:pPr>
              <w:spacing w:after="0"/>
              <w:rPr>
                <w:sz w:val="17"/>
                <w:szCs w:val="17"/>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The NASDAQ Stock Market LLC</w:t>
            </w:r>
          </w:p>
        </w:tc>
      </w:tr>
    </w:tbl>
    <w:p>
      <w:pPr>
        <w:spacing w:after="0" w:line="171" w:lineRule="exact"/>
        <w:rPr>
          <w:sz w:val="24"/>
          <w:szCs w:val="24"/>
          <w:color w:val="auto"/>
        </w:rPr>
      </w:pPr>
    </w:p>
    <w:p>
      <w:pPr>
        <w:ind w:left="620" w:right="2020"/>
        <w:spacing w:after="0" w:line="380"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jc w:val="both"/>
        <w:ind w:right="440" w:firstLine="623"/>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tabs>
          <w:tab w:leader="none" w:pos="76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85" w:lineRule="exact"/>
        <w:rPr>
          <w:sz w:val="24"/>
          <w:szCs w:val="24"/>
          <w:color w:val="auto"/>
        </w:rPr>
      </w:pPr>
    </w:p>
    <w:p>
      <w:pPr>
        <w:ind w:right="200" w:firstLine="623"/>
        <w:spacing w:after="0" w:line="27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4" w:lineRule="exact"/>
        <w:rPr>
          <w:sz w:val="24"/>
          <w:szCs w:val="24"/>
          <w:color w:val="auto"/>
        </w:rPr>
      </w:pPr>
    </w:p>
    <w:p>
      <w:pPr>
        <w:ind w:right="60" w:firstLine="623"/>
        <w:spacing w:after="0" w:line="35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80"/>
              <w:spacing w:after="0"/>
              <w:rPr>
                <w:sz w:val="20"/>
                <w:szCs w:val="20"/>
                <w:color w:val="auto"/>
              </w:rPr>
            </w:pPr>
            <w:r>
              <w:rPr>
                <w:rFonts w:ascii="Wingdings" w:cs="Wingdings" w:eastAsia="Wingdings" w:hAnsi="Wingdings"/>
                <w:sz w:val="16"/>
                <w:szCs w:val="16"/>
                <w:b w:val="1"/>
                <w:bCs w:val="1"/>
                <w:color w:val="auto"/>
              </w:rPr>
              <w:t>o</w:t>
            </w:r>
          </w:p>
        </w:tc>
        <w:tc>
          <w:tcPr>
            <w:tcW w:w="504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vMerge w:val="restart"/>
          </w:tcPr>
          <w:p>
            <w:pPr>
              <w:ind w:left="360"/>
              <w:spacing w:after="0"/>
              <w:rPr>
                <w:sz w:val="20"/>
                <w:szCs w:val="20"/>
                <w:color w:val="auto"/>
              </w:rPr>
            </w:pPr>
            <w:r>
              <w:rPr>
                <w:rFonts w:ascii="Wingdings" w:cs="Wingdings" w:eastAsia="Wingdings" w:hAnsi="Wingdings"/>
                <w:sz w:val="16"/>
                <w:szCs w:val="16"/>
                <w:b w:val="1"/>
                <w:bCs w:val="1"/>
                <w:color w:val="auto"/>
                <w:w w:val="82"/>
              </w:rPr>
              <w:t>x</w:t>
            </w:r>
          </w:p>
        </w:tc>
        <w:tc>
          <w:tcPr>
            <w:tcW w:w="0" w:type="dxa"/>
            <w:vAlign w:val="bottom"/>
          </w:tcPr>
          <w:p>
            <w:pPr>
              <w:spacing w:after="0"/>
              <w:rPr>
                <w:sz w:val="1"/>
                <w:szCs w:val="1"/>
                <w:color w:val="auto"/>
              </w:rPr>
            </w:pPr>
          </w:p>
        </w:tc>
      </w:tr>
      <w:tr>
        <w:trPr>
          <w:trHeight w:val="103"/>
        </w:trPr>
        <w:tc>
          <w:tcPr>
            <w:tcW w:w="20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80"/>
              <w:spacing w:after="0"/>
              <w:rPr>
                <w:sz w:val="20"/>
                <w:szCs w:val="20"/>
                <w:color w:val="auto"/>
              </w:rPr>
            </w:pPr>
            <w:r>
              <w:rPr>
                <w:rFonts w:ascii="Wingdings" w:cs="Wingdings" w:eastAsia="Wingdings" w:hAnsi="Wingdings"/>
                <w:sz w:val="16"/>
                <w:szCs w:val="16"/>
                <w:b w:val="1"/>
                <w:bCs w:val="1"/>
                <w:color w:val="auto"/>
              </w:rPr>
              <w:t>o</w:t>
            </w:r>
          </w:p>
        </w:tc>
        <w:tc>
          <w:tcPr>
            <w:tcW w:w="504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60"/>
              <w:spacing w:after="0"/>
              <w:rPr>
                <w:sz w:val="20"/>
                <w:szCs w:val="20"/>
                <w:color w:val="auto"/>
              </w:rPr>
            </w:pPr>
            <w:r>
              <w:rPr>
                <w:rFonts w:ascii="Wingdings" w:cs="Wingdings" w:eastAsia="Wingdings" w:hAnsi="Wingdings"/>
                <w:sz w:val="16"/>
                <w:szCs w:val="16"/>
                <w:b w:val="1"/>
                <w:bCs w:val="1"/>
                <w:color w:val="auto"/>
                <w:w w:val="97"/>
              </w:rPr>
              <w:t>o</w:t>
            </w:r>
          </w:p>
        </w:tc>
        <w:tc>
          <w:tcPr>
            <w:tcW w:w="0" w:type="dxa"/>
            <w:vAlign w:val="bottom"/>
          </w:tcPr>
          <w:p>
            <w:pPr>
              <w:spacing w:after="0"/>
              <w:rPr>
                <w:sz w:val="1"/>
                <w:szCs w:val="1"/>
                <w:color w:val="auto"/>
              </w:rPr>
            </w:pPr>
          </w:p>
        </w:tc>
      </w:tr>
      <w:tr>
        <w:trPr>
          <w:trHeight w:val="208"/>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380"/>
              <w:spacing w:after="0"/>
              <w:rPr>
                <w:sz w:val="20"/>
                <w:szCs w:val="20"/>
                <w:color w:val="auto"/>
              </w:rPr>
            </w:pPr>
            <w:r>
              <w:rPr>
                <w:rFonts w:ascii="Wingdings" w:cs="Wingdings" w:eastAsia="Wingdings" w:hAnsi="Wingdings"/>
                <w:sz w:val="16"/>
                <w:szCs w:val="16"/>
                <w:b w:val="1"/>
                <w:bCs w:val="1"/>
                <w:color w:val="auto"/>
              </w:rPr>
              <w:t>o</w:t>
            </w:r>
          </w:p>
        </w:tc>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ind w:firstLine="623"/>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9" w:lineRule="exact"/>
        <w:rPr>
          <w:sz w:val="24"/>
          <w:szCs w:val="24"/>
          <w:color w:val="auto"/>
        </w:rPr>
      </w:pPr>
    </w:p>
    <w:p>
      <w:pPr>
        <w:ind w:firstLine="623"/>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0" w:lineRule="exact"/>
        <w:rPr>
          <w:sz w:val="24"/>
          <w:szCs w:val="24"/>
          <w:color w:val="auto"/>
        </w:rPr>
      </w:pPr>
    </w:p>
    <w:p>
      <w:pPr>
        <w:ind w:firstLine="623"/>
        <w:spacing w:after="0" w:line="278"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54" w:lineRule="exact"/>
        <w:rPr>
          <w:sz w:val="24"/>
          <w:szCs w:val="24"/>
          <w:color w:val="auto"/>
        </w:rPr>
      </w:pPr>
    </w:p>
    <w:p>
      <w:pPr>
        <w:ind w:firstLine="623"/>
        <w:spacing w:after="0" w:line="261"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80" w:lineRule="exact"/>
        <w:rPr>
          <w:sz w:val="24"/>
          <w:szCs w:val="24"/>
          <w:color w:val="auto"/>
        </w:rPr>
      </w:pPr>
    </w:p>
    <w:p>
      <w:pPr>
        <w:ind w:left="620"/>
        <w:spacing w:after="0"/>
        <w:tabs>
          <w:tab w:leader="none" w:pos="7880" w:val="left"/>
          <w:tab w:leader="none" w:pos="8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02"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6"/>
          <w:szCs w:val="16"/>
          <w:color w:val="auto"/>
        </w:rPr>
        <w:t>At June 30, 2023 the aggregate market value of common stock held by non-affiliates was approximately $360,169,848, based on a closing price of $0.90.</w:t>
      </w:r>
    </w:p>
    <w:p>
      <w:pPr>
        <w:spacing w:after="0" w:line="102" w:lineRule="exact"/>
        <w:rPr>
          <w:sz w:val="24"/>
          <w:szCs w:val="24"/>
          <w:color w:val="auto"/>
        </w:rPr>
      </w:pPr>
    </w:p>
    <w:p>
      <w:pPr>
        <w:ind w:firstLine="623"/>
        <w:spacing w:after="0" w:line="278" w:lineRule="auto"/>
        <w:rPr>
          <w:sz w:val="20"/>
          <w:szCs w:val="20"/>
          <w:color w:val="auto"/>
        </w:rPr>
      </w:pPr>
      <w:r>
        <w:rPr>
          <w:rFonts w:ascii="Times New Roman" w:cs="Times New Roman" w:eastAsia="Times New Roman" w:hAnsi="Times New Roman"/>
          <w:sz w:val="16"/>
          <w:szCs w:val="16"/>
          <w:color w:val="auto"/>
        </w:rPr>
        <w:t>At March 5, 2024, the registrant had 405,643,096 shares of Class A Common Stock, $0.0001 par value per share, and 89,649,365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37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100965</wp:posOffset>
            </wp:positionV>
            <wp:extent cx="7137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131" w:right="339" w:bottom="20" w:gutter="0" w:footer="0" w:header="0"/>
        </w:sect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ectPr>
          <w:pgSz w:w="11900" w:h="16838" w:orient="portrait"/>
          <w:cols w:equalWidth="0" w:num="1">
            <w:col w:w="11240"/>
          </w:cols>
          <w:pgMar w:left="320" w:top="1131" w:right="339" w:bottom="20" w:gutter="0" w:footer="0" w:header="0"/>
          <w:type w:val="continuous"/>
        </w:sectPr>
      </w:pPr>
    </w:p>
    <w:bookmarkStart w:id="1" w:name="page2"/>
    <w:bookmarkEnd w:id="1"/>
    <w:p>
      <w:pPr>
        <w:spacing w:after="0" w:line="292"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use in connection with its 2024 annual meeting of stockholders will be filed with the U.S. Securities and Exchange Commission within 120 days after the close of registrant's fiscal year and are incorporated by reference into Part III hereof.</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80" w:type="dxa"/>
            <w:vAlign w:val="bottom"/>
            <w:gridSpan w:val="16"/>
          </w:tcPr>
          <w:p>
            <w:pPr>
              <w:ind w:left="7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0"/>
          </w:tcPr>
          <w:p>
            <w:pPr>
              <w:jc w:val="center"/>
              <w:ind w:right="4360"/>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Item 1.</w:t>
            </w:r>
          </w:p>
        </w:tc>
        <w:tc>
          <w:tcPr>
            <w:tcW w:w="160" w:type="dxa"/>
            <w:vAlign w:val="bottom"/>
            <w:vMerge w:val="restart"/>
          </w:tcPr>
          <w:p>
            <w:pPr>
              <w:spacing w:after="0" w:line="20" w:lineRule="exact"/>
              <w:rPr>
                <w:sz w:val="1"/>
                <w:szCs w:val="1"/>
                <w:color w:val="auto"/>
              </w:rPr>
            </w:pPr>
          </w:p>
        </w:tc>
        <w:tc>
          <w:tcPr>
            <w:tcW w:w="4640" w:type="dxa"/>
            <w:vAlign w:val="bottom"/>
            <w:gridSpan w:val="18"/>
            <w:vMerge w:val="restart"/>
          </w:tcPr>
          <w:p>
            <w:pPr>
              <w:ind w:left="300"/>
              <w:spacing w:after="0"/>
              <w:rPr>
                <w:sz w:val="20"/>
                <w:szCs w:val="20"/>
                <w:color w:val="auto"/>
              </w:rPr>
            </w:pPr>
            <w:r>
              <w:rPr>
                <w:rFonts w:ascii="Times New Roman" w:cs="Times New Roman" w:eastAsia="Times New Roman" w:hAnsi="Times New Roman"/>
                <w:sz w:val="17"/>
                <w:szCs w:val="17"/>
                <w:color w:val="0000FF"/>
              </w:rPr>
              <w:t>Business</w:t>
            </w:r>
          </w:p>
        </w:tc>
        <w:tc>
          <w:tcPr>
            <w:tcW w:w="560" w:type="dxa"/>
            <w:vAlign w:val="bottom"/>
            <w:tcBorders>
              <w:top w:val="single" w:sz="8" w:color="0000FF"/>
              <w:bottom w:val="single" w:sz="8" w:color="0000FF"/>
            </w:tcBorders>
            <w:gridSpan w:val="2"/>
            <w:vMerge w:val="restart"/>
          </w:tcPr>
          <w:p>
            <w:pPr>
              <w:spacing w:after="0" w:line="20" w:lineRule="exact"/>
              <w:rPr>
                <w:sz w:val="1"/>
                <w:szCs w:val="1"/>
                <w:color w:val="auto"/>
              </w:rPr>
            </w:pPr>
          </w:p>
        </w:tc>
        <w:tc>
          <w:tcPr>
            <w:tcW w:w="4380" w:type="dxa"/>
            <w:vAlign w:val="bottom"/>
            <w:gridSpan w:val="8"/>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0" w:type="dxa"/>
            <w:vAlign w:val="bottom"/>
            <w:tcBorders>
              <w:bottom w:val="single" w:sz="8" w:color="0000FF"/>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640" w:type="dxa"/>
            <w:vAlign w:val="bottom"/>
            <w:gridSpan w:val="18"/>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380" w:type="dxa"/>
            <w:vAlign w:val="bottom"/>
            <w:gridSpan w:val="8"/>
            <w:vMerge w:val="continue"/>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0000FF"/>
            </w:tcBorders>
          </w:tcPr>
          <w:p>
            <w:pPr>
              <w:jc w:val="center"/>
              <w:spacing w:after="0" w:line="162" w:lineRule="exact"/>
              <w:rPr>
                <w:sz w:val="20"/>
                <w:szCs w:val="20"/>
                <w:color w:val="auto"/>
              </w:rPr>
            </w:pPr>
            <w:r>
              <w:rPr>
                <w:rFonts w:ascii="Times New Roman" w:cs="Times New Roman" w:eastAsia="Times New Roman" w:hAnsi="Times New Roman"/>
                <w:sz w:val="17"/>
                <w:szCs w:val="17"/>
                <w:color w:val="0000FF"/>
              </w:rPr>
              <w:t>7</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1A.</w:t>
            </w:r>
          </w:p>
        </w:tc>
        <w:tc>
          <w:tcPr>
            <w:tcW w:w="160" w:type="dxa"/>
            <w:vAlign w:val="bottom"/>
          </w:tcPr>
          <w:p>
            <w:pPr>
              <w:spacing w:after="0"/>
              <w:rPr>
                <w:sz w:val="20"/>
                <w:szCs w:val="20"/>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Risk Factors</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20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0"/>
              </w:rPr>
              <w:t>Item 1B.</w:t>
            </w:r>
          </w:p>
        </w:tc>
        <w:tc>
          <w:tcPr>
            <w:tcW w:w="160" w:type="dxa"/>
            <w:vAlign w:val="bottom"/>
          </w:tcPr>
          <w:p>
            <w:pPr>
              <w:spacing w:after="0"/>
              <w:rPr>
                <w:sz w:val="20"/>
                <w:szCs w:val="20"/>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55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1C.</w:t>
            </w: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Cybersecurity</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55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Properties</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56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3.</w:t>
            </w:r>
          </w:p>
        </w:tc>
        <w:tc>
          <w:tcPr>
            <w:tcW w:w="300" w:type="dxa"/>
            <w:vAlign w:val="bottom"/>
            <w:gridSpan w:val="2"/>
          </w:tcPr>
          <w:p>
            <w:pPr>
              <w:spacing w:after="0"/>
              <w:rPr>
                <w:sz w:val="20"/>
                <w:szCs w:val="20"/>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Legal Proceedings</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56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4.</w:t>
            </w:r>
          </w:p>
        </w:tc>
        <w:tc>
          <w:tcPr>
            <w:tcW w:w="300" w:type="dxa"/>
            <w:vAlign w:val="bottom"/>
            <w:gridSpan w:val="2"/>
          </w:tcPr>
          <w:p>
            <w:pPr>
              <w:spacing w:after="0"/>
              <w:rPr>
                <w:sz w:val="20"/>
                <w:szCs w:val="20"/>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57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4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11"/>
          </w:tcPr>
          <w:p>
            <w:pPr>
              <w:jc w:val="center"/>
              <w:ind w:right="4340"/>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400" w:type="dxa"/>
            <w:vAlign w:val="bottom"/>
          </w:tcPr>
          <w:p>
            <w:pPr>
              <w:spacing w:after="0"/>
              <w:rPr>
                <w:sz w:val="24"/>
                <w:szCs w:val="24"/>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57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5.</w:t>
            </w:r>
          </w:p>
        </w:tc>
        <w:tc>
          <w:tcPr>
            <w:tcW w:w="300" w:type="dxa"/>
            <w:vAlign w:val="bottom"/>
            <w:gridSpan w:val="2"/>
          </w:tcPr>
          <w:p>
            <w:pPr>
              <w:spacing w:after="0"/>
              <w:rPr>
                <w:sz w:val="24"/>
                <w:szCs w:val="24"/>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58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6.</w:t>
            </w:r>
          </w:p>
        </w:tc>
        <w:tc>
          <w:tcPr>
            <w:tcW w:w="300" w:type="dxa"/>
            <w:vAlign w:val="bottom"/>
            <w:gridSpan w:val="2"/>
          </w:tcPr>
          <w:p>
            <w:pPr>
              <w:spacing w:after="0"/>
              <w:rPr>
                <w:sz w:val="17"/>
                <w:szCs w:val="17"/>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Reserved</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58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90"/>
              </w:rPr>
              <w:t>Item 7</w:t>
            </w:r>
          </w:p>
        </w:tc>
        <w:tc>
          <w:tcPr>
            <w:tcW w:w="300" w:type="dxa"/>
            <w:vAlign w:val="bottom"/>
            <w:gridSpan w:val="2"/>
          </w:tcPr>
          <w:p>
            <w:pPr>
              <w:spacing w:after="0"/>
              <w:rPr>
                <w:sz w:val="17"/>
                <w:szCs w:val="17"/>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59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7A.</w:t>
            </w:r>
          </w:p>
        </w:tc>
        <w:tc>
          <w:tcPr>
            <w:tcW w:w="160" w:type="dxa"/>
            <w:vAlign w:val="bottom"/>
          </w:tcPr>
          <w:p>
            <w:pPr>
              <w:spacing w:after="0"/>
              <w:rPr>
                <w:sz w:val="17"/>
                <w:szCs w:val="17"/>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74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40" w:type="dxa"/>
            <w:vAlign w:val="bottom"/>
            <w:gridSpan w:val="2"/>
          </w:tcPr>
          <w:p>
            <w:pPr>
              <w:jc w:val="center"/>
              <w:ind w:left="273"/>
              <w:spacing w:after="0"/>
              <w:rPr>
                <w:sz w:val="20"/>
                <w:szCs w:val="20"/>
                <w:color w:val="auto"/>
              </w:rPr>
            </w:pPr>
            <w:r>
              <w:rPr>
                <w:rFonts w:ascii="Times New Roman" w:cs="Times New Roman" w:eastAsia="Times New Roman" w:hAnsi="Times New Roman"/>
                <w:sz w:val="17"/>
                <w:szCs w:val="17"/>
                <w:color w:val="0000FF"/>
              </w:rPr>
              <w:t>75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40" w:type="dxa"/>
            <w:vAlign w:val="bottom"/>
          </w:tcPr>
          <w:p>
            <w:pPr>
              <w:spacing w:after="0"/>
              <w:rPr>
                <w:sz w:val="20"/>
                <w:szCs w:val="20"/>
                <w:color w:val="auto"/>
              </w:rPr>
            </w:pPr>
            <w:r>
              <w:rPr>
                <w:rFonts w:ascii="Times New Roman" w:cs="Times New Roman" w:eastAsia="Times New Roman" w:hAnsi="Times New Roman"/>
                <w:sz w:val="17"/>
                <w:szCs w:val="17"/>
                <w:color w:val="0000FF"/>
                <w:w w:val="82"/>
              </w:rPr>
              <w:t>Item 9.</w:t>
            </w:r>
          </w:p>
        </w:tc>
        <w:tc>
          <w:tcPr>
            <w:tcW w:w="300" w:type="dxa"/>
            <w:vAlign w:val="bottom"/>
            <w:gridSpan w:val="2"/>
          </w:tcPr>
          <w:p>
            <w:pPr>
              <w:spacing w:after="0"/>
              <w:rPr>
                <w:sz w:val="19"/>
                <w:szCs w:val="19"/>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Item 9A.</w:t>
            </w:r>
          </w:p>
        </w:tc>
        <w:tc>
          <w:tcPr>
            <w:tcW w:w="160" w:type="dxa"/>
            <w:vAlign w:val="bottom"/>
          </w:tcPr>
          <w:p>
            <w:pPr>
              <w:spacing w:after="0"/>
              <w:rPr>
                <w:sz w:val="17"/>
                <w:szCs w:val="17"/>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Controls and Procedures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0"/>
              </w:rPr>
              <w:t>Item 9B.</w:t>
            </w:r>
          </w:p>
        </w:tc>
        <w:tc>
          <w:tcPr>
            <w:tcW w:w="160" w:type="dxa"/>
            <w:vAlign w:val="bottom"/>
          </w:tcPr>
          <w:p>
            <w:pPr>
              <w:spacing w:after="0"/>
              <w:rPr>
                <w:sz w:val="17"/>
                <w:szCs w:val="17"/>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Other Information</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9C.</w:t>
            </w: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131</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7"/>
                <w:szCs w:val="17"/>
                <w:b w:val="1"/>
                <w:bCs w:val="1"/>
                <w:color w:val="0000FF"/>
                <w:w w:val="99"/>
              </w:rPr>
              <w:t>PART III</w:t>
            </w:r>
          </w:p>
        </w:tc>
        <w:tc>
          <w:tcPr>
            <w:tcW w:w="428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131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10.</w:t>
            </w:r>
          </w:p>
        </w:tc>
        <w:tc>
          <w:tcPr>
            <w:tcW w:w="160" w:type="dxa"/>
            <w:vAlign w:val="bottom"/>
          </w:tcPr>
          <w:p>
            <w:pPr>
              <w:spacing w:after="0"/>
              <w:rPr>
                <w:sz w:val="24"/>
                <w:szCs w:val="24"/>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11.</w:t>
            </w:r>
          </w:p>
        </w:tc>
        <w:tc>
          <w:tcPr>
            <w:tcW w:w="160" w:type="dxa"/>
            <w:vAlign w:val="bottom"/>
          </w:tcPr>
          <w:p>
            <w:pPr>
              <w:spacing w:after="0"/>
              <w:rPr>
                <w:sz w:val="19"/>
                <w:szCs w:val="19"/>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Executive Compensation</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132</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12.</w:t>
            </w:r>
          </w:p>
        </w:tc>
        <w:tc>
          <w:tcPr>
            <w:tcW w:w="160" w:type="dxa"/>
            <w:vAlign w:val="bottom"/>
          </w:tcPr>
          <w:p>
            <w:pPr>
              <w:spacing w:after="0"/>
              <w:rPr>
                <w:sz w:val="17"/>
                <w:szCs w:val="17"/>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132</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13.</w:t>
            </w:r>
          </w:p>
        </w:tc>
        <w:tc>
          <w:tcPr>
            <w:tcW w:w="160" w:type="dxa"/>
            <w:vAlign w:val="bottom"/>
          </w:tcPr>
          <w:p>
            <w:pPr>
              <w:spacing w:after="0"/>
              <w:rPr>
                <w:sz w:val="17"/>
                <w:szCs w:val="17"/>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132</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8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14.</w:t>
            </w:r>
          </w:p>
        </w:tc>
        <w:tc>
          <w:tcPr>
            <w:tcW w:w="160" w:type="dxa"/>
            <w:vAlign w:val="bottom"/>
          </w:tcPr>
          <w:p>
            <w:pPr>
              <w:spacing w:after="0"/>
              <w:rPr>
                <w:sz w:val="17"/>
                <w:szCs w:val="17"/>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132</w:t>
            </w:r>
          </w:p>
        </w:tc>
        <w:tc>
          <w:tcPr>
            <w:tcW w:w="0" w:type="dxa"/>
            <w:vAlign w:val="bottom"/>
          </w:tcPr>
          <w:p>
            <w:pPr>
              <w:spacing w:after="0"/>
              <w:rPr>
                <w:sz w:val="1"/>
                <w:szCs w:val="1"/>
                <w:color w:val="auto"/>
              </w:rPr>
            </w:pPr>
          </w:p>
        </w:tc>
      </w:tr>
      <w:tr>
        <w:trPr>
          <w:trHeight w:val="408"/>
        </w:trPr>
        <w:tc>
          <w:tcPr>
            <w:tcW w:w="4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0000FF"/>
                <w:w w:val="97"/>
              </w:rPr>
              <w:t>PART IV</w:t>
            </w:r>
          </w:p>
        </w:tc>
        <w:tc>
          <w:tcPr>
            <w:tcW w:w="430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133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15.</w:t>
            </w:r>
          </w:p>
        </w:tc>
        <w:tc>
          <w:tcPr>
            <w:tcW w:w="160" w:type="dxa"/>
            <w:vAlign w:val="bottom"/>
          </w:tcPr>
          <w:p>
            <w:pPr>
              <w:spacing w:after="0"/>
              <w:rPr>
                <w:sz w:val="18"/>
                <w:szCs w:val="18"/>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240" w:type="dxa"/>
            <w:vAlign w:val="bottom"/>
            <w:gridSpan w:val="1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16.</w:t>
            </w:r>
          </w:p>
        </w:tc>
        <w:tc>
          <w:tcPr>
            <w:tcW w:w="160" w:type="dxa"/>
            <w:vAlign w:val="bottom"/>
          </w:tcPr>
          <w:p>
            <w:pPr>
              <w:spacing w:after="0"/>
              <w:rPr>
                <w:sz w:val="19"/>
                <w:szCs w:val="19"/>
                <w:color w:val="auto"/>
              </w:rPr>
            </w:pPr>
          </w:p>
        </w:tc>
        <w:tc>
          <w:tcPr>
            <w:tcW w:w="9580" w:type="dxa"/>
            <w:vAlign w:val="bottom"/>
            <w:gridSpan w:val="28"/>
          </w:tcPr>
          <w:p>
            <w:pPr>
              <w:ind w:left="300"/>
              <w:spacing w:after="0"/>
              <w:rPr>
                <w:sz w:val="20"/>
                <w:szCs w:val="20"/>
                <w:color w:val="auto"/>
              </w:rPr>
            </w:pPr>
            <w:r>
              <w:rPr>
                <w:rFonts w:ascii="Times New Roman" w:cs="Times New Roman" w:eastAsia="Times New Roman" w:hAnsi="Times New Roman"/>
                <w:sz w:val="17"/>
                <w:szCs w:val="17"/>
                <w:color w:val="0000FF"/>
              </w:rPr>
              <w:t>Form 10-K Summary</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134</w:t>
            </w:r>
          </w:p>
        </w:tc>
        <w:tc>
          <w:tcPr>
            <w:tcW w:w="0" w:type="dxa"/>
            <w:vAlign w:val="bottom"/>
          </w:tcPr>
          <w:p>
            <w:pPr>
              <w:spacing w:after="0"/>
              <w:rPr>
                <w:sz w:val="1"/>
                <w:szCs w:val="1"/>
                <w:color w:val="auto"/>
              </w:rPr>
            </w:pPr>
          </w:p>
        </w:tc>
      </w:tr>
      <w:tr>
        <w:trPr>
          <w:trHeight w:val="20"/>
        </w:trPr>
        <w:tc>
          <w:tcPr>
            <w:tcW w:w="4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134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72390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950" w:right="339" w:bottom="1440" w:gutter="0" w:footer="0" w:header="0"/>
        </w:sectPr>
      </w:pPr>
    </w:p>
    <w:bookmarkStart w:id="3" w:name="page4"/>
    <w:bookmarkEnd w:id="3"/>
    <w:p>
      <w:pPr>
        <w:jc w:val="center"/>
        <w:ind w:left="340" w:right="20"/>
        <w:spacing w:after="0" w:line="279" w:lineRule="auto"/>
        <w:rPr>
          <w:sz w:val="20"/>
          <w:szCs w:val="20"/>
          <w:color w:val="auto"/>
        </w:rPr>
      </w:pPr>
      <w:r>
        <w:rPr>
          <w:rFonts w:ascii="Times New Roman" w:cs="Times New Roman" w:eastAsia="Times New Roman" w:hAnsi="Times New Roman"/>
          <w:sz w:val="17"/>
          <w:szCs w:val="17"/>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3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 Item 1A, “Risk Factors”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 Forward-looking statements contained in this Annual Report on Form 10-K involve a number of judgments, risks and uncertainties, including, without limitation, risks related to:</w:t>
      </w:r>
    </w:p>
    <w:p>
      <w:pPr>
        <w:spacing w:after="0" w:line="209" w:lineRule="exact"/>
        <w:rPr>
          <w:sz w:val="20"/>
          <w:szCs w:val="20"/>
          <w:color w:val="auto"/>
        </w:rPr>
      </w:pP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results of operations, financial condition, and cash flows;</w:t>
      </w:r>
    </w:p>
    <w:p>
      <w:pPr>
        <w:spacing w:after="0" w:line="19" w:lineRule="exact"/>
        <w:rPr>
          <w:rFonts w:ascii="Times New Roman" w:cs="Times New Roman" w:eastAsia="Times New Roman" w:hAnsi="Times New Roman"/>
          <w:sz w:val="17"/>
          <w:szCs w:val="17"/>
          <w:color w:val="auto"/>
        </w:rPr>
      </w:pPr>
    </w:p>
    <w:p>
      <w:pPr>
        <w:ind w:left="620" w:hanging="305"/>
        <w:spacing w:after="0" w:line="223" w:lineRule="auto"/>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development and management of our Insurance and Non-Insurance businesses;</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enter new service markets and manage our operations;</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trends and challenges in our business and in the markets in which we operate;</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beneficiary base and provider network;</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increase adoption and use of Clover Assistant;</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benefits associated with the use of Clover Assistant, including our ability to utilize the platform to manage our medical care ratios;</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exiting the ACO Reach Program;</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improve our Star Ratings or otherwise continue to improve the financial performance of our business;</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new features and functionality that meet market needs and achieve market acceptance;</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hire necessary employees and staff our operations appropriately;</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certain investments in growth;</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any known and unknown litigation and regulatory proceedings;</w:t>
      </w:r>
    </w:p>
    <w:p>
      <w:pPr>
        <w:ind w:left="620" w:hanging="305"/>
        <w:spacing w:after="0" w:line="231" w:lineRule="auto"/>
        <w:tabs>
          <w:tab w:leader="none" w:pos="61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current, pending, or future legislation, regulations or policies that could have a negative effect on our revenue and businesses, including rules, regulations, and policies relating to healthcare and Medicare;</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price of our Class A common stock and our continued compliance with Nasdaq's listing requirements;</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uncertainty;</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persistent high inflation and interest rates; and</w:t>
      </w:r>
    </w:p>
    <w:p>
      <w:pPr>
        <w:ind w:left="620" w:hanging="305"/>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uncertainty and instability.</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Annual Report on Form 10-K or to conform these statements to actual results or revised expectations.</w:t>
      </w: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Annual Report on Form 10-K contains estimates, projections, and other information concerning our industry, our business, and the markets for our products. We obtained the industry, market, and similar data set forth in this Annual Report on Form 10-K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7"/>
          <w:szCs w:val="17"/>
          <w:color w:val="auto"/>
        </w:rPr>
        <w:t>As a result of a number of known and unknown risks and uncertainties, including without limitation, the important factors described in our reports filed with the SEC, including the discussion under "Risk Factors" in this Annual Report on Form 10-K, our actual results or performance may be materially different from those expressed or implied by these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Channels for Disclosure of Information</w:t>
      </w:r>
    </w:p>
    <w:p>
      <w:pPr>
        <w:spacing w:after="0" w:line="2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(formerly known as Twitter),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Factor Summary</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risks highlighted in the section titled "Risk Factors," that represent challenges that we face in connection with our business. The occurrence of one or more of the events or circumstances described in the section titled "Risk Factors," alone or in combination with other events or circumstances, may have an adverse effect on our business, financial condition, results of operations, and prospects. These risks include, among others, the following, which we consider to be our most material risks:</w:t>
      </w:r>
    </w:p>
    <w:p>
      <w:pPr>
        <w:spacing w:after="0" w:line="65" w:lineRule="exact"/>
        <w:rPr>
          <w:sz w:val="20"/>
          <w:szCs w:val="20"/>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in the past, and we may not be able to achieve or maintain profitability.</w:t>
      </w:r>
    </w:p>
    <w:p>
      <w:pPr>
        <w:spacing w:after="0" w:line="116"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relatively limited experience with Clover Assistant, and initial results may not be indicative of future performance.</w:t>
      </w:r>
    </w:p>
    <w:p>
      <w:pPr>
        <w:spacing w:after="0" w:line="116"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incur costs in connection with our exit from the ACO REACH Program and may not achieve the expected benefits from our exit.</w:t>
      </w:r>
    </w:p>
    <w:p>
      <w:pPr>
        <w:spacing w:after="0" w:line="116" w:lineRule="exact"/>
        <w:rPr>
          <w:rFonts w:ascii="Times New Roman" w:cs="Times New Roman" w:eastAsia="Times New Roman" w:hAnsi="Times New Roman"/>
          <w:sz w:val="17"/>
          <w:szCs w:val="17"/>
          <w:color w:val="auto"/>
        </w:rPr>
      </w:pPr>
    </w:p>
    <w:p>
      <w:pPr>
        <w:jc w:val="both"/>
        <w:ind w:left="620" w:hanging="305"/>
        <w:spacing w:after="0" w:line="273" w:lineRule="auto"/>
        <w:tabs>
          <w:tab w:leader="none" w:pos="616" w:val="left"/>
        </w:tabs>
        <w:numPr>
          <w:ilvl w:val="0"/>
          <w:numId w:val="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Our future performance depends in part on increasing the lifetime value of enrollments, which are realized over several years, and utilizing our clinical care capabilities to improve the quality of care for our beneficiaries. And any failure to do so could negatively affect our financial condition and results of operations, including our ability to achieve or increase profitability.</w:t>
      </w:r>
    </w:p>
    <w:p>
      <w:pPr>
        <w:spacing w:after="0" w:line="59" w:lineRule="exact"/>
        <w:rPr>
          <w:rFonts w:ascii="Times New Roman" w:cs="Times New Roman" w:eastAsia="Times New Roman" w:hAnsi="Times New Roman"/>
          <w:sz w:val="17"/>
          <w:szCs w:val="17"/>
          <w:b w:val="1"/>
          <w:bCs w:val="1"/>
          <w:i w:val="1"/>
          <w:iCs w:val="1"/>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adoption and use of Clover Assistant is lower than we expect, our growth may slow or stall. We may experience a decline in our Lives under Clover Management, and our results of operations could be adversely affected.</w:t>
      </w:r>
    </w:p>
    <w:p>
      <w:pPr>
        <w:spacing w:after="0" w:line="43" w:lineRule="exact"/>
        <w:rPr>
          <w:rFonts w:ascii="Times New Roman" w:cs="Times New Roman" w:eastAsia="Times New Roman" w:hAnsi="Times New Roman"/>
          <w:sz w:val="17"/>
          <w:szCs w:val="17"/>
          <w:color w:val="auto"/>
        </w:rPr>
      </w:pPr>
    </w:p>
    <w:p>
      <w:pPr>
        <w:ind w:left="620" w:right="30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estimate, price for and manage medical expenses in an effective manner, the profitability of our Insurance and Non-Insurance businesses could decline, which could materially and adversely affect our results of operations, financial condition, and cash flows.</w:t>
      </w:r>
    </w:p>
    <w:p>
      <w:pPr>
        <w:spacing w:after="0" w:line="43"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Centers for Medicare &amp; Medicaid Services' risk adjustment payment system makes our revenue and profitability difficult to predict and could result in material retroactive adjustments to our results of operations.</w:t>
      </w:r>
    </w:p>
    <w:p>
      <w:pPr>
        <w:spacing w:after="0" w:line="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require additional capital to support business growth, and this capital might not be available on acceptable terms, or at all.</w:t>
      </w:r>
    </w:p>
    <w:p>
      <w:pPr>
        <w:spacing w:after="0" w:line="116"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succeed in expanding the number of members under our Medicare Advantage plans, our business, financial condition, and results of operations could be harmed.</w:t>
      </w:r>
    </w:p>
    <w:p>
      <w:pPr>
        <w:spacing w:after="0" w:line="43"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members and Non-Insurance Beneficiaries remain concentrated in certain geographic areas and populations, which exposes us to unfavorable changes in local benefit costs, reimbursement rates, competition, and economic conditions.</w:t>
      </w:r>
    </w:p>
    <w:p>
      <w:pPr>
        <w:spacing w:after="0" w:line="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new markets, particularly rural markets, may not be as profitable to serve as our existing markets.</w:t>
      </w:r>
    </w:p>
    <w:p>
      <w:pPr>
        <w:spacing w:after="0" w:line="116"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may be adversely affected if we are unable to grow our provider networks or contract with providers, medical facilities, and other entities on competitive terms.</w:t>
      </w:r>
    </w:p>
    <w:p>
      <w:pPr>
        <w:spacing w:after="0" w:line="43"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effectively manage our growth, which could have a material adverse effect on our business, financial condition, and results of operations.</w:t>
      </w:r>
    </w:p>
    <w:p>
      <w:pPr>
        <w:spacing w:after="0" w:line="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international operations pose certain risks to our business that may be different from risks associated with our domestic operations.</w:t>
      </w:r>
    </w:p>
    <w:p>
      <w:pPr>
        <w:spacing w:after="0" w:line="116"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currently, and may in the future be, subject to investigations and litigation, which could be costly and time-consuming to defend. The outcomes of these matters cannot be predicted.</w:t>
      </w:r>
    </w:p>
    <w:p>
      <w:pPr>
        <w:spacing w:after="0" w:line="43" w:lineRule="exact"/>
        <w:rPr>
          <w:rFonts w:ascii="Times New Roman" w:cs="Times New Roman" w:eastAsia="Times New Roman" w:hAnsi="Times New Roman"/>
          <w:sz w:val="17"/>
          <w:szCs w:val="17"/>
          <w:color w:val="auto"/>
        </w:rPr>
      </w:pPr>
    </w:p>
    <w:p>
      <w:pPr>
        <w:jc w:val="both"/>
        <w:ind w:left="620" w:hanging="305"/>
        <w:spacing w:after="0" w:line="26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derive substantially all of our Total revenues from Medicare Advantage premiums and Non-insurance revenue and expect to continue to derive a substantial portion of our Total revenues in the future from these lines of business. Changes or developments in Medicare or the health insurance system and laws and regulations governing the health insurance markets in the United States could materially adversely affect our business, results of operations, financial condition, and prospects.</w:t>
      </w:r>
    </w:p>
    <w:p>
      <w:pPr>
        <w:spacing w:after="0" w:line="64"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could impair our ability to protect our internally-developed technology and our brand, and our business may be adversely affected.</w:t>
      </w:r>
    </w:p>
    <w:p>
      <w:pPr>
        <w:spacing w:after="0" w:line="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obtain or maintain the right to use certain of our intellectual property could negatively affect our business.</w:t>
      </w:r>
    </w:p>
    <w:p>
      <w:pPr>
        <w:spacing w:after="0" w:line="116" w:lineRule="exact"/>
        <w:rPr>
          <w:rFonts w:ascii="Times New Roman" w:cs="Times New Roman" w:eastAsia="Times New Roman" w:hAnsi="Times New Roman"/>
          <w:sz w:val="17"/>
          <w:szCs w:val="17"/>
          <w:color w:val="auto"/>
        </w:rPr>
      </w:pPr>
    </w:p>
    <w:p>
      <w:pPr>
        <w:jc w:val="both"/>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prices and trading volume of our shares of Class A common stock have experienced periods of extreme volatility and steep declines. Volatility could return and price declines could continue going forward in ways that may be unrelated, or disproportionate, to our operating performance.</w:t>
      </w:r>
    </w:p>
    <w:p>
      <w:pPr>
        <w:spacing w:after="0" w:line="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Class A common stock price declines from current levels, our Class A common stock may be subject to delisting from NASDAQ.</w:t>
      </w:r>
    </w:p>
    <w:p>
      <w:pPr>
        <w:spacing w:after="0" w:line="116" w:lineRule="exact"/>
        <w:rPr>
          <w:rFonts w:ascii="Times New Roman" w:cs="Times New Roman" w:eastAsia="Times New Roman" w:hAnsi="Times New Roman"/>
          <w:sz w:val="17"/>
          <w:szCs w:val="17"/>
          <w:color w:val="auto"/>
        </w:rPr>
      </w:pPr>
    </w:p>
    <w:p>
      <w:pPr>
        <w:ind w:left="620" w:hanging="305"/>
        <w:spacing w:after="0" w:line="292"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substantial amounts of our securities in the public markets, or the perception that they might occur, could cause the market price of our Class A common stock to decline.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6" w:name="page7"/>
    <w:bookmarkEnd w:id="6"/>
    <w:p>
      <w:pPr>
        <w:jc w:val="both"/>
        <w:ind w:left="305" w:hanging="305"/>
        <w:spacing w:after="0" w:line="266"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has the effect of concentrating voting power with certain stockholders, including our directors and executive officers and their respective affiliates, who held in the aggregate 70.7% of the voting power of our capital stock at December 31, 2023.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275" w:lineRule="exact"/>
        <w:rPr>
          <w:rFonts w:ascii="Times New Roman" w:cs="Times New Roman" w:eastAsia="Times New Roman" w:hAnsi="Times New Roman"/>
          <w:sz w:val="17"/>
          <w:szCs w:val="17"/>
          <w:color w:val="auto"/>
        </w:rPr>
      </w:pPr>
    </w:p>
    <w:p>
      <w:pPr>
        <w:ind w:left="305" w:hanging="305"/>
        <w:spacing w:after="0" w:line="292"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provisions in our corporate charter documents and under Delaware law may prevent or hinder attempts by our stockholders to change our management or to acquire a controlling interest in us. The trading price of our Class A common stock may be lower as a result.</w:t>
      </w:r>
    </w:p>
    <w:p>
      <w:pPr>
        <w:spacing w:after="0" w:line="355" w:lineRule="exact"/>
        <w:rPr>
          <w:sz w:val="20"/>
          <w:szCs w:val="20"/>
          <w:color w:val="auto"/>
        </w:rPr>
      </w:pPr>
    </w:p>
    <w:p>
      <w:pPr>
        <w:jc w:val="center"/>
        <w:ind w:right="295"/>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72390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25"/>
          </w:cols>
          <w:pgMar w:left="635" w:top="84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Clover Health, our vision is to empower Medicare physicians to identify and manage chronic diseases early. Our strategy is to improve the care of our Medicare beneficiaries,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 This software is used in both our Insurance segment and our Non-Insurance segment.</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Provider use of Clover Assistant enables data-driven decision-making for our beneficiaries and drives rapid software iteration: the more that providers use Clover Assistant, the more it learns and furthers the precision of personalized data-driven recommendations. We combine our beneficiary data with provider-generated data and use this powerful closed feedback loop to continuously fine-tune our clinical rules and machine learning models, as well as to select and prioritize future software capabilities. We believe the use and continuous improvement of Clover Assistant has resulted in not only improved clinical decision-making but also enhanced MA plan performance. The platform facilitates identifying and engaging with our most at-risk members for our clinical programs. These programs are designed to provide additional targeted care support and to further drive better plan performance.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Insurance segment, we leverage Clover Assistant to provide America's Medicare-eligible seniors with Preferred Provider Organization ("PPO") and Health Maintenance Organization ("HMO") plans. We aim to provide affordable, high-quality healthcare and we offer most of our members (referred to as "members") in our Medicare Advantage ("MA") plans among the lowest average out-of-pocket costs for primary care provider ("PCP") and specialist co-pays in their respective markets. We strongly believe in providing our members with provider choice and consider our PPO plan to be our flagship insurance product. An important feature of our MA product is its wide physician network. We often offer the same cost-sharing (co-pays and deductibles) for visits with primary care providers who are in-network and out-of-network. We manage care on our wide network by empowering providers with data-driven, personalized insights for their patients (our members) through the use of Clover Assistant. We believe this enables providers to make improved clinical decisions. We reach a broad array of consumers, including traditionally underserved markets. At January 1, 2024, we operated our MA plans in five states and 200 counties.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2021, we expanded into our Non-Insurance segment when we made Clover Assistant available in Medicare fee-for-service through the Centers for Medicare &amp; Medicaid Services ("CMS") Accountable Care Organization ("ACO") Realizing Equity, Access, and Community Health ("REACH") ("ACO REACH Model" or "ACO REACH") Model. On December 1, 2023, the Company notified CMS that it will no longer participate as a REACH ACO beginning with the 2024 performance year. The Company’s exit from the ACO REACH Program was made after the Company determined that it is in its best interest to fully exit the ACO REACH Program, and follows the Company's November 2022 announcement of a strategic reduction in the number of ACO REACH participating physicians in 2023.</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complement our contracted healthcare providers and their patients with our in-home primary care program, Clover Home Care. This program covers the most medically complex patients, often with advanced comorbidities. We believe Clover Assistant makes home care for high-risk individuals more scalable than fixed-site-based care. It permits technology deployment to enhance care and outcomes directly where patients live because our value proposition is centered around software. Clover Home Care seeks to preserve the PCP-to-patient relationship through collaboration, which aims to improve health outcomes and reduce medical expenses.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have made it a priority to work with Medicare beneficiaries in underserved markets. This includes MA members who self-report their race or ethnicity and identify as people of color, members diagnosed with at least two chronic diseases, and members living in communities that fall within the top five deciles of what the government defines as areas of socioeconomic deprivation. We are heavily invested in helping provide care for those who are most in need.</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Clover Health was incorporated on October 18, 2019, as a special purpose acquisition company and a Cayman Islands exempted company under the name Social Capital Hedosophia Holdings Corp. III ("SCH"). On April 24, 2020, SCH completed its initial public offering. On January 7, 2021, SCH consummated a business combination with Clover Health Investments, Corp. and changed its name to Clover Health Investments, Corp. Our principal executive offices are located at 3401 Mallory Lane, Suite 210, Franklin, Tennessee 37067. Our telephone number is (201) 432-2133. Our website address is www.cloverhealth.com. The information contained on or accessible through our website is not part of this Annual Report on Form 10-K and is not incorporated by reference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Our Opportunity</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believe we have an opportunity to fundamentally change healthcare by providing easy access to care from providers across the country. By leveraging our Clover Assistant platform, we believe we can raise the level of care provided by every provider and scale in ways that traditional managed care plans and risk-bearing provider groups cannot. We principally scale our model of care by deploying physician-enablement software to providers. We do this primarily by entering into contracts with our providers in which they agree to use Clover Assistant in connection with their primary care office visits in exchange for a flat fee. Our platform, which enables differentiated patient care, supports our expansion into virtually any market, including traditionally underserved markets that are generally not viable for others because those markets often lack providers willing or able to assume financial risk for the costs of patient care.</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Medicare is the focal point of our opportunity. Approximately 66 million people were enrolled in Medicare in 2023. That number is expected to rise, equating to over $1.5 trillion in total expenditures by 2030. Within Medicare, the MA market made up approximately $462 billion of annual spend in 2023 and is expected to grow to approximately $892 billion by 2030. Original Medicare is expected to grow from $427 billion to $627 billion over the same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Technology Platform: Clover Assistant</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Clover Assistant is a purpose-built technology platform that empowers providers to deliver data-driven, personalized care to help physicians detect, identify, and manage diseases earlier and better than they otherwise could. This physician-enablement platform is designed to synthesize comprehensive, longitudinal sets of data to generate provider-focused machine learning, artificial intelligence, and rules-based insights, and drive action by surfacing the most relevant, personalized information about each patient to his or her provider. Through this democratization of data access for providers, we seek to reduce the variability in clinical decision-making, drive improved adherence to evidence-based protocols, and help providers deliver better care.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the key features that differentiate our Clover Assistant technology platform from other platforms include the following: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Enables data-driven, personalized, and actionable insights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Clover Assistant aggregates and structures millions of data points per day, derived from a variety of data sets, such as claims data, medical charts, medication data, diagnostic data, and data generated from electronic health records ("EHR"), across dozens of typically siloed and inconsistently formatted data feeds. It connects this data with up-to-date, evidence-based protocols and patient-specific plan information to generate data-driven, personalized, and actionable insights available to providers for use in their treatment and management of patient care.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Engages providers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Since launching our platform in July 2018, we have driven provider adoption of the Clover Assistant platform through its user-centric design, highly actionable and real-time clinical content, enhanced Clover Assistant payments and simple onboarding. Our platform provides actionable clinical content through an intuitive interface that easily integrates into the providers' workflow.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Offers integration into provider workflows via EHRs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made significant investments into extending our proprietary technology platform, enabling Clover Assistant functionality to be embedded quickly and seamlessly into major EHR systems, including Epic, Cerner, Athena, and others. This further improves physician workflows and reduces duplicative actions by providers and administrators. We aim to make Clover Assistant available to physicians in ways that best suit them and their practices. To date, dozens of practices have opted to use Clover Assistant in this manner, with adoption continuing to grow.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Delivers differentiated plan performance</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Clover Assistant platform is designed to enable our mission-aligned business model to drive the empowerment of providers and improve care for beneficiaries while contributing to improved margins for our MA plans. As a result of our provider-focused, data-driven platform, providers who have been using Clover Assistant and are treating returning members, on average, have had lower medical care ratios ("MCRs") than providers who have not used Clover Assistant and are treating returning members.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Enables rapid software iteration via our closed feedback loop</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platform is highly dynamic and continues to improve as we capture more data. As an MA plan that builds our own internally-developed physician-enablement software, we believe we are differentiated in our ability to continuously build upon our broad sets of rich data, resulting in a rapid learn-iterate-deploy software improvement cycle. We capture real-time data via live provider use and feedback through Clover Assistant. This bi-directional data sharing creates a closed feedback loop, allowing us to continuously measure the results of our platform's recommendations in real-time and improve our platform.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Delivers differentiated clinical care capabilities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work hard to drive better care for our Lives under Clover Management. To accomplish this goal, we aim to establish with Clover Assistant a comprehensive understanding of each patient, their conditions and needs as well as how those factors change over time, so that we can provide support to their providers as they determine when appropriate interventions should be delivered. We monitor a range of data sources over time to create a comprehensive view of each patient's disease trajectory. Taking this holistic approach helps us to improve personalized chronic disease management and care coordination.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features of our clinical care capabilities provide significant value to providers and our beneficiaries: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Providers are provided with data-driven and actionable insights for each patient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given patient, a provider utilizing Clover Assistant may experience any of the following:</w:t>
      </w:r>
    </w:p>
    <w:p>
      <w:pPr>
        <w:spacing w:after="0" w:line="244" w:lineRule="exact"/>
        <w:rPr>
          <w:sz w:val="20"/>
          <w:szCs w:val="20"/>
          <w:color w:val="auto"/>
        </w:rPr>
      </w:pPr>
    </w:p>
    <w:p>
      <w:pPr>
        <w:jc w:val="both"/>
        <w:ind w:left="620" w:hanging="305"/>
        <w:spacing w:after="0" w:line="261"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Synthesized sets of collated, actionable data. </w:t>
      </w:r>
      <w:r>
        <w:rPr>
          <w:rFonts w:ascii="Times New Roman" w:cs="Times New Roman" w:eastAsia="Times New Roman" w:hAnsi="Times New Roman"/>
          <w:sz w:val="17"/>
          <w:szCs w:val="17"/>
          <w:color w:val="auto"/>
        </w:rPr>
        <w:t>Providers often do not have access to comprehensive information about their patients' interactions, such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recent hospital admission or specialist-prescribed medication, across the healthcare ecosystem. Clover Assistant is designed to eliminate this inefficiency by surfacing relevant and important data from sources across the healthcare ecosystem for providers to review in connection with their care of their patients.</w:t>
      </w:r>
    </w:p>
    <w:p>
      <w:pPr>
        <w:jc w:val="both"/>
        <w:ind w:left="620" w:hanging="305"/>
        <w:spacing w:after="0" w:line="254"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Quality gap closure. </w:t>
      </w:r>
      <w:r>
        <w:rPr>
          <w:rFonts w:ascii="Times New Roman" w:cs="Times New Roman" w:eastAsia="Times New Roman" w:hAnsi="Times New Roman"/>
          <w:sz w:val="17"/>
          <w:szCs w:val="17"/>
          <w:color w:val="auto"/>
        </w:rPr>
        <w:t>Clover Assistant identifies opportunities for improvement in clinical quality gaps, including those prioritized by CMS' Star Ratings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 (plan performance measures that drive bonus payments for plan providers), such as prescription drug adherence, regular cancer screenings and the annual flu shot. By addressing these quality gaps with evidence-based guidelines, we expect to reduce costs and improve care over the long term.</w:t>
      </w:r>
    </w:p>
    <w:p>
      <w:pPr>
        <w:spacing w:after="0" w:line="2" w:lineRule="exact"/>
        <w:rPr>
          <w:rFonts w:ascii="Times New Roman" w:cs="Times New Roman" w:eastAsia="Times New Roman" w:hAnsi="Times New Roman"/>
          <w:sz w:val="17"/>
          <w:szCs w:val="17"/>
          <w:color w:val="auto"/>
        </w:rPr>
      </w:pPr>
    </w:p>
    <w:p>
      <w:pPr>
        <w:ind w:left="620" w:hanging="305"/>
        <w:spacing w:after="0" w:line="269"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Disease burden identification. </w:t>
      </w:r>
      <w:r>
        <w:rPr>
          <w:rFonts w:ascii="Times New Roman" w:cs="Times New Roman" w:eastAsia="Times New Roman" w:hAnsi="Times New Roman"/>
          <w:sz w:val="17"/>
          <w:szCs w:val="17"/>
          <w:color w:val="auto"/>
        </w:rPr>
        <w:t>Clover Assistant reveals potential gaps in a provider's understanding of a patient's disease burden. By surfacing potential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conditions that may be asymptomatic or otherwise unaddressed, providers can proactively treat conditions and drive better care for their patients.</w:t>
      </w:r>
    </w:p>
    <w:p>
      <w:pPr>
        <w:spacing w:after="0" w:line="1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combination of these features enables providers to deliver a better patient experience for our beneficiaries, as providers are able to more effectively identify clinical opportunities to treat patients using data-driven, personalized insights.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Of critical importance, when providing actionable advice, Clover Assistant shares with the providers the specific reasons why a recommendation is being made so that the provider can exercise his or her own judgment in deciding whether to accept or reject a care recommendation. This may include evidence such as specific lab results, records from prior encounters, and links to other clinical resources.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closed feedback loop continuously improves our clinical recommendation engine and understanding of individual patient needs.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clinical programs run on Clover Assistant</w:t>
      </w:r>
    </w:p>
    <w:p>
      <w:pPr>
        <w:spacing w:after="0" w:line="25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In addition to supporting providers throughout our open network, we operate clinical programs, either through our own employed clinicians or through vendors, that are designed to provide improved supportive care for the most chronically-ill, frail, and costly patients. Below is a snapshot of several clinical programs we offer:</w:t>
      </w:r>
    </w:p>
    <w:p>
      <w:pPr>
        <w:spacing w:after="0" w:line="390" w:lineRule="exact"/>
        <w:rPr>
          <w:sz w:val="20"/>
          <w:szCs w:val="20"/>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Clover Home Care</w:t>
      </w:r>
      <w:r>
        <w:rPr>
          <w:rFonts w:ascii="Times New Roman" w:cs="Times New Roman" w:eastAsia="Times New Roman" w:hAnsi="Times New Roman"/>
          <w:sz w:val="17"/>
          <w:szCs w:val="17"/>
          <w:color w:val="auto"/>
        </w:rPr>
        <w:t>. Home-based care management for our most complex patients.</w:t>
      </w:r>
    </w:p>
    <w:p>
      <w:pPr>
        <w:spacing w:after="0" w:line="3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Supportive Care</w:t>
      </w:r>
      <w:r>
        <w:rPr>
          <w:rFonts w:ascii="Times New Roman" w:cs="Times New Roman" w:eastAsia="Times New Roman" w:hAnsi="Times New Roman"/>
          <w:sz w:val="17"/>
          <w:szCs w:val="17"/>
          <w:color w:val="auto"/>
        </w:rPr>
        <w:t>. Advanced care planning support and palliative care for patients with limited life expectancy.</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Readmission Prevention Program</w:t>
      </w:r>
      <w:r>
        <w:rPr>
          <w:rFonts w:ascii="Times New Roman" w:cs="Times New Roman" w:eastAsia="Times New Roman" w:hAnsi="Times New Roman"/>
          <w:sz w:val="17"/>
          <w:szCs w:val="17"/>
          <w:color w:val="auto"/>
        </w:rPr>
        <w:t>. Care transition support for patients recently discharged from a hospital or post-acute care.</w:t>
      </w:r>
    </w:p>
    <w:p>
      <w:pPr>
        <w:spacing w:after="0" w:line="12"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Behavioral Health Program</w:t>
      </w:r>
      <w:r>
        <w:rPr>
          <w:rFonts w:ascii="Times New Roman" w:cs="Times New Roman" w:eastAsia="Times New Roman" w:hAnsi="Times New Roman"/>
          <w:sz w:val="17"/>
          <w:szCs w:val="17"/>
          <w:color w:val="auto"/>
        </w:rPr>
        <w:t>. Comprehensive care coordination for patients with behavioral health and social services needs.</w:t>
      </w:r>
    </w:p>
    <w:p>
      <w:pPr>
        <w:spacing w:after="0" w:line="22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Clover Assistant supports coordination of our high risk-members' care through our clinical programs, from identification of members who would benefit from such programs, through engagement to clinical care.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Utilizing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 Underpinned by our software, our strategy centers on the following three steps:</w:t>
      </w:r>
    </w:p>
    <w:p>
      <w:pPr>
        <w:spacing w:after="0" w:line="188" w:lineRule="exact"/>
        <w:rPr>
          <w:sz w:val="20"/>
          <w:szCs w:val="20"/>
          <w:color w:val="auto"/>
        </w:rPr>
      </w:pPr>
    </w:p>
    <w:p>
      <w:pPr>
        <w:ind w:left="620" w:hanging="305"/>
        <w:spacing w:after="0" w:line="295"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one: </w:t>
      </w:r>
      <w:r>
        <w:rPr>
          <w:rFonts w:ascii="Times New Roman" w:cs="Times New Roman" w:eastAsia="Times New Roman" w:hAnsi="Times New Roman"/>
          <w:sz w:val="17"/>
          <w:szCs w:val="17"/>
          <w:color w:val="auto"/>
        </w:rPr>
        <w:t>Select markets to deploy our innovative model. We seek opportunities to create differentiated and enhanced plans for consumers virtually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anywhere in the United States, including traditionally underserved markets.</w:t>
      </w:r>
    </w:p>
    <w:p>
      <w:pPr>
        <w:spacing w:after="0" w:line="168" w:lineRule="exact"/>
        <w:rPr>
          <w:rFonts w:ascii="Times New Roman" w:cs="Times New Roman" w:eastAsia="Times New Roman" w:hAnsi="Times New Roman"/>
          <w:sz w:val="17"/>
          <w:szCs w:val="17"/>
          <w:color w:val="auto"/>
        </w:rPr>
      </w:pPr>
    </w:p>
    <w:p>
      <w:pPr>
        <w:jc w:val="both"/>
        <w:ind w:left="620" w:hanging="305"/>
        <w:spacing w:after="0" w:line="262"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two: </w:t>
      </w:r>
      <w:r>
        <w:rPr>
          <w:rFonts w:ascii="Times New Roman" w:cs="Times New Roman" w:eastAsia="Times New Roman" w:hAnsi="Times New Roman"/>
          <w:sz w:val="17"/>
          <w:szCs w:val="17"/>
          <w:color w:val="auto"/>
        </w:rPr>
        <w:t>Broadly disseminate Clover Assistant. We contract with a wide array of primary care decision-makers and deploy Clover Assistant wherever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possible to empower providers to deliver data-driven, personalized care. Our contracts also have a simple payment model, with one enhanced rate for primary care visits using Clover Assistant, relieving providers of significant administrative tasks. Our model expands our reach to providers beyond simply those large providers or other groups willing and able to structure complex risk-sharing arrangements. In addition, our plans with open network designs make it easier for our members to see providers outside our network, which can generate new leads for us to deploy Clover Assistant with an increasing pool of providers.</w:t>
      </w:r>
    </w:p>
    <w:p>
      <w:pPr>
        <w:spacing w:after="0" w:line="199" w:lineRule="exact"/>
        <w:rPr>
          <w:rFonts w:ascii="Times New Roman" w:cs="Times New Roman" w:eastAsia="Times New Roman" w:hAnsi="Times New Roman"/>
          <w:sz w:val="17"/>
          <w:szCs w:val="17"/>
          <w:color w:val="auto"/>
        </w:rPr>
      </w:pPr>
    </w:p>
    <w:p>
      <w:pPr>
        <w:jc w:val="both"/>
        <w:ind w:left="620" w:hanging="305"/>
        <w:spacing w:after="0" w:line="263"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three: </w:t>
      </w:r>
      <w:r>
        <w:rPr>
          <w:rFonts w:ascii="Times New Roman" w:cs="Times New Roman" w:eastAsia="Times New Roman" w:hAnsi="Times New Roman"/>
          <w:sz w:val="17"/>
          <w:szCs w:val="17"/>
          <w:color w:val="auto"/>
        </w:rPr>
        <w:t>Powered by Clover Assistant's strong unit economics, deploy best-in-class plans. The use of Clover Assistant is designed to drive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economic success of our plans, which allows us to return these strong economics back to our members in the form of enhanced benefits, lower out-of-pocket costs and freedom of choice. Our affordability is underpinned by our plans' low average total out-of-pocket costs for PCP and specialist co-pays. The substantial majority of our members enjoy freedom of choice, which manifests in our expansive and open network with the same cost-sharing for members who see primary care providers in- and out-of-network. Our open network design is particularly attractive compared to our competitors' usual narrow networks.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Strengths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our mission-aligned business model, powered by Clover Assistant, enables us to deliver significant value to the entire healthcare ecosystem.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Clover is the plan for consumers</w:t>
      </w:r>
    </w:p>
    <w:p>
      <w:pPr>
        <w:spacing w:after="0" w:line="25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We believe that an approach focused on consumer healthcare choice, enhanced provider trust, and competitive pricing results in distinct value to our members and makes great healthcare available to everyone.</w:t>
      </w:r>
    </w:p>
    <w:p>
      <w:pPr>
        <w:spacing w:after="0" w:line="171" w:lineRule="exact"/>
        <w:rPr>
          <w:sz w:val="20"/>
          <w:szCs w:val="20"/>
          <w:color w:val="auto"/>
        </w:rPr>
      </w:pPr>
    </w:p>
    <w:p>
      <w:pPr>
        <w:jc w:val="both"/>
        <w:ind w:left="620" w:hanging="305"/>
        <w:spacing w:after="0" w:line="26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Provider of choice. </w:t>
      </w:r>
      <w:r>
        <w:rPr>
          <w:rFonts w:ascii="Times New Roman" w:cs="Times New Roman" w:eastAsia="Times New Roman" w:hAnsi="Times New Roman"/>
          <w:sz w:val="17"/>
          <w:szCs w:val="17"/>
          <w:color w:val="auto"/>
        </w:rPr>
        <w:t>We value the health decisions our members make and believe that consumer-driven provider choice increases trust and member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satisfaction. Our differentiated, open network philosophy offers considerable consumer choice: discretion to choose any new Medicare provider willing to see them, or keep an existing provider. The substantial majority of our members are enrolled in our open network plans, meaning that our members need not worry about verifying whether their Medicare provider is in or out of our network, as they pay the same amount in either case.</w:t>
      </w:r>
    </w:p>
    <w:p>
      <w:pPr>
        <w:spacing w:after="0" w:line="191" w:lineRule="exact"/>
        <w:rPr>
          <w:rFonts w:ascii="Times New Roman" w:cs="Times New Roman" w:eastAsia="Times New Roman" w:hAnsi="Times New Roman"/>
          <w:sz w:val="17"/>
          <w:szCs w:val="17"/>
          <w:color w:val="auto"/>
        </w:rPr>
      </w:pPr>
    </w:p>
    <w:p>
      <w:pPr>
        <w:jc w:val="both"/>
        <w:ind w:left="620" w:hanging="305"/>
        <w:spacing w:after="0" w:line="275"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Clover Assistant is the ultimate assistant. </w:t>
      </w:r>
      <w:r>
        <w:rPr>
          <w:rFonts w:ascii="Times New Roman" w:cs="Times New Roman" w:eastAsia="Times New Roman" w:hAnsi="Times New Roman"/>
          <w:sz w:val="17"/>
          <w:szCs w:val="17"/>
          <w:color w:val="auto"/>
        </w:rPr>
        <w:t>Clover Assistant, being focused on physician enablement, enhances the provider's ability to coordinate care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beneficiaries. We believe our beneficiaries can have confidence that, when using Clover Assistant, their provider has ready access to their medical histories and personalized, data-driven clinical care recommendations.</w:t>
      </w:r>
    </w:p>
    <w:p>
      <w:pPr>
        <w:spacing w:after="0" w:line="184"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 value plans. </w:t>
      </w:r>
      <w:r>
        <w:rPr>
          <w:rFonts w:ascii="Times New Roman" w:cs="Times New Roman" w:eastAsia="Times New Roman" w:hAnsi="Times New Roman"/>
          <w:sz w:val="17"/>
          <w:szCs w:val="17"/>
          <w:color w:val="auto"/>
        </w:rPr>
        <w:t>We strive to ensure that consumers who choose our health plans get more for less. Our plans offer competitive benefits while being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affordable. Most of our members are enrolled in plans that offer among the lowest average out-of-pocket costs for PCP co-pays in their markets while also providing wide network access and the same in- and out-of-network costs for primary care provider visits. By seeking to lower the financial burden on our members, we reduce disincentives that inhibit our members from seeking the care they need.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Clover delivers clinical and financial value for providers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Assistant allows providers to focus on delivering high-quality care and rewards them for doing so.</w:t>
      </w:r>
    </w:p>
    <w:p>
      <w:pPr>
        <w:spacing w:after="0" w:line="114" w:lineRule="exact"/>
        <w:rPr>
          <w:sz w:val="20"/>
          <w:szCs w:val="20"/>
          <w:color w:val="auto"/>
        </w:rPr>
      </w:pPr>
    </w:p>
    <w:p>
      <w:pPr>
        <w:ind w:left="620" w:hanging="305"/>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Clover Assistant empowers providers. </w:t>
      </w:r>
      <w:r>
        <w:rPr>
          <w:rFonts w:ascii="Times New Roman" w:cs="Times New Roman" w:eastAsia="Times New Roman" w:hAnsi="Times New Roman"/>
          <w:sz w:val="17"/>
          <w:szCs w:val="17"/>
          <w:color w:val="auto"/>
        </w:rPr>
        <w:t>We are focused on empowering providers who use our platform.</w:t>
      </w:r>
    </w:p>
    <w:p>
      <w:pPr>
        <w:spacing w:after="0" w:line="116" w:lineRule="exact"/>
        <w:rPr>
          <w:rFonts w:ascii="Times New Roman" w:cs="Times New Roman" w:eastAsia="Times New Roman" w:hAnsi="Times New Roman"/>
          <w:sz w:val="17"/>
          <w:szCs w:val="17"/>
          <w:color w:val="auto"/>
        </w:rPr>
      </w:pPr>
    </w:p>
    <w:p>
      <w:pPr>
        <w:jc w:val="both"/>
        <w:ind w:left="620" w:hanging="305"/>
        <w:spacing w:after="0" w:line="275"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pay an enhanced rate for primary care. </w:t>
      </w:r>
      <w:r>
        <w:rPr>
          <w:rFonts w:ascii="Times New Roman" w:cs="Times New Roman" w:eastAsia="Times New Roman" w:hAnsi="Times New Roman"/>
          <w:sz w:val="17"/>
          <w:szCs w:val="17"/>
          <w:color w:val="auto"/>
        </w:rPr>
        <w:t>We believe primary care providers play a critical role in helping to keep our beneficiaries healthy, and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compensate them by paying a rate that is typically higher than the Medicare fee-for-service rate for the enhanced clinical experience they provide beneficiaries through use of Clover Assistant.</w:t>
      </w:r>
    </w:p>
    <w:p>
      <w:pPr>
        <w:spacing w:after="0" w:line="54"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partner with providers and allow them to focus on providing quality care. </w:t>
      </w:r>
      <w:r>
        <w:rPr>
          <w:rFonts w:ascii="Times New Roman" w:cs="Times New Roman" w:eastAsia="Times New Roman" w:hAnsi="Times New Roman"/>
          <w:sz w:val="17"/>
          <w:szCs w:val="17"/>
          <w:color w:val="auto"/>
        </w:rPr>
        <w:t>We partner with all types of providers, including solo practitioners, large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physician groups, hospital-employed physicians, and other providers. The combination of our growing beneficiary base and the Clover Assistant program enables a highly efficient economic model that allows providers to build successful practices serving Medicare patients. This model focuses on relieving providers of additional administrative burdens, empowering them to spend more time on care.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Clover offers high-quality healthcare for our Medicare beneficiaries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w:t>
      </w:r>
    </w:p>
    <w:p>
      <w:pPr>
        <w:spacing w:after="0" w:line="58" w:lineRule="exact"/>
        <w:rPr>
          <w:sz w:val="20"/>
          <w:szCs w:val="20"/>
          <w:color w:val="auto"/>
        </w:rPr>
      </w:pPr>
    </w:p>
    <w:p>
      <w:pPr>
        <w:jc w:val="both"/>
        <w:ind w:left="620" w:hanging="305"/>
        <w:spacing w:after="0" w:line="275"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mean everyone. </w:t>
      </w:r>
      <w:r>
        <w:rPr>
          <w:rFonts w:ascii="Times New Roman" w:cs="Times New Roman" w:eastAsia="Times New Roman" w:hAnsi="Times New Roman"/>
          <w:sz w:val="17"/>
          <w:szCs w:val="17"/>
          <w:color w:val="auto"/>
        </w:rPr>
        <w:t>Every individual deserves the best care, and through Clover Assistant we are democratizing the clinical data and insights providers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need to deliver care. Because we drive this clinical improvement with technology, we believe we can scale in virtually any market, including traditionally underserved markets that are generally not viable for others.</w:t>
      </w:r>
    </w:p>
    <w:p>
      <w:pPr>
        <w:spacing w:after="0" w:line="54" w:lineRule="exact"/>
        <w:rPr>
          <w:rFonts w:ascii="Times New Roman" w:cs="Times New Roman" w:eastAsia="Times New Roman" w:hAnsi="Times New Roman"/>
          <w:sz w:val="17"/>
          <w:szCs w:val="17"/>
          <w:color w:val="auto"/>
        </w:rPr>
      </w:pPr>
    </w:p>
    <w:p>
      <w:pPr>
        <w:jc w:val="both"/>
        <w:ind w:left="620" w:hanging="305"/>
        <w:spacing w:after="0" w:line="275"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 mean everywhere. </w:t>
      </w:r>
      <w:r>
        <w:rPr>
          <w:rFonts w:ascii="Times New Roman" w:cs="Times New Roman" w:eastAsia="Times New Roman" w:hAnsi="Times New Roman"/>
          <w:sz w:val="17"/>
          <w:szCs w:val="17"/>
          <w:color w:val="auto"/>
        </w:rPr>
        <w:t>As patients are increasingly looking for access to care in a variety of settings, through Clover Assistant, we are able to empower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clinicians to provide care in offices and hospitals as well as non-traditional settings both via telemedicine and in the home. Our software allows us to help providers deliver care everywhere that our beneficiaries want to receive it.</w:t>
      </w:r>
    </w:p>
    <w:p>
      <w:pPr>
        <w:spacing w:after="0" w:line="54"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Sustainable healthcare through reduced medical cost. </w:t>
      </w:r>
      <w:r>
        <w:rPr>
          <w:rFonts w:ascii="Times New Roman" w:cs="Times New Roman" w:eastAsia="Times New Roman" w:hAnsi="Times New Roman"/>
          <w:sz w:val="17"/>
          <w:szCs w:val="17"/>
          <w:color w:val="auto"/>
        </w:rPr>
        <w:t>We believe our focus on personalized evidence-based clinical recommendations leading to early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disease identification, treatment, and management, and quality gap closure allow us to reduce medical costs over the long-term. Our innovative approach to preventive care empowers providers to spend more time understanding their patient and personalized, evidence-based guidelines and helps reduce the incidence of high-cost events that drive the largest share of healthcare expenditures.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Clover Assistant Architecture</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Clover Assistant is a differentiated, scalable platform that is able to combine data synthesis and insight generation to provide unique and actionable insights to providers. Clover Assistant platform synthesizes comprehensive, longitudinal sets of data, generates clinically-focused machine learning, artificial intelligence, and rules-based insights, and drives action by surfacing the most relevant, personalized information to providers designed to assist them in the early identification and management of disease. Our platform's excellence is centered on this three-pronged approach:</w:t>
      </w:r>
    </w:p>
    <w:p>
      <w:pPr>
        <w:spacing w:after="0" w:line="63" w:lineRule="exact"/>
        <w:rPr>
          <w:sz w:val="20"/>
          <w:szCs w:val="20"/>
          <w:color w:val="auto"/>
        </w:rPr>
      </w:pPr>
    </w:p>
    <w:p>
      <w:pPr>
        <w:jc w:val="both"/>
        <w:ind w:left="620" w:hanging="305"/>
        <w:spacing w:after="0" w:line="264"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Synthesis. </w:t>
      </w:r>
      <w:r>
        <w:rPr>
          <w:rFonts w:ascii="Times New Roman" w:cs="Times New Roman" w:eastAsia="Times New Roman" w:hAnsi="Times New Roman"/>
          <w:sz w:val="17"/>
          <w:szCs w:val="17"/>
          <w:color w:val="auto"/>
        </w:rPr>
        <w:t>Because it is developed by a health plan, Clover Assistant is uniquely positioned in its ability to directly access broad sets of personalized,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w:t>
      </w:r>
    </w:p>
    <w:p>
      <w:pPr>
        <w:spacing w:after="0" w:line="69" w:lineRule="exact"/>
        <w:rPr>
          <w:rFonts w:ascii="Times New Roman" w:cs="Times New Roman" w:eastAsia="Times New Roman" w:hAnsi="Times New Roman"/>
          <w:sz w:val="17"/>
          <w:szCs w:val="17"/>
          <w:color w:val="auto"/>
        </w:rPr>
      </w:pPr>
    </w:p>
    <w:p>
      <w:pPr>
        <w:ind w:left="62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spacing w:after="0" w:line="41" w:lineRule="exact"/>
        <w:rPr>
          <w:rFonts w:ascii="Times New Roman" w:cs="Times New Roman" w:eastAsia="Times New Roman" w:hAnsi="Times New Roman"/>
          <w:sz w:val="17"/>
          <w:szCs w:val="17"/>
          <w:color w:val="auto"/>
        </w:rPr>
      </w:pPr>
    </w:p>
    <w:p>
      <w:pPr>
        <w:jc w:val="both"/>
        <w:ind w:left="620" w:hanging="305"/>
        <w:spacing w:after="0" w:line="271"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Insight. </w:t>
      </w:r>
      <w:r>
        <w:rPr>
          <w:rFonts w:ascii="Times New Roman" w:cs="Times New Roman" w:eastAsia="Times New Roman" w:hAnsi="Times New Roman"/>
          <w:sz w:val="17"/>
          <w:szCs w:val="17"/>
          <w:color w:val="auto"/>
        </w:rPr>
        <w:t>Given the massive depth, breadth, and volume of data that we collect, it is critical to leverage technology to perform intelligent analytics.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Analyzing this amount of data in real-time is very complex for any provider, but we have advanced our technology to perform these analytics in real-time. Our insight engine applies a combination of advanced machine learning and clinically-driven business rules to curate actionable insights for providers.</w:t>
      </w:r>
    </w:p>
    <w:p>
      <w:pPr>
        <w:spacing w:after="0" w:line="274" w:lineRule="exact"/>
        <w:rPr>
          <w:rFonts w:ascii="Times New Roman" w:cs="Times New Roman" w:eastAsia="Times New Roman" w:hAnsi="Times New Roman"/>
          <w:sz w:val="17"/>
          <w:szCs w:val="17"/>
          <w:color w:val="auto"/>
        </w:rPr>
      </w:pPr>
    </w:p>
    <w:p>
      <w:pPr>
        <w:ind w:left="62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data scientists work in conjunction with providers to continually enhance our insight engine. We identify and target specific clinical problems, then seek to solve these problems with expert systems, combining the latest clinical and evidence-based research with machine learning-based insights.</w:t>
      </w:r>
    </w:p>
    <w:p>
      <w:pPr>
        <w:spacing w:after="0" w:line="41" w:lineRule="exact"/>
        <w:rPr>
          <w:rFonts w:ascii="Times New Roman" w:cs="Times New Roman" w:eastAsia="Times New Roman" w:hAnsi="Times New Roman"/>
          <w:sz w:val="17"/>
          <w:szCs w:val="17"/>
          <w:color w:val="auto"/>
        </w:rPr>
      </w:pPr>
    </w:p>
    <w:p>
      <w:pPr>
        <w:ind w:left="620" w:hanging="305"/>
        <w:spacing w:after="0" w:line="295"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Action. </w:t>
      </w:r>
      <w:r>
        <w:rPr>
          <w:rFonts w:ascii="Times New Roman" w:cs="Times New Roman" w:eastAsia="Times New Roman" w:hAnsi="Times New Roman"/>
          <w:sz w:val="17"/>
          <w:szCs w:val="17"/>
          <w:color w:val="auto"/>
        </w:rPr>
        <w:t>Clover Assistant provides real time, personalized, and actionable insights to help healthcare providers to make better decisions and identify, treat,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manage diseases early.</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These three aspects of Clover Assistant—Synthesis, Insight and Action—form a self-contained software improvement virtuous cycle. As providers take action based on our data insights, we receive rich feedback data in real time. We then input this data back into our data and insight layers, creating a loop of bi-directional information exchange.</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Across all three prongs of our platform, Clover Assistant is designed to ensure data integrity and security to protect our users' and patients' information, identities, and privacy. As such, we have invested significantly in data protection and have in place strict data protection protocols. Clover has in place policies designed to ensure compliance with guidelines promulgated pursuant to the Health Insurance Portability and Accountability Act of 1996 ("HIPAA"), and all data in transit and at rest are encrypted. Data transfers, including API calls to and from third parties are authenticated via password, token, or two-way multiple transport layer security. Clover discourages and minimizes local data storage as a deterrence against physical device and data loss. Clover Assistant data is stored in the cloud, with backups across Amazon Web Services and the Google Cloud Platform and secured by centralized identity access and management.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Products Built on Clover Assistant Platform</w:t>
      </w:r>
    </w:p>
    <w:p>
      <w:pPr>
        <w:spacing w:after="0" w:line="24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Clover Assistant is designed to be scalable across a myriad of use cases. The platform is designed to surface the most relevant information for a specific context so that any users of the platform can make more informed decisions at the most actionable opportunity available. Use cases include:</w:t>
      </w:r>
    </w:p>
    <w:p>
      <w:pPr>
        <w:spacing w:after="0" w:line="42" w:lineRule="exact"/>
        <w:rPr>
          <w:sz w:val="20"/>
          <w:szCs w:val="20"/>
          <w:color w:val="auto"/>
        </w:rPr>
      </w:pPr>
    </w:p>
    <w:p>
      <w:pPr>
        <w:jc w:val="both"/>
        <w:ind w:left="620" w:hanging="305"/>
        <w:spacing w:after="0" w:line="275"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Office/virtual visits. </w:t>
      </w:r>
      <w:r>
        <w:rPr>
          <w:rFonts w:ascii="Times New Roman" w:cs="Times New Roman" w:eastAsia="Times New Roman" w:hAnsi="Times New Roman"/>
          <w:sz w:val="17"/>
          <w:szCs w:val="17"/>
          <w:color w:val="auto"/>
        </w:rPr>
        <w:t>Clover Assistant empowers providers by recommending personalized, evidence-based medications, providing reminders of timely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discussion topics and treatment, enabling requests for patient data and orders for tests or screening kits and identifies potential undiagnosed conditions based on clinical evidence. Our software makes these features available for in-person visits or through telemedicine solutions.</w:t>
      </w:r>
    </w:p>
    <w:p>
      <w:pPr>
        <w:spacing w:after="0" w:line="54" w:lineRule="exact"/>
        <w:rPr>
          <w:rFonts w:ascii="Times New Roman" w:cs="Times New Roman" w:eastAsia="Times New Roman" w:hAnsi="Times New Roman"/>
          <w:sz w:val="17"/>
          <w:szCs w:val="17"/>
          <w:color w:val="auto"/>
        </w:rPr>
      </w:pPr>
    </w:p>
    <w:p>
      <w:pPr>
        <w:ind w:left="620" w:hanging="305"/>
        <w:spacing w:after="0" w:line="295"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Office staff. </w:t>
      </w:r>
      <w:r>
        <w:rPr>
          <w:rFonts w:ascii="Times New Roman" w:cs="Times New Roman" w:eastAsia="Times New Roman" w:hAnsi="Times New Roman"/>
          <w:sz w:val="17"/>
          <w:szCs w:val="17"/>
          <w:color w:val="auto"/>
        </w:rPr>
        <w:t>Through its Care Connect feature and embedded analytics, Clover Assistant empowers office staff by identifying patients due for a visit,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flagging beneficiaries recently discharged from the hospital, and noting potentially beneficial screenings and follow-ups.</w:t>
      </w:r>
    </w:p>
    <w:p>
      <w:pPr>
        <w:spacing w:after="0" w:line="38"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In-home visits. </w:t>
      </w:r>
      <w:r>
        <w:rPr>
          <w:rFonts w:ascii="Times New Roman" w:cs="Times New Roman" w:eastAsia="Times New Roman" w:hAnsi="Times New Roman"/>
          <w:sz w:val="17"/>
          <w:szCs w:val="17"/>
          <w:color w:val="auto"/>
        </w:rPr>
        <w:t>Clover Assistant empowers physicians and other providers who operate outside of clinical settings, offices, or hospitals. It supports,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 our in-home primary care program enabling lengthy interactions for our lives under management with the most advanced illnesses or complex conditions. It also supports in-home programs targeting patients who have been recently discharged from hospitals or who do not receive regular care from a PCP.</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our Insurance segment, we market our MA plans through a broad range of activities and through an extensive network of insurance brokers and field marketing organizations. We also enter into co-branding arrangements with providers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focus our time, attention, and investment on continued innovation in the Clover Assistant platform. We expect to continue investing in expanding our platform and enhancing the features and functionality of Clover Assistant. We analyze the growing number of interactions our providers have with Clover Assistant to recognize their needs quickly and guide future innovation. Our research and development team is responsible for the design, development, testing, and delivery of solutions for our platform.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Competition</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physician enablement space is highly competitive, and there are many players competing within the technology space as well as within segments of Medicare such as MA and Original Medicare. We compete in certain segments within the healthcare market, including MA plans as well as other healthcare technology platforms, and intend to enter into others, such as new payment models offered by CMS. Competition in our market involves rapidly changing technologies, evolving regulatory requirements and industry expectations, new product offerings and constantly evolving beneficiary and provider preferences and user requirements.</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face competition from incumbent MA sponsors, many of whom are developing their own technology or partnering with third-party technology providers to drive improvements in care. Our competitors include large, national insurers, such as UnitedHealth, Aetna, Humana, Cigna, Centene, and Elevance Health, as well as regional plans such as Blue Cross Blue Shield affiliates, Alignment Health, Devoted Health, Oscar Health, and provider-sponsored plans such as Ochsner Health and Priority Health. We also face competition from Original Medicare providers and health insurance companies.</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face competition in the physician enablement space from offerings and tools that allow providers to offer value-based care, offerings such as EHRs and other tools that promote high physician enablement, and any other product or tool designed to enable a physician to improve care. Companies such as Agilon and Privia Health have offerings that compete directly or indirectly with our offerings. Also, as we develop other products and enter new lines of business, and other companies do the same, we may compete with providers of healthcare technology platforms, EHR providers, telehealth providers, healthcare data analytics providers, and ACOs.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our business model allows us to compete favorably based on the following competitive factors: the use of Clover Assistant platform to improve clinical decision-making, price, quality of service, products offering access to broad and open provider networks, breadth and flexibility of plan benefits, brand strength, beneficiary and provider satisfaction, and financial stability.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 See Part I, Item 1A, "Risk Factors," for a discussion of the 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4" w:name="page15"/>
    <w:bookmarkEnd w:id="14"/>
    <w:p>
      <w:pPr>
        <w:jc w:val="both"/>
        <w:spacing w:after="0" w:line="273" w:lineRule="auto"/>
        <w:rPr>
          <w:sz w:val="20"/>
          <w:szCs w:val="20"/>
          <w:color w:val="auto"/>
        </w:rPr>
      </w:pPr>
      <w:r>
        <w:rPr>
          <w:rFonts w:ascii="Times New Roman" w:cs="Times New Roman" w:eastAsia="Times New Roman" w:hAnsi="Times New Roman"/>
          <w:sz w:val="17"/>
          <w:szCs w:val="17"/>
          <w:color w:val="auto"/>
        </w:rPr>
        <w:t>We hold a portfolio of patents and have patent applications pending from time to time. We have registered our trademarks in the United States and abroad.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vision is made possible through the efforts put forth by our teams. We strive to attract and retain diverse talent from all different backgrounds and industries-- we value Machine Learning Data Scientists the same way we value Clinical Pharmacists, the same way we value Claims Analysts. Bringing together motivated, inquisitive, and mission-oriented talent has provided us with a strategic advantage and is key to our success. Clover strives to provide a collaborative and inclusive work environment, competitive market compensation, and benefits programs and growth opportunities that empower our employees to deliver positive outcomes for beneficiaries.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December 31, 2023, we had 552 employees with approximately 88% in the U.S. and 8% in Hong Kong with the remaining 4% disbursed in various countries.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workforce was 63% Female and 37% Male, and was 47% Caucasian/White and 53% racially/ethnically diverse backgrounds.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Excellence in Distributed Work</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are a distributed team from the Board on down and believe our distributed approach to teams allows us to attract the best talent for each and every role. In August 2018, we opened an office in Hong Kong, which has since grown to a team of 45 employees. We have continued to expand our workforce globally into several additional international locations.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Cultivating Diversity, Equity, &amp; Inclusion</w:t>
      </w:r>
    </w:p>
    <w:p>
      <w:pPr>
        <w:spacing w:after="0" w:line="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made a deliberate effort to cultivate a diverse and inclusive culture at Clover. Early on in our history, Clover created a Diversity &amp; Inclusion (D&amp;I) Working Group focused on making Clover a more diverse, equitable, and inclusive Company. For us, diversity includes not only race and gender identity, but also age, disability status, veteran status, sexual orientation, religion, and many other parts of one's identity. All of our employees' points of view are key to our success, and inclusion is everyone's responsibility. By creating a designated space for learning, conversations, and furthering initiatives, we aim to enrich Clover for our employees and communities. Members of our D&amp;I Working Group also develop and deliver various resources to our teams, including an ally-ship training series and "best practices" materials on topics such as inclusive meetings and health equity.</w:t>
      </w:r>
    </w:p>
    <w:p>
      <w:pPr>
        <w:spacing w:after="0" w:line="2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Affinity Groups are employee-led groups, open to Clover employees who identify with an affinity and are looking for community and support within the Company. Clover's Affinity Groups continue to grow as grassroots communities bringing together employees with a shared affinity. We currently have five Affinity Groups with a total of over 150 members and growing: Black Employee Network; Asian, Asian American, and Pacific Islander; Mi Gente (Latine/Hispanic); Queer at Clover; and Clover Wome/xn (all employees identifying as women). Additionally, our mental health benefits include options to join expert-led external peer circles around healing communities in times of crisis.</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in the fifth year of our New Perspectives Program, a reverse mentorship program that creates a space for leaders to receive mentorship from junior- and mid-level employees about lived experiences and key information leaders need to understand in their role. These conversations have focused on a range of themes, such as the experiences of LGBTQ+ employees, Latina employees, and understanding biases that lead to who gets elevated and who gets left behind in the workplace.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Building Future Leaders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seek to empower our employees to do their best work and aim to provide a variety of in-house and external resources to help them achieve their maximum potential. Our approach to development starts during onboarding, when employees are presented with customized 30/60/90-day onboarding plans. These plans are created by employees' hiring managers and reviewed by our Hiring Committee, with the goal of providing structure to onboarding and defining key wins and early successes as they join Clover. The onboarding plans also provide opportunities for check-ins, feedback, and re-prioritization of workload.</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2023, we maintained our focus on talent identification and development, aligned with the leadership development framework established in 2022. We conducted a comprehensive talent review of our director-level and above employees early in the year to gain insights into our bench of talent in senior roles. Additionally, we initiated a leadership development skills coaching program with an external vendor tailored for mid-level managers across Clover. This program aims to enhance critical competencies essential for driving performance, making sound decisions, and fostering a collaborative culture within the organization.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5" w:name="page16"/>
    <w:bookmarkEnd w:id="15"/>
    <w:p>
      <w:pPr>
        <w:jc w:val="both"/>
        <w:spacing w:after="0" w:line="273" w:lineRule="auto"/>
        <w:rPr>
          <w:sz w:val="20"/>
          <w:szCs w:val="20"/>
          <w:color w:val="auto"/>
        </w:rPr>
      </w:pPr>
      <w:r>
        <w:rPr>
          <w:rFonts w:ascii="Times New Roman" w:cs="Times New Roman" w:eastAsia="Times New Roman" w:hAnsi="Times New Roman"/>
          <w:sz w:val="17"/>
          <w:szCs w:val="17"/>
          <w:color w:val="auto"/>
        </w:rPr>
        <w:t>Throughout the year, several key leaders participated in executive coaching engagements and leadership development activities facilitated by external partners. We intend to expand participation in relevant programs for more leaders in 2024. Furthermore, we introduced a new tool designed to assist employees and managers in crafting individual development plans to support their ongoing growth beyond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Engagement &amp; Feedback</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giving, receiving, and acting on feedback makes us better colleagues. Ensuring our teams have a variety of avenues to provide feedback in a safe way has been core to our ethos. Each year we conduct an inclusion survey, focused on equity, inclusion, and belonging. Key themes are shared with the entire company, and each leader receives feedback relating to their area.</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evolving performance management process supports a culture of transparency, engagement, and continuous feedback. Our annual performance management cycle includes a 360 calibration review for employees at all levels as we believe it provides the most holistic and meaningful snapshot on performance. In 2023, we officially rolled out a new performance management and survey tool to the broader organization in an effort to centralize our data and provide a more engaging user experience for our employees. We released modules to support managers, employees, and peers in connecting via 1:1s, providing feedback, setting goals, establishing development plans, completing reviews, and more.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Attracting &amp; Retaining Top Talent</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believe in using our total rewards program to incentivize employees to make decisions that are in the best interest of our stakeholders. It is important that our plans are aligned with the market so that we can attract, retain, and motivate our employees. Our total rewards program includes a mix of base salary, annual cash incentive opportunities, equity incentive awards, and a comprehensive benefits offering, which continues to evolve over time in support of our talent needs and business objectives.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To support work-life balance for all of our employees, we provide employees with health (medical, dental, vision, and telehealth) insurance, paid time off, paid sick leave, paid parental leave, at least one paid company-wide holiday per month, paid year-end "Week of Rest", a U.S. 401(k) plan with Company match, and an employee stock purchase plan. We continually monitor market trends and adjust our programs to ensure our total rewards offering remains competitive and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work diligently to ensure compliance with all applicable laws and regulations affecting our business. As an entity within the healthcare industry, and one operating Medicare plans, we are subject to comprehensive federal, state, and international laws and we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results of operations, financial condition, or cash flows. See Part I, Item 1A, "Risk Factors," for a discussion of the risks related to our compliance with federal, state, and international laws and regulations.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Part I, Item 1A, "Risk Factors—We are currently, and may in the future be, subject to investigations and litigation, which could be costly and time-consuming to defend. The outcomes of these matters cannot be predicted."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Laws and Regulations, Relevant Agency Oversight</w:t>
      </w: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subject to various federal laws and regulations, and our activities are subject to regulation by several federal agencies. The most comprehensive oversight comes from CMS, which regulates our MA plans and the ACO REACH Model. CMS regulates the payments made to us and the submission of information relating to the health status of patients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6" w:name="page17"/>
    <w:bookmarkEnd w:id="16"/>
    <w:p>
      <w:pPr>
        <w:jc w:val="both"/>
        <w:spacing w:after="0" w:line="267" w:lineRule="auto"/>
        <w:rPr>
          <w:sz w:val="20"/>
          <w:szCs w:val="20"/>
          <w:color w:val="auto"/>
        </w:rPr>
      </w:pPr>
      <w:r>
        <w:rPr>
          <w:rFonts w:ascii="Times New Roman" w:cs="Times New Roman" w:eastAsia="Times New Roman" w:hAnsi="Times New Roman"/>
          <w:sz w:val="17"/>
          <w:szCs w:val="17"/>
          <w:color w:val="auto"/>
        </w:rPr>
        <w:t>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a subset of MA contracts for each contract year. In addition, the Department of Health and Human Services Office of Inspector General also audits risk adjustments of companies offering MA plans, and we anticipate this remaining a focus of government inquiries and investigations in the next few years.</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A portion of each MA plan's reimbursement is tied to the plan's “Star Ratings” received pursuant to CMS’s Medicare Advantage Star ratings system. CMS annually awards between 1.0 and 5.0 Stars to Medicare Advantage plans based on performance in several categories. CMS released the Company’s 2024 Star ratings in October 2023, related to the 2022 measurement year, which will impact the 2025 payment year. For both of the Company's plans (PPO and HMO), CMS gave a rating of 3.0 Stars for measurement year 2022, which represents a 0.5 Star rating decrease for both plans from the 2021 measurement year. The 3.0 Star rating will impact the 2025 payment year. In the calendar year 2024, the Company will be paid on the basis of 3.5 Stars for both our PPO and HMO plans, which ratings were previously awarded. In addition,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Privacy, security, and data standards regulation</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particular, regulations promulgated pursuant to HIPAA impose a number of obligations on issuers of health insurance coverage and health benefit plan sponsors. Health insurers, HMOs, and healthcare providers that transmit health information electronically are included in HIPAA's definition of "Covered Entities." Regulations promulgated to implement HIPAA and the Health Information Technology for Economic and Clinical Health Act ("HITECH") also require that "business associates" (e.g., entities that perform functions or provide services involving the use or disclosure of protected health information to health plans and providers, such as electronic claims clearinghouses, print and fulfillment vendors, consultants and those services we expect to provide on behalf of our Direct Contracting providers)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affected individuals, and in some cases, to the local media. They provide for financial penalties and, in certain cases, criminal penalties for individuals, including employees, for privacy violations.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that impose ongoing compliance requirements. OCR enforcement activity against us can result in financial liability and reputational harm, and our responses to such enforcement activity can consume significant internal resources. In addition to enforcement by OCR, state attorneys general are authorized to bring civil actions under relevant state laws seeking either injunctions or damages in response to violations that threaten the privacy of state residents. As explained above, depending on the line of business, the Company acts or intends to act as both a covered entity and a business associate.</w:t>
      </w:r>
    </w:p>
    <w:p>
      <w:pPr>
        <w:spacing w:after="0" w:line="2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HIPAA does not preempt state laws that provide more stringent privacy protection than those provided for under HIPAA; as such, we may be subject to additional state privacy laws in the states in which we operate.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the GLBA sets a "floor" standard, allowing states to adopt more stringent requirements governing privacy protection.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7" w:name="page18"/>
    <w:bookmarkEnd w:id="17"/>
    <w:p>
      <w:pPr>
        <w:jc w:val="both"/>
        <w:spacing w:after="0" w:line="260" w:lineRule="auto"/>
        <w:rPr>
          <w:sz w:val="20"/>
          <w:szCs w:val="20"/>
          <w:color w:val="auto"/>
        </w:rPr>
      </w:pPr>
      <w:r>
        <w:rPr>
          <w:rFonts w:ascii="Times New Roman" w:cs="Times New Roman" w:eastAsia="Times New Roman" w:hAnsi="Times New Roman"/>
          <w:sz w:val="17"/>
          <w:szCs w:val="17"/>
          <w:color w:val="auto"/>
        </w:rPr>
        <w:t>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("FIPs") promulgated by the FTC, which concern consumer notice, choice, security, and access. Consumer protection laws require us to publish statements to our lives under management that describe how we handle personal information and choices they may have about the way we handle personal information. If such information that we publish is considered untrue, we may be subject to government claims of unfair or deceptive trade practices, which could lead to significant liabilities, financial penalties, and other consequences. The Cybersecurity Information Sharing Act of 2015 encourages organizations to share cyber threat indicators with the federal government and directs HHS to develop a set of voluntary cybersecurity best practices for organizations in the healthcare industry.</w:t>
      </w:r>
    </w:p>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states have begun to enact more comprehensive privacy laws and regulations addressing consumer rights relating to data use and disclosure, confidentiality, transparency, and cybersecurity. Violations by us of federal and state privacy and security laws and other contractual requirements may result in significant liability and expense, damage to our reputation and the termination of relationships with our customers.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Fraud and abuse laws</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patients or for the coverage of products by a plan, billing for unnecessary medical services by a healthcare provider, improper marketing and beneficiary inducements, and violations of patient privacy rights. Companies involved in federal and state healthcare programs such as Medicare are required to maintain compliance programs designed to detect and deter fraud, waste, and abuse, and they are often the subject of fraud, waste, and abuse investigations and audits. The regulations and contractual requirements applicable to us and other participants in these programs are complex and subject to change. Although our compliance programs are designed to meet all statutory and regulatory requirements, our policies and procedures are frequently under review and subject to updates, and our training and education programs continue to evolve.</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 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i w:val="1"/>
          <w:iCs w:val="1"/>
          <w:color w:val="auto"/>
        </w:rPr>
        <w:t>State laws and regulation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Healthcare regulation.</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entities, requires reports to be filed directly with the New Jersey Department of Banking and Insurance ("NJ 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At December 31, 2023,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entities which, for both the HMO and PPO, is New Jersey.</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Because we operate through a holding-company structure, we are regulated under state insurance holding company regulations and are dependent upon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Some of our business activity is subject to other healthcare-related regulations and requirements, including PPO, MCO, utilization review,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of control.</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Before a person can acquire control of a U.S. domestic insurer, prior written approval, or exemption therefrom, must be obtained from the insurance commissioner of the state where the insurer is domiciled, or the acquirer must make a disclaimer of control filing with the insurance department of such state that must be accepted by such insurance department. Prior to granting approval of an application to acquire control of a domestic insurer, the domiciliary state insurance commissioner will consider a number of factors, including the financial strength of the proposed acquirer, the acquirer's plans for the future operations of the domestic insurer, and any anti-competitive results that may arise from the consummation of the acquisition of control.</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State insurance statutes generally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in fact exist. The state regulators, however, may also find that control exists in circumstances in which a person owns or controls less than ten percent of the voting securities of the domestic insurer.</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regulated insurance entities are domiciled in New Jersey, and therefore the insurance laws and regulations of New Jersey would be applicable to any proposed acquisition or change in control of the Company or our regulated insurance entities. Under New Jersey law, generally no person may acquire control of any insurer, whether by purchase of its securities or otherwise, unless it gives prior notice to the insurer and receives prior approval, or exemption therefrom, from NJ DOBI. These regulations pertaining to an acquisition of control of an insurance company may discourage potential acquisition proposals and may delay, deter, or prevent a change of control of the Company or our regulated insurance entities, including through transactions that some or all of our stockholders might consider to be desirable. Such regulations may also inhibit our ability to acquire an insurance company should we wish to do so in the future.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color w:val="auto"/>
        </w:rPr>
        <w:t>Corporate practice of medicine and fee-splitting laws.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our health services operations comply with applicable state statutes regarding corporate practice of medicine, fee-splitting and similar issues. However, any enforcement actions against us by governmental officials alleging noncompliance with these statutes could subject us to penalties or restructuring or reorganization of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Regulation</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have operations, including certain contracted operations and software research and development in other countries, such as Canada, Hong Kong, New Zealand, the U.K., Uruguay, the Philippines, Mexico, India, the Dominican Republic and Colombia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FCPA prohibits offering, promising, providing, or authorizing others to give anything of value to a foreign government official to obtain or retain business or otherwise secure a business advantage.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website address is www.cloverhealth.com. Our filings with the SEC are posted on our website and available free of charge as soon as reasonably practicable after they are electronically filed with, or furnished to, the SEC. The content contained on or accessible from our website or on any website referred to in this Form 10-K is not incorporated by reference in this Form 10-K. Further, the Company's references to website URLs are intended to be inactive textual references only.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Channels for Disclosure of Information</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Investors and others should note that we routinely announce material information to investors and the marketplace using filings with the SEC, press releases, public conference calls, presentations, webcasts and our investor relations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(formerly known as Twitter), and the LinkedIn account of our Chief Executive Officer, Andrew Toy. The information posted on social media channels is not incorporated by reference in this report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the Company to review the information that we share at the "Investors" link located on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the course of conducting our business operations, we are exposed to a variety of risks, any of which have affected or could materially adversely affect our business, financial condition, and results of operations. The market price of our common stock could decline, possibly significantly and permanently, if one or more of these risks and uncertainties occurs. Any factor described in this report or in any of our other SEC filings could by itself, or together with other factors, adversely affect our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net losses in the past, and we may not be able to achieve or maintain profitability.</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incurred net losses of $213.4 million, $339.6 million, and $587.8 million for the years ended December 31, 2023, 2022, and 2021, respectively. Our accumulated deficits were approximately $2,159.8 million and $1,946.4 million at December 31, 2023 and 2022. We expect our net losses will continue as we expect to invest significant additional funds towards growing our business. In particular, we expect to continue to invest in improving Clover Assistant and our technology infrastructure, developing our clinical care programs, increasing adoption of Clover Assistant platform, expanding our marketing and outreach efforts, expanding our operations geographically, and developing future offerings that improve care and supplement our revenue streams. These efforts may prove more expensive than we currently anticipate, and we may not succeed in increasing our revenue sufficiently to offset these expenses. Even if we are successful in increasing our Total revenues from Insurance premiums earned, we may not successfully and effectively predict, price, and manage the medical costs.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Furthermore, even if we achieve profitability in the future, we may not be able to sustain profitability in subsequent periods. Our cash flow from operations was negative for the years ended December 31, 2023, 2022, and 2021, and we may not generate positive cash flow from operations in any given period. If we are not able to achieve or maintain profitability or positive cash flow, we will require additional financing, which may not be available on favorable terms, or at all, and which could be dilutive to our stockholders. See "— </w:t>
      </w:r>
      <w:r>
        <w:rPr>
          <w:rFonts w:ascii="Times New Roman" w:cs="Times New Roman" w:eastAsia="Times New Roman" w:hAnsi="Times New Roman"/>
          <w:sz w:val="17"/>
          <w:szCs w:val="17"/>
          <w:i w:val="1"/>
          <w:iCs w:val="1"/>
          <w:color w:val="auto"/>
        </w:rPr>
        <w:t>We may require additional capital to support business growth, and this capital might not be available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acceptable terms, or at all." </w:t>
      </w:r>
      <w:r>
        <w:rPr>
          <w:rFonts w:ascii="Times New Roman" w:cs="Times New Roman" w:eastAsia="Times New Roman" w:hAnsi="Times New Roman"/>
          <w:sz w:val="17"/>
          <w:szCs w:val="17"/>
          <w:color w:val="auto"/>
        </w:rPr>
        <w:t>If we are unable to successfully address these risks and challenges as we encounter them, our business may be harmed, which could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negatively affect the value of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relatively limited experience with Clover Assistant, and initial results may not be indicative of future performance.</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Since launching Clover Assistant in 2018, we have continued to develop its features and capabilities, adapt our go-to-market strategy and adjust its integration with our MA plans and third-party systems. As a result, we may not fully understand the impact of Clover Assistant on our business and long-term prospects. Our long-term success depends on maintaining and continuing to improve Clover Assistant and the margins we generate from its operations over time in the markets we serve. There can be no assurance that these effects will improve or persist over time in our current markets or that we can replicate these results as we expand into new markets.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incur costs in connection with our exit from the ACO REACH Program and may not achieve the expected benefits from our exit.</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December 1, 2023, we notified CMS that we will no longer participate as a REACH ACO in the CMS ACO Reach Program, effective as of the end of the 2023 performance year. Our exit from the ACO REACH Program was made after the Company determined that it was in its best interest to fully exit the ACO REACH Program, and follows the Company's November 2022 announcement of a strategic reduction in the number of ACO REACH participating physicians in 2023. Non-Insurance revenue for the years ended December 31, 2023 and 2022 was $773.2 million and $2,380.1 million, respectively. Our business, financial condition, and results of operations may be adversely impacted as a result of the loss of this revenue. We have incurred and expect to incur a number of costs associated with our exit from the ACO REACH Program. We expect to incur total charges related to the exit from the ACO REACH Program of approximately $8 million to $10 million. Our business, financial condition, and results of operations could be adversely impacted in future periods if our expectations, accounting judgments and estimates prove to be inaccurate, if the exit takes significantly longer than anticipated, if we incur additional, unanticipated costs, if we do not achieve the expected benefits and savings or if we face litigation related to the exit.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1" w:name="page22"/>
    <w:bookmarkEnd w:id="21"/>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future performance depends in part on increasing the lifetime value of enrollments, which are realized over several years, and utilizing our clinical care capabilities to improve the quality of care for our beneficiaries. Any failure to do so could negatively affect our financial condition and results of operations, including our ability to achieve or increase profitability.</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lifetime value of our enrollments could be impacted by a variety of factors, including but not limited to cost of care reductions from our clinical programs and the length of time a member remains enrolled in our plan. Thus, our future performance is heavily dependent on our ability to utilize Clover Assistant to drive down the medical care ratios for our beneficiaries. By doing so, we aim to drive per member per month ("PMPM") medical expense savings and generate more accurate risk adjustment data over time. If we fail to achieve such decreases in cost of care, our business, financial condition, and results of operations will be</w:t>
      </w:r>
    </w:p>
    <w:p>
      <w:pPr>
        <w:spacing w:after="0" w:line="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adversely affected. See the section entitled </w:t>
      </w:r>
      <w:r>
        <w:rPr>
          <w:rFonts w:ascii="Times New Roman" w:cs="Times New Roman" w:eastAsia="Times New Roman" w:hAnsi="Times New Roman"/>
          <w:sz w:val="17"/>
          <w:szCs w:val="17"/>
          <w:i w:val="1"/>
          <w:iCs w:val="1"/>
          <w:color w:val="auto"/>
        </w:rPr>
        <w:t>"—If we fail to estimate, price for and manage medical expenses in an effective manner, the profitability of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Insurance and Non-Insurance businesses could decline, which could materially and adversely affect our results of operations, financial condition, and cash flows."</w:t>
      </w:r>
    </w:p>
    <w:p>
      <w:pPr>
        <w:spacing w:after="0" w:line="3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Our future performance also depends on utilizing our clinical care capabilities to improve the quality of care for our members so that they remain members. If we are unable to retain our members, our ability to realize the returns on our investments in the Clover Assistant platform could be negatively affected. For example, since returning members tend to have lower MCR than do new members, rapid membership growth or other shifts in the mix of new and returning members could adversely affect our MCR in the near-term and lead to greater losses.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achieve or increase profitability.</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adoption and use of Clover Assistant is lower than we expect, our growth may slow or stall. We may experience a decline in our Lives under Clover Management, and our results of operations could be adversely affected.</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 important part of our growth strategy is to increase adoption and use of Clover Assistant, including by providers who also use EHR systems. We have directed, and intend to continue to direct, a significant portion of our financial and operating resources toward developing Clover Assistant platform and expanding its usage. There can be no assurance that adoption of Clover Assistant will continue to grow, or that rates of use will be maintained or increase. A number of factors could potentially negatively affect provider adoption and use of Clover Assistant, including but not limited to:</w:t>
      </w:r>
    </w:p>
    <w:p>
      <w:pPr>
        <w:spacing w:after="0" w:line="65" w:lineRule="exact"/>
        <w:rPr>
          <w:sz w:val="20"/>
          <w:szCs w:val="20"/>
          <w:color w:val="auto"/>
        </w:rPr>
      </w:pPr>
    </w:p>
    <w:p>
      <w:pPr>
        <w:ind w:left="940" w:hanging="313"/>
        <w:spacing w:after="0" w:line="292"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convincing providers of the value, benefits, and usefulness of Clover Assistant, and continued physician participation in the Clover Assistant program, particularly in markets where we have fewer beneficiaries;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integrate with EHR systems;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attract, effectively train and retain effective sales and marketing personnel;</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develop or expand relationships with strategic partners;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capitalize on co-branding opportunities;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implementation of CMS interoperability requirements;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scheduling meetings with providers, and providing demonstrations and trainings related to Clover Assistant;</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or other problems impacting availability or reliability of the platform, including limited broadband access in certain rural areas;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for members and Non-Insurance Beneficiaries in accessing their Providers and a corresponding decrease in the number of primary care visits;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communication, safety, security or other similar concerns;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our platform that are mandated by, or that we elect to make, to address legislation, regulatory authorities or litigation;</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poor user experiences;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brand recognition.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2" w:name="page23"/>
    <w:bookmarkEnd w:id="22"/>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if we are unable to enroll a sufficient number of patients of a particular physician or provider group in our MA plans, we may have difficulty motivating such physician or provider group to utilize Clover Assistant, which is not available for use with non-Clover members. Furthermore, if we are unable to address the needs of providers using Clover Assistant, if providers are dissatisfied with Clover Assistant, or if new alternative solutions effectively compete with us, providers may decline to use Clover Assistant.</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If Clover Assistant is not adopted as quickly as we anticipate in the markets in which we operate, we may be unable to collect and provide valuable actionable data to providers treating our beneficiaries in such markets, which could prevent us from driving significant reductions in MCR for our beneficiaries in such markets. Additionally, the reduction in ACO REACH Beneficiaries following our exit from the ACO REACH Program may affect our ability to realize the returns on our investments in the Clover Assistant platform because we will have less beneficiary data to generate provider-focused machine learning, artificial intelligence, and rules-based insights. This would in turn curtail our ability to offer competitively priced MA Plans and realize shared savings against the Non-Insurance benchmark in such markets. Any such events could result in higher medical expenses and reduced cash flows. As a result, if we are unsuccessful in our efforts to drive adoption of Clover Assistant, our business, results of operations, and financial condition could be harmed.</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ability to attract new users and retain existing users of Clover Assistant also depends in large part on our ability to continually enhance and improve its features, integrations, and capabilities to continue to provide a useful tool for providers. Accordingly, we must continue investing resources in improving and enhancing Clover Assistant. The success of any enhancement to Clover Assistant will depend on several factors, including timely completion and delivery, adequate quality testing, integration with existing technologies, adequate training of and messaging to providers, and overall market acceptance for those or other reasons. Any new features, integrations, and capabilities that we develop may not be introduced in a timely or cost-effective manner, may contain errors, failures, vulnerabilities, or bugs, or may not achieve market acceptance.</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estimate, price for and manage medical expenses in an effective manner, the profitability of our Insurance and Non-Insurance businesses could decline, which could materially and adversely affect our results of operations, financial condition, and cash flows.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Through our MA plans, we assume the risk of both the cost of medical services for our members, or medical expenses, and administrative costs for our members in return for monthly premiums, which we are paid by the CMS on a per member basis. The Patient Protection and Affordable Care Act ("ACA") requires that we spend at least 85% of those premiums on healthcare services, covered benefits, and quality improvement efforts, and we generally use at least 85% of our premium revenues to pay for these costs. Our ability to enhance the profitability of our Insurance and Non-Insurance businesses depends in significant part on our ability to predict, price, and effectively manage medical costs, which are affected by utilization rates, the cost of service and the type of service rendered.</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Through our former Non-Insurance business, we assumed full risk (i.e., 100% shared savings and shared losses) for the total cost of care of Non-Insurance Beneficiaries, with the exception of certain CMS risk mitigation mechanisms (i.e., the optional stop-loss program and the mandatory risk corridor program). On December 1, 2023, we notified CMS of our decision to exit the ACO Reach Program, and our final settlement with respect to 2023 participation in that program is anticipated to occur in the second half of 2024.</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Two key factors in our ability to manage medical expenses are the adoption of Clover Assistant by the providers who treat our members and Non-Insurance Beneficiaries (collectively, the "Providers") and enrollment in our clinical care programs, including our in-home primary care program ("Clover Home Care"), by our most at-risk members. By driving adoption of Clover Assistant by our Providers, we seek to promote the provision of high-quality medical care driven by real-time, personalized and actionable insights to healthcare providers. If we fail to drive adoption of Clover Assistant by our Providers or fail to accurately identify beneficiaries at high risk for near-term hospitalization for our complex care management program, we could fail to drive significant reductions in MCR for our members, which would have a material and adverse effect on our business, financial condition, and results of operation.</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the introduction of new or costly drugs, treatments and technology; new treatment guidelines; new mandated benefits (such as the expansion of essential benefits coverage) or other regulatory changes; and insured population characteristics. While we believe Clover Assistant may enable us to make better predictions regarding future medical costs, there can be no assurance that better predictions will be made or that we would be able to realize the benefits of those predictions.</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MA and Medicare Part D plans are also subject to risks associated with increased medical or pharmaceutical costs. Business models for market participants involved in the financing and supply of pharmaceutical products rely on certain benchmarks and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23" w:name="page24"/>
    <w:bookmarkEnd w:id="23"/>
    <w:p>
      <w:pPr>
        <w:jc w:val="both"/>
        <w:spacing w:after="0" w:line="264" w:lineRule="auto"/>
        <w:rPr>
          <w:sz w:val="20"/>
          <w:szCs w:val="20"/>
          <w:color w:val="auto"/>
        </w:rPr>
      </w:pPr>
      <w:r>
        <w:rPr>
          <w:rFonts w:ascii="Times New Roman" w:cs="Times New Roman" w:eastAsia="Times New Roman" w:hAnsi="Times New Roman"/>
          <w:sz w:val="17"/>
          <w:szCs w:val="17"/>
          <w:color w:val="auto"/>
        </w:rPr>
        <w:t>practices (e.g., pricing based on Average Wholesale Price, or the use of Maximum Allowable Cost lists). It is uncertain how these business models will evolve and whether other pricing benchmarks will be introduced and widely adopted. Legislation may also lead to changes in the pricing for the Medicare Advantage program. While we believe we have adequately reviewed our assumptions and estimates regarding these complex and wide-ranging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spacing w:after="0" w:line="1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CMS' risk adjustment payment system makes our revenues and profitability difficult to predict and could result in material retroactive adjustments to our results of operations.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CMS has implemented a risk adjustment payment system for Medicare health plans to improve the accuracy of payments and establish appropriate compensation for Medicare plans that enroll and treat less healthy Medicare beneficiaries. CMS' risk adjustment model bases a portion of the total CMS reimbursement payments on various clinical and demographic factors, including hospital inpatient diagnoses, diagnosis data from hospital outpatient facilities and provider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conversely, if the data incorrectly understates the health risk of our members, we might be underpaid for the care that we must provide to our members. Either of those situations could harm our reputation and have a negative impact on our results of operations and financial condition. This risk could be exacerbated by changes recently announced by CMS pertaining to certain of its audits of Medicare Advantage plans that will allow it to extrapolate audit findings to calculate contract-level overpayments that plans may be required to return to the government. These and related changes could increase the potential exposure that plans, such as ours, face from such audits. CMS may also change the way that it measures risk or adjust risk scores, and the potential impact on any such changes on our business is difficult to predict. Indeed, CMS proposed changes to its risk adjustment methodology in the recently released Advance Notice of Methodological Changes for Calendar Year 2024 for Medicare Advantage Capitation Rates and Part C and Part D Payment Policies. We are in the process of fully evaluating these proposed changes which, if they are effected, could have a material adverse effect on our results of operations, financial condition, or cash flows.</w:t>
      </w:r>
    </w:p>
    <w:p>
      <w:pPr>
        <w:spacing w:after="0" w:line="200" w:lineRule="exact"/>
        <w:rPr>
          <w:sz w:val="20"/>
          <w:szCs w:val="20"/>
          <w:color w:val="auto"/>
        </w:rPr>
      </w:pP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CMS makes premium payments to MA plans based on approved bids, which are risk-adjusted to account for members' known demographic and health status information. As prescribed by CMS, the premium is retroactively adjusted on two separate occasions to account for shifts in the diagnosis collection periods. We calculate estimates for these retroactive payment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In payment year 2020, 50% of the risk score was calculated from data submitted through RAPS and 50% from data submitted through EDS. CMS gradually increased the EDS percentage to 75% of the risk score for payment 2021 and ultimately transitioned to 100% EDS data for payment year 2022.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condition, or 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to support business growth, and this capital might not be available on acceptable terms, or at all.</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Historically, we have financed our operations and capital expenditures principally from the sale of our equity securities, MA premiums earned, Non-Insurance revenue, and the incurrence of indebtedness. In the future, we may be required to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credit markets and capital markets, and other volatility or disruptions impacting financial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4" w:name="page25"/>
    <w:bookmarkEnd w:id="24"/>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succeed in expanding the number of members under our MA plans, our business, financial condition, and results of operations could be harmed.</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derive substantially all of our Total revenues from premiums earned, which is primarily driven by the number of members under our MA plans. Additionally, the number of Lives under Clover Management is critical to our success, and we are continually executing several growth initiatives, strategies, and operating plans designed to increase the number of Lives under Clover Management. We may not be able to successfully execute on these growth initiatives, strategies, and operating plans and realize all of the expected potential benefits, including achieving cost savings, better plan economics and more affordable healthcare. In addition, even if we are successful in achieving this growth, doing so may be more costly than we anticipate, and if we are not able to manage our costs our results could be materially adversely affected. See the section entitled "</w:t>
      </w:r>
      <w:r>
        <w:rPr>
          <w:rFonts w:ascii="Times New Roman" w:cs="Times New Roman" w:eastAsia="Times New Roman" w:hAnsi="Times New Roman"/>
          <w:sz w:val="17"/>
          <w:szCs w:val="17"/>
          <w:i w:val="1"/>
          <w:iCs w:val="1"/>
          <w:color w:val="auto"/>
        </w:rPr>
        <w:t>—If we fail to estimate, price for and manage medical expenses in an effective manner,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profitability of our Insurance and Non-Insurance businesses could decline, which could materially and adversely affect our results of operations, financial condition, and cash flows.</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While we intend to continue to grow our membership by increasing our share in existing service areas and entering into new service areas, we may not be able to successfully achieve this growth for a number of reasons. Our ability to attract and retain members may be impacted by several factors, including, without limitation:</w:t>
      </w:r>
    </w:p>
    <w:p>
      <w:pPr>
        <w:spacing w:after="0" w:line="60" w:lineRule="exact"/>
        <w:rPr>
          <w:sz w:val="20"/>
          <w:szCs w:val="20"/>
          <w:color w:val="auto"/>
        </w:rPr>
      </w:pPr>
    </w:p>
    <w:p>
      <w:pPr>
        <w:ind w:left="940" w:hanging="313"/>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brand recognition;</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developing strategic co-marketing relationships;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lack of shopping for plans by MA eligible beneficiaries;</w:t>
      </w:r>
    </w:p>
    <w:p>
      <w:pPr>
        <w:spacing w:after="0" w:line="116" w:lineRule="exact"/>
        <w:rPr>
          <w:rFonts w:ascii="Times New Roman" w:cs="Times New Roman" w:eastAsia="Times New Roman" w:hAnsi="Times New Roman"/>
          <w:sz w:val="17"/>
          <w:szCs w:val="17"/>
          <w:color w:val="auto"/>
        </w:rPr>
      </w:pPr>
    </w:p>
    <w:p>
      <w:pPr>
        <w:jc w:val="both"/>
        <w:ind w:left="940" w:hanging="313"/>
        <w:spacing w:after="0" w:line="285"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shifting consumer preferences, including a preference by members to enroll with an MA plan sponsored by the insurer of the commercial plan in which they enrolled before they became eligible for Medicare, and a preference by members to enroll in various special needs plans, which we do not offer;</w:t>
      </w:r>
    </w:p>
    <w:p>
      <w:pPr>
        <w:spacing w:after="0" w:line="262"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to effectively compete and offer low cost and high value plans;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establishing an attractive network in new markets;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changes affecting the overall pool of MA eligible beneficiaries;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growing our provider networks and contracting with providers and medical facilities on competitive terms.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 on the network of doctors that HMO members can see. Other providers participating in Medicare may choose to see no members or only members participating in specific plans. It is also possible that Original Medicare or other insurers' MA plans may offer better provider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an MA plan from us.</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growth in our membership is highly dependent upon our success in attracting new members during the Medicare annual enrollment period and open enrollment period. If our ability or the ability of our partners to 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or issues with government-run health insurance exchanges, we could acquire fewer new members than expected or suffer a reduction in the number of our existing members. Our business, results of operations, and financial condition could be harmed by any of these factors.</w:t>
      </w:r>
    </w:p>
    <w:p>
      <w:pPr>
        <w:spacing w:after="0" w:line="19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As a result, we cannot assure you that we will be able to increase our number of Lives under Clover Management or assure you about the extent to which we will be able to achieve beneficiary growth.</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members and Non-Insurance Beneficiaries remain concentrated in certain geographic areas and populations, which exposes us to unfavorable changes in local benefit costs, reimbursement rates, competition, and economic conditions.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members and Non-Insurance Beneficiaries remain concentrated in certain geographic areas in the United States and in certain populations. Many are low-income, and a significant number are people of color. At December 31, 2023, approximately 87.0% of our MA members, most of whom were in two metropolitan areas, were residents of New Jersey. Unfavorable changes in healthcare or other benefit costs or reimbursement rates or increased competition in these states or any other geographic area where our members and Non-Insurance Beneficiaries become concentrated in the future could therefore have a disproportionately adverse effect on our results of operations.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5" w:name="page26"/>
    <w:bookmarkEnd w:id="25"/>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be adversely affected if we are unable to grow our provider networks or contract with providers, medical facilities, and other entities on competitive terms.</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Non-Insurance Beneficiaries and attract additional beneficiaries, our provider networks, including those providers participating in Medicare and willing to see our beneficiaries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That could have a material adverse effect on our business, financial condition, and results of operations.</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Clover Assistant by providers as well as lead to higher costs, healthcare provider network disruptions and less attractive options for our beneficiaries. Any of these factors could have a material adverse effect on our business, financial condition, and results of operations.</w:t>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effectively manage our growth, which could have a material adverse effect on our business, financial condition, and results of operation.</w:t>
      </w:r>
    </w:p>
    <w:p>
      <w:pPr>
        <w:spacing w:after="0" w:line="200" w:lineRule="exact"/>
        <w:rPr>
          <w:sz w:val="20"/>
          <w:szCs w:val="20"/>
          <w:color w:val="auto"/>
        </w:rPr>
      </w:pP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we are unable to manage our growth effectively, through, for example, an unexpected increase in members, a rapid expansion in geographies served, or a sudden growth in hiring, we may incur unexpected expenses, which could materially adversely affect our business, financial condition, and results of operations. To manage our current and anticipated future growth effectively, we must continue to maintain and enhance our information technology ("IT"),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The availability of such personnel, in particular software engineers, may be constrained. This will require us to invest in and commit significant financial, operational, and management resources to grow and change in these areas which may disrupt our operations and performance and adversely affect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and if we are not able to compete effectively, our business, financial condition, and results of operations will be harmed.</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markets for MA plans and related products are highly competitive. We compete in certain segments within the healthcare market, including MA plans as well as other healthcare technology platforms, and the FFS market. Competition in our market involves rapidly changing technologies, evolving regulatory requirements and industry expectations, new product offerings and constantly evolving beneficiary and provider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Centene, and Elevance Health that provide MA plans, as well as regional-based companies or health plans that provide MA plans, including Blue Cross Blue Shield affiliates, Alignment Health, Devoted Health, Oscar Health, hospital systems, and provider-based organizations. Competition from these and other new entrants may intensify as the FFS market develops and business models evolve to address it.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provider users and beneficiaries, develop and deliver innovative and potentially disruptive products and services to satisfy evolving market demands, or develop and recruit qualified physicians and other provider specialists, we may not remain competitive, and we risk inability to maintain or increase our Lives under Clover Management, lack of adoption of our products and services by beneficiaries and provider users, and loss of current market share to existing competitors and disruptive new market entrants.</w:t>
      </w:r>
    </w:p>
    <w:p>
      <w:pPr>
        <w:spacing w:after="0" w:line="200" w:lineRule="exact"/>
        <w:rPr>
          <w:sz w:val="20"/>
          <w:szCs w:val="20"/>
          <w:color w:val="auto"/>
        </w:rPr>
      </w:pPr>
    </w:p>
    <w:p>
      <w:pPr>
        <w:spacing w:after="0" w:line="2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Any one of these competitive pressures in our market, or our failure to compete effectively, may result in fewer plans being offered; a reduction in plan benefits; reduced services; a loss of existing beneficiaries or inability to grow our number of beneficiaries; fewer provider users; reduced revenues; lower gross margins; and loss of market share. Any failure to meet and address these competitive factors would harm our business,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compete with larger companies that may have stronger brands, and consolidation among competitors would increase competition.</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Some of our competitors have greater name recognition, longer operating histories, stronger and more extensive provider networks and other partner relationships, significantly greater financial, technical, marketing, and other resources, lower labor and development costs, greater access to healthcare data and larger beneficiary bases than we do. These competitors may engage in more extensive research and development efforts, undertake more far-reaching marketing campaigns, and adopt more aggressive pricing or payment policies that could allow them to build larger beneficiary bases or provider networks than we have. Our competitors may also provide more desirable products or services or take better care of their beneficiaries.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 the healthcare industry in the United States has experienced a substantial amount of consolidation in recent years, resulting in a decrease in the number of insurance carriers, providers, and payors.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beneficiary base, a stronger and larger provider network, more widely adopted proprietary technologies, greater ability to care for their beneficiaries,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members may purchase competitive plans in lieu of purchasing our health plans, or providers may adopt competing technology platforms in lieu of Clover Assistant. Any such events could adversely affect our business, financial condition, and results of operations.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estimate incurred but not reported claims accurately would affect our results of operations.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Due to the time lag between when medical services are actually rendered by our providers and when we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beneficiaries,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we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Estimating and accounting for Medicare Part D costs involves certain regulatory calculations that carry inherent risks. Should these estimates and assumptions deviate from actual outcomes, it could negatively impact our operational results.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With respect to our CMS contracts that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CMS requiring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Reinsurance and low-income cost subsidies represent payments from CMS in connection with the Medicare Part D program for which we assume no risk. Reinsurance subsidies represent payments for CMS' portion of claims costs that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 prospective subsidies against actual prescription drug costs we paid is made after the end of the applicable year.</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 claims edit processes due to various reasons, including discrepancies in eligibility or classification of low-income members. To the extent our data does not pass CMS' claim edit processes, we may bear the risk for all or a portion of the claim that otherwise may have been subject to the risk corridor provision or forgo payments we would have otherwise received as a low-income subsidy or reinsurance claim. In addition, if the settlement represents an amount CMS owes us, there is a negative impact on our cash flows and financial condition as a result of financing CMS' share of the risk. The opposite is true in the event the settlement represents an amount we owe CMS. If our estimates or assumptions related to our financial accounting for these benefits prove incorrect or insufficient, our results of operations could be adversely affected.</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expand our sales and marketing infrastructure or if we fail to overcome challenges relating to marketing of our Insurance business and Non-Insurance business, we may fail to enroll sufficient beneficiaries to meet our forecasts.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and will continue to be highly dependent on the ability of our sales force to adequately promote and market our Insurance business MA plans to enroll new members and retain our existing members, and to successfully market our Non-Insurance business. If our sales and marketing representatives fail to achieve their objectives, our Lives under Clover Management could decrease or may not increase at levels that are in line with our expectations. This could adversely impact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7"/>
          <w:szCs w:val="17"/>
          <w:color w:val="auto"/>
        </w:rPr>
        <w:t>If we are not successful at converting the opportunities presented by new distribution channels and access to local markets, we may not be able to grow our number of beneficiaries or our plans as quickly as we need to, or at all. For example, if insurance brokers and field marketing organizations choose not to market and sell our plans, our business and results of operations would be adversely affected. In addition to the financial impact of having fewer beneficiaries than we anticipated, if we do not grow our Lives under Clover Management,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Clover Assistant. This, in turn, could compromise our ability to deliver on our goals of using Clover Assistant to decrease costs and improve care.</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 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addition to the challenges to expand our sales and marketing efforts, we face significant challenges generally in our marketing efforts. We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In addition, as one of the newest entrants in the MA business, we face certain disadvantages in free marketing channels provided by the federal government. For example, the Medicare Plan Finder, which provides Medicare-eligible beneficiaries a place to 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offerings. Incumbents in the MA business may, therefore, have increased visibility in this marketing channel and in similar marketing channels, which could reduce our take rate and negatively affect our business, results of 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expectations.</w:t>
      </w:r>
    </w:p>
    <w:p>
      <w:pPr>
        <w:spacing w:after="0" w:line="2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develop widespread brand recognition or are unable to maintain or enhance our reputation, our business, financial condition, and results of operations will be harmed.</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believe that developing widespread brand recognition and maintaining and enhancing our reputation is critical to our relationships with existing providers and beneficiaries, and to our ability to attract new providers and beneficiaries to our platform and offerings.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revenues may not offset the expenses we incur, and our results of operations could be harmed. In addition, any factor that diminishes our reputation or that of our management, including failing to meet the expectations of our providers or beneficiaries, could harm our reputation and brand and make it substantially more difficult for us to attract new providers or beneficiaries. If we do not successfully develop widespread brand recognition and maintain and enhance our reputation, our business may not grow and we could lose our relationships with providers or beneficiaries, which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9" w:name="page30"/>
    <w:bookmarkEnd w:id="29"/>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do not continue to innovate and provide services that are useful to our beneficiaries and providers, we may not remain competitive, and our business, financial condition, and results of operations could suffer.</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beneficiary and provider user requirements, and sustain and grow market acceptance. Our future financial performance will depend in part on our growth in this market and on our ability to adapt to emerging market demands, including adapting to the ways our beneficiaries access and use our MA plans and clinical care programs, and the ways our providers use Clover Assistant. Our competitors may develop products and services that may appeal more to our beneficiaries and/or providers. As a result, we must continue to invest significant resources in research and development in order to enhance our existing platform and introduce new high-quality products and features that our beneficiaries and providers will want, while offering our MA plans at competitive prices. In particular, achieving and maintaining broad market acceptance of our MA plans and our products, including Clover Assistant, could be negatively affected by many factors, including:</w:t>
      </w:r>
    </w:p>
    <w:p>
      <w:pPr>
        <w:spacing w:after="0" w:line="71" w:lineRule="exact"/>
        <w:rPr>
          <w:sz w:val="20"/>
          <w:szCs w:val="20"/>
          <w:color w:val="auto"/>
        </w:rPr>
      </w:pPr>
    </w:p>
    <w:p>
      <w:pPr>
        <w:ind w:left="940" w:hanging="313"/>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member and provider needs and preferences;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evidence supporting the ease-of-use, cost savings or other perceived benefits of our MA plans;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evidence supporting the ease-of-use, costs savings or other perceived benefits of our Clover Assistant platform over competitive products and technology platforms; and</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risks associated with the use of our Clover Assistant platform, similar products or technologies generally.</w:t>
      </w:r>
    </w:p>
    <w:p>
      <w:pPr>
        <w:spacing w:after="0" w:line="2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our Clover Assistant platform may be perceived by our providers,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Clover Assistant until there is enough evidence to convince them to alter their current approach or until the number of Clover beneficiaries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offer high-quality customer support, our business, results of operations, and reputation could suffer.</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business is dependent upon providing high-quality customer support and service to both our beneficiaries and providers. In particular, our ability to attract and retain membership is dependent upon providing cost effective, quality customer service operations, such as call center operations and claim processing, that meet or exceed our beneficiaries' expectations. We depend on third parties for certain of our customer service operations. If we or our vendors fail to provide service that meets our beneficiaries' expectations, we may have difficulty retaining our Lives under Clover Management, which could adversely affect our business, financial condition, and results of operations.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While we have designed Clover Assistant to be easy to adopt and use, once providers begin using it, they rely on our support services to resolve any platform issues. High-quality user education and customer experience have been key to the adoption of Clover Assistant. We expect the importance of high-quality customer experience to increase as we expand our business and pursue new provider users. Any failure to maintain high- quality customer experience, or a market perception that we do not maintain high-quality customer experience, could harm our reputation and our ability to grow the number of users of our platform. This could in turn harm our business, results of operations, and financial condition. Additionally, as the number of providers using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 or perceived errors, failures, vulnerabilities, or bugs in Clover Assistant would harm our business, results of operations, and financial condition.</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software technology underlying and integrating with Clover Assistant is inherently complex and may contain material defects or errors. Errors, failures, vulnerabilities, or bugs have in the past, and may in the future, occur in Clover Assistant, especially when updates are deployed or new features, integrations, or capabilities are rolled out. For example, if the clinical features or suggestions provided through Clover Assistant were to fail, our systems could experience data loss and/or providers may become frustrated with Clover Assistant, which in turn may affect retention and adoption of Clover Assistant by providers. Additionally, if a bug was discovered in Clover Assistant that made Clover Assistant vulnerable to malicious attacks or exposed our beneficiary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0" w:name="page31"/>
    <w:bookmarkEnd w:id="30"/>
    <w:p>
      <w:pPr>
        <w:jc w:val="both"/>
        <w:spacing w:after="0" w:line="264" w:lineRule="auto"/>
        <w:rPr>
          <w:sz w:val="20"/>
          <w:szCs w:val="20"/>
          <w:color w:val="auto"/>
        </w:rPr>
      </w:pPr>
      <w:r>
        <w:rPr>
          <w:rFonts w:ascii="Times New Roman" w:cs="Times New Roman" w:eastAsia="Times New Roman" w:hAnsi="Times New Roman"/>
          <w:sz w:val="17"/>
          <w:szCs w:val="17"/>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19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may experience system slowdowns and interruptions from time to time. In addition, continued growth in our beneficiary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although we maintain insurance covering certain business interruptions, such coverage may not be sufficient to compensate us for the losses that could occur.</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Issues in the development and use of artificial intelligence ("AI"), combined with an uncertain regulatory environment, may result in reputational harm, liability, or other adverse consequences to our business operations.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use machine learning and artificial intelligence ("AI") technologies as part of our Clover Assistant platform, and we are making investments in expanding our artificial intelligence capabilities in our products, services, and tools, including ongoing deployment and improvement of existing machine learning and AI technologies, as well as developing new product features using AI technologies, including, for example, generative AI. AI technologies are complex and rapidly evolving, and we face significant competition from other companies as well as an evolving regulatory landscape. The introduction of AI technologies into new or existing products may result in new or enhanced governmental or regulatory scrutiny (such as the recent White House executive order on the development and use of AI and other proposed state and federal regulations), litigation, confidentiality or security risks, ethical concerns, legal liability, or other complications that could adversely affect our business, reputation, or financial results.</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Uncertainty around new and emerging AI technologies, such as generative AI,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member data with AI technologies, which may be costly and could impact our expenses if we use generative AI in our product offerings. AI technologies incorporated into our product offerings may use algorithms, datasets, or training methodologies that may be flawed or contain deficiencies that may be difficult to detect during testing. Failure to properly address any legal or ethical and social issues in the development and use of our AI technologies could slow adoption of AI in our product offerings. AI technologies, including generative AI, may create content that appears correct but is factually inaccurate, flawed or biased. The Clover Assistant platform may rely on or use such content to our detriment, or it may lead to discriminatory or other adverse outcomes, which may expose us to brand or reputational harm, competitive harm, regulatory investigations, and/or legal liability. The use of AI technologies presents emerging ethical and social issues, and if we enable or offer solutions that draw scrutiny or controversy due to their perceived or actual impact on customers or on society as a whole, we may experience brand or reputational harm, competitive harm, regulatory investigations, and/or legal liability.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1" w:name="page32"/>
    <w:bookmarkEnd w:id="31"/>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results of operations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predict our operating results and growth rate. Any of these events could cause the market price of our common stock to fluctuate. Factors that may contribute to the variability of our operating results include:</w:t>
      </w:r>
    </w:p>
    <w:p>
      <w:pPr>
        <w:spacing w:after="0" w:line="65" w:lineRule="exact"/>
        <w:rPr>
          <w:sz w:val="20"/>
          <w:szCs w:val="20"/>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the enrollment periods and related sales and marketing expenses;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risk adjustments;</w:t>
      </w:r>
    </w:p>
    <w:p>
      <w:pPr>
        <w:spacing w:after="0" w:line="116" w:lineRule="exact"/>
        <w:rPr>
          <w:rFonts w:ascii="Times New Roman" w:cs="Times New Roman" w:eastAsia="Times New Roman" w:hAnsi="Times New Roman"/>
          <w:sz w:val="17"/>
          <w:szCs w:val="17"/>
          <w:color w:val="auto"/>
        </w:rPr>
      </w:pPr>
    </w:p>
    <w:p>
      <w:pPr>
        <w:ind w:left="940" w:hanging="313"/>
        <w:spacing w:after="0" w:line="266"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or loss of large hospital and healthcare systems in our provider network, including due to acquisitions or consolidations of such systems;</w:t>
      </w:r>
    </w:p>
    <w:p>
      <w:pPr>
        <w:spacing w:after="0" w:line="302"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recognition of revenues, including possible delays in the recognition of revenues;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the size and composition of our in-house clinician program relative to the level of demand for services from our members;</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the development or acquisition of technologies or businesses and potential future charges for impairment of goodwill from acquired companies;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and/or delays in rolling out technology or platform updates;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 or interruptions in Clover Assistant;</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provider adoption of Clover Assistant;</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breaches of information security or privacy, and any associated fines or penalties or damage to our reputation;</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qualified personnel, including for our in-house clinician program;</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provider and payment systems;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legislative or regulatory environment, including with respect to healthcare, telehealth, privacy, or data protection, or enforcement by government regulators, including fines, orders, sanctions, or consent decrees;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potential outcomes of ongoing or future regulatory audits, investigations, or litigation;</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and our competitors' pricing policies;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business or macroeconomic conditions.</w:t>
      </w:r>
    </w:p>
    <w:p>
      <w:pPr>
        <w:spacing w:after="0" w:line="23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impact of one or more of the foregoing and other factors may cause our results of operations to vary significantly. As such, we believe that quarter-to-quarter and year-to-year comparisons of our operating results may not be meaningful and should not be relied upon as an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2" w:name="page33"/>
    <w:bookmarkEnd w:id="32"/>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Market, regulatory and political conditions, including global economic conditions, rates of inflation and political developments in the United States and abroad, may have adverse consequences on our business, financial condition and share price.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business may be affected by conditions and trends in the financial markets and general economic and political conditions. The global economy, including credit and financial markets, has experienced extreme volatility and disruptions, higher cost of human capital, geopolitical uncertainty and instability, including heightened rates of inflation, higher interest rates, changes in tax policy and uncertainty about economic stability. The U.S. federal government and other governments may reduce funding for health care or other programs or make changes that adversely affect the number of persons eligible for certain programs, the services provided to enrollees in such programs and premiums we can charge. Any of these factors could have a material adverse effect on our businesses, results of operations, and cash flows. In addition, the failure of the U.S. federal government to manage its fiscal matters or to raise or further suspend the debt ceiling, and changes in the amount of federal debt, may negatively impact the economic environment, curtail spending on health and health care related matters and adversely impact our results of operations. Furthermore, on August 16, 2022, the U.S. enacted the Inflation Reduction Act of 2022, which, among other things, may significantly impact the health insurance industry. We are continuing to determine the potential effects that this legislation and others may have on our business and operating results. Any such volatility and disruptions, or a general sustained economic downturn or other developments, may have adverse consequences on us or on our third party relationships (including relationships with vendors and health care providers).</w:t>
      </w:r>
    </w:p>
    <w:p>
      <w:pPr>
        <w:spacing w:after="0" w:line="20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estimates of market opportunity and forecasts of market growth may prove to be inaccurate; even if the markets in which we compete achieve the forecasted growth, our business could fail to grow at similar rates, if at all.</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they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beneficiaries and providers and potential beneficiaries and providers than competing MA plans. If these assumptions prove inaccurate, our business, financial condition, and results of operations could be adversely affected.</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and our affiliated professional entities may be subject to professional liability claims and, if these claims are successful, substantial damage awards. With respect to Clover Home Care, the direct provision of healthcare services by certain of our subsidiaries involves risks arising from medical malpractice claims relating to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pose certain risks to our business that may be different from risks associated with our domestic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direct operations in Hong Kong and Canada, as well as contracted operations in other countries including the Philippines, Colombia, India, the UK,</w:t>
      </w:r>
    </w:p>
    <w:p>
      <w:pPr>
        <w:spacing w:after="0" w:line="2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Mexico, New Zealand, Uruguay and the Dominican Republic</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We may in the future expand our operations to other countries. Substantially all of our software research and development is performed internationally, by internal resources and a variety of offshore vendors in locations such as Hong Kong and India. While these arrangements may lower operating costs, they also subject us to the uncertain political climates, including political unrest and uncertainty in Hong Kong, such as Hong Kong national security law and other developments, and potential disruptions in international trade, including export control laws (such as deemed export restrictions applicable to software) and any amendments to those laws, as well as potentially increased data security and privacy risks and local economic and labor conditions.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If we are unable to leverage our full software development team, this may result in decreased ability to innovate and maintain Clover Assistant and carry out health plan data operations, which may in turn lead to adverse effects on our business, financial conditions and results of operations. Additionally, we conduct certain of our call center operations in the Philippines and work with a company in India for claims processing and coding. Our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or political or economic instability in these countries or regions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and results of operations.</w:t>
      </w:r>
    </w:p>
    <w:p>
      <w:pPr>
        <w:spacing w:after="0" w:line="2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insurance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Compliance with applicable U.S. and foreign laws and regulations, such as import and export requirements, anti-corruption laws, tax laws, foreign exchange controls, data privacy and data localization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Furthermore, fluctuations or weakness of the U.S. dollar in relation to the currencies used in these foreign countries may also reduce the savings achievable through our strategy of contracting out certain services and could have an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failure to successfully manage our international operations and the associated risks effectively could limit the future growth of our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4" w:name="page35"/>
    <w:bookmarkEnd w:id="34"/>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conduct business in various jurisdictions and we are subject to significant expenses and risks related to compliance with state licensure requirements, which could impact our business and results of operations.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State regulators require us to maintain a valid license in each state in which we transact health insurance business, maintain minimum amounts of capital and surplus. They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to, among other things:</w:t>
      </w:r>
    </w:p>
    <w:p>
      <w:pPr>
        <w:spacing w:after="0" w:line="69" w:lineRule="exact"/>
        <w:rPr>
          <w:sz w:val="20"/>
          <w:szCs w:val="20"/>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and revoke licenses to transact insurance business;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compliance with minimum capital and surplus requirements;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inquiries into the insurance-related activities and conduct of agents and agencies;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and regulate disclosure in connection with the sale and solicitation of health insurance;</w:t>
      </w:r>
    </w:p>
    <w:p>
      <w:pPr>
        <w:spacing w:after="0" w:line="116" w:lineRule="exact"/>
        <w:rPr>
          <w:rFonts w:ascii="Times New Roman" w:cs="Times New Roman" w:eastAsia="Times New Roman" w:hAnsi="Times New Roman"/>
          <w:sz w:val="17"/>
          <w:szCs w:val="17"/>
          <w:color w:val="auto"/>
        </w:rPr>
      </w:pPr>
    </w:p>
    <w:p>
      <w:pPr>
        <w:ind w:left="940" w:hanging="313"/>
        <w:spacing w:after="0" w:line="266"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how, by which personnel and under what circumstances insurance premiums can be quoted and published and insurance policies can be sold;</w:t>
      </w:r>
    </w:p>
    <w:p>
      <w:pPr>
        <w:spacing w:after="0" w:line="302"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which entities can be paid commissions from carriers and the circumstances under which they may be paid;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 the content of insurance-related advertisements, including web pages, and other marketing practices;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policy forms, require specific benefits and benefit levels, and regulate premium rates;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fines and other penalties;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continuing education requirements.</w:t>
      </w: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we must ensure that our agents have received all licenses, appointments, and certifications required by state authorities in order to transact business.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These events could significantly increase our operating expenses, result in the loss of carrier relationships and our commission revenue, and otherwise harm our business, results of operations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 and our business, results of operations, and financial condition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5" w:name="page36"/>
    <w:bookmarkEnd w:id="35"/>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providers for computing infrastructure, network connectivity, and other technology-related services needed to deliver our technology platform and products. Any disruption in the services provided by such third-party providers could adversely affect our business and subject us to liability.</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beneficiaries and provider users, and we may lose beneficiaries and provider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establish more favorable relationships with our competitors, or change or interpret their terms of service or policies in a manner that is unfavorable with respect to us, or if we are unable to renew any agreement on commercially reasonable terms, we may be required to transfer our servers and other infrastructure to a different service provider, and our business, results of operations, and financial condition could be harmed. This may result in significant additional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 service levels could adversely affect our reputation or result in lengthy interruptions in our services and negatively affect our business.</w:t>
      </w:r>
    </w:p>
    <w:p>
      <w:pPr>
        <w:spacing w:after="0" w:line="2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failure to protect our sites, networks, and systems against security breaches, or otherwise to protect our confidential or health information or the confidential or health information of our beneficiaries, providers, or other third parties, would damage our reputation and brand, and substantially harm our business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beneficiaries,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or the interruption, disruption, or malfunction of our operations, including with respect to telehealth services. As a result, we could incur costs relating to breach remediation, deployment of additional personnel and protection technologies, and response to governmental investigations and media inquiries and coverage; be required to engage third-party experts and consultants; and face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Certain of our third-party service providers provide technology-related services and/or store or have access to our data and may not have effective controls, processes, or practices to protect our information from loss, unauthorized disclosure, unauthorized use or misappropriation, cyberattacks or other data security incidents. A vulnerability in such service providers’ software or systems, a failure in their safeguards, policies or procedures, or a cyber-attack or other data security incident affecting any of these third parties result in harm our business.</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These factors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Any such use of resources diverts resources from the growth and expansion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Our growth depends in part on the success of our strategic relationships with third parties.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We have entered into agreements with our PBM services suppliers to provide us and certain of our beneficiaries with certain PBM services, such as claims processing, mail pharmacy services, specialty pharmacy services, retail network pharmacy network services, participating pharmacy audit services, reporting, and formulary services. In April 2023, we entered into an agreement with UST HealthProof pursuant to which UST HealthProof will perform certain of our plan operation functions in support of our MA members, including claims, enrollment, contact center, medical management, payment integrity, revenue integrity, print, fulfillment, and related configuration and certain IT functions. However, we may be unable to realize all of the expected benefits, including cost savings, in connection with this agreement within the expected time frame, or at all, and we may incur additional and/or unexpected costs to realize them. If the services become unavailable or are not adequately performed, our operations and business strategies could be significantly disrupted which could have a material adverse effect on our business, brand, reputation, and results of operations.</w:t>
      </w:r>
    </w:p>
    <w:p>
      <w:pPr>
        <w:spacing w:after="0" w:line="3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Additionally, if any such agreements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we could become overly dependent on such agreements, which could cause us to lose core competencies and we may not be able to meet the full demands of our beneficiaries. Any of these events could have a material adverse effect on our business, brand, reputation, and results of operations. Furthermore, certain legislative authorities have in recent years discussed or proposed legislation that would restrict outsourcing of certain services.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Clover Assistant. This could decrease the usefulness of Clover Assistant and result in decreased adoption by providers and potentially higher medical costs for our beneficiaries, increased or duplicative costs for us, and our inability to meet our obligations to our beneficiaries; it could also require us to seek alternative service providers on less favorable contract terms, any of which can adversely affect our business, brand, reputation and results of operating.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Identifying partners, and negotiating and documenting relationships with them, requires significant time and resources. In addition, acquisitions of our partners by our competitors could result in a decrease in the number of our beneficiaries and provider users, as our partners may no longer facilitate the enrollment of Medicare-eligible beneficiaries into, or the effective and efficient operations of, our Insurance and Non-Insurance businesses or the adoption of Clover Assistant by providers. If we are unsuccessful in establishing or maintaining our relationships with third parties, our ability to compete in the marketplace or to grow our revenues could be impaired and our results of operations may suffer. Even if we are successful, we cannot assure you that these relationships will result in increased revenues or an increase in the number of beneficiaries or provider users of Clover Assistant.</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execute on our business strategies and growth plans, we must attract and retain highly qualified personnel in our US and international offices, including Hong Kong. The pool of qualified personnel with experience working in the healthcare market, and particularly MA, is limited. As we become a more mature company, we may find our recruiting efforts more challenging. The incentives to attract, retain, and motivate employees provided by our stock options and other equity awards, or by other compensation arrangements, may not be effective. As such, we may not be successful in continuing to attract and retain qualified personnel. Our recruiting efforts may also be limited by laws and regulations, such as restrictive immigration laws, and restrictions on travel or availability of visas. If we fail to attract new personnel or fail to retain and motivate our current personnel, our business and future growth prospects could be severely harmed.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7" w:name="page38"/>
    <w:bookmarkEnd w:id="37"/>
    <w:p>
      <w:pPr>
        <w:jc w:val="both"/>
        <w:spacing w:after="0" w:line="273" w:lineRule="auto"/>
        <w:rPr>
          <w:sz w:val="20"/>
          <w:szCs w:val="20"/>
          <w:color w:val="auto"/>
        </w:rPr>
      </w:pPr>
      <w:r>
        <w:rPr>
          <w:rFonts w:ascii="Times New Roman" w:cs="Times New Roman" w:eastAsia="Times New Roman" w:hAnsi="Times New Roman"/>
          <w:sz w:val="17"/>
          <w:szCs w:val="17"/>
          <w:color w:val="auto"/>
        </w:rPr>
        <w:t>Current macroeconomic, industry and labor market conditions have exacerbated an already highly competitive market for hiring and retaining employees with relevant qualifications and experience. There is an ongoing national labor shortage, particularly for highly qualified personnel. Labor market trends also include high attrition and wage inflation, and some candidates and new personnel may have different expectations from our current workforce.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Moreover, we believe that a critical element of our ability to successfully attract, train and retain qualified personnel is our corporate culture, which we believe fosters innovation, collaboration, diversity and inclusion, and a focus on execution, all in an environment of high ethical standards. Our hybrid/remote work policies may present challenges in maintaining these important aspects of our corporate culture, and a failure to maintain our corporate culture could negatively impact us. Further, we rely on our key personnel to lead with integrity and to meet our high ethical standards that promote excellent performance and cultivate diversity, equity and inclusion. To the extent any of our key personnel were to behave in a way that is inconsistent with our values, including with respect to legal or regulatory compliance, financial reporting or people management, we could experience a materially adverse impact to our reputation and our operating results. If we fail to attract new personnel or fail to retain and motivate our current personnel, our business and future growth prospects could be severely harmed.</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team and other key employees; the loss of one or more of these employees or an inability to attract and retain additional qualified key personnel could adversely affect our business.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We can provide no assurance that any of our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 employees. We also rely on our leadership team in the areas of research and development, marketing, services, and general and administrative functions. The loss and replacement of one or more of our members of senior management or other key employees, including our Chief Executive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beneficiaries, or providers, or any negative press stories about our senior management, may harm our reputation and damage our business prospects. Furthermore, executive officer transitions,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part of our business strategy to expand usage of our Clover Assistant platform, offer our plans in additional markets, extend the provision of in-home care services in those additional markets and grow our business in response to changing technologies, provider and beneficiary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providers, beneficiaries,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the business and results of operations of the combined company would be adversely affected.</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prove to be incorrect, our results of operations could be adversely affected.</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discussed further in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and Note 2 (Summary of Significant Accounting Policies) to the consolidated financial statements included in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This could cause our results of operations to fall below the expectations of securities analysts and investors, resulting in a decline in the trading price of our common stock.</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in the future be, subject to investigations and litigation, which could be costly and time-consuming to defend. The outcomes of these matters cannot be predicted.</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are currently subject to various litigation matters as described in the section entitled "Item 3. Legal Proceedings," and Note 19 (Commitments and Contingencies) to the consolidated financial statements included in this Form 10-K.</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currently, and may in the future be, subject to legal proceedings and claims that arise in the ordinary course of business, such as claims brought by providers, facilities, consultants, and vendors in connection with commercial disputes, or employment claims made by our current or former employees. As previously disclosed, we have received an inquiry from the U.S. Department of Justice ("DOJ"), and also may be, in the future, subject to regular and special governmental market conduct and other audits, investigations, inquiries and/or reviews by/from,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beneficiaries or federally reimbursable healthcare products or services, fraudulent coding practices, billing for unnecessary medical and/or other covered services, improper marketing and violations of patient privacy rights. In recent years, the DOJ and the Department of Health and Human Services Office of Inspector General (the "OIG") have increased their scrutiny of healthcare payers and providers, and Medicare Advantage insurers, under the federal FCA, in particular. There have been a number of investigations, prosecutions, convictions, and settlements in the healthcare industry. CMS and the OIG also periodically perform risk adjustment data validation audits of selected MA health plans to validate the coding practices of and supporting documentation maintained by healthcare providers. Our plans could be selected for such audits, which could result in retrospective adjustments to payments made to our health plans, fines, corrective action plans, or other adverse action by CMS.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39" w:name="page40"/>
    <w:bookmarkEnd w:id="39"/>
    <w:p>
      <w:pPr>
        <w:jc w:val="both"/>
        <w:spacing w:after="0" w:line="260" w:lineRule="auto"/>
        <w:rPr>
          <w:sz w:val="20"/>
          <w:szCs w:val="20"/>
          <w:color w:val="auto"/>
        </w:rPr>
      </w:pPr>
      <w:r>
        <w:rPr>
          <w:rFonts w:ascii="Times New Roman" w:cs="Times New Roman" w:eastAsia="Times New Roman" w:hAnsi="Times New Roman"/>
          <w:sz w:val="17"/>
          <w:szCs w:val="17"/>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business practices to help ensure compliance with CMS risk adjustment requirements and applicable laws, which includes review of Clover Assistant features that may be relevant to patient risk assessments and the submission of risk adjustment data to CMS. We also monitor our physician payment practices to help ensure compliance with applicable laws, such as the Anti-Kickback Statute. While we believe that our risk adjustment data collection efforts and relationships with providers, including those related to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Times New Roman" w:cs="Times New Roman" w:eastAsia="Times New Roman" w:hAnsi="Times New Roman"/>
          <w:sz w:val="17"/>
          <w:szCs w:val="17"/>
          <w:i w:val="1"/>
          <w:iCs w:val="1"/>
          <w:color w:val="auto"/>
        </w:rPr>
        <w:t>Our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activities are highly regulated, and new and proposed government regulation or legislative reforms could increase our cost of doing business and reduce our number of beneficiaries, profitability, and liquidity."</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Litigation and audits, investigations or reviews by governmental authorities or regulators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could adversely affect our results of operations and cash flows, thereby harming our business.</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regulations and contractual requirements applicable to us and other market participants are complex and subject to change, making it necessary for us to invest significant resources to help ensure compliance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Regular and special governmental audits, investigations and reviews, including the DOJ inquiry, could result in changes to our business practices. They could also result in significant or material premium refunds, fines, penalties, civil liabilities, criminal liabilities or other sanctions, including marketing and enrollment sanctions, suspension or exclusion from participation in government programs, and 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Governmental Regulation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Programs funded in whole or in part by the U.S. federal government account for a significant portion of our revenues.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Programs funded in whole or in part by the U.S. federal government account for a significant portion of our Total revenues. As our government funded businesses grow, our exposure to changes in federal and state government policy with respect to and/or regulation of the various government funded programs in which we participate also increases. The laws and regulations governing participation in Medicare Advantage and Medicare Part D are complex, are subject to interpretation and can expose us to penalties for non-compliance. Federal, state and local governments have the right to cancel or not to renew their contracts with us on short notice without cause or if funds are not available. Funding for these programs is dependent on many factors outside our control, including general economic conditions, continuing government efforts to contain health care costs and budgetary constraints at the federal or applicable state or local level and general political issues and priorities. The U.S. federal government and our other government customers also may reduce funding for health care or other programs, cancel or decline to renew contracts with us, or make changes that adversely affect the number of persons eligible for certain programs, the services provided to enrollees in such programs, our premiums and our administrative and health care and other benefit costs, any of which could have a material adverse effect on our businesses, results of operations and cash flows.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0" w:name="page41"/>
    <w:bookmarkEnd w:id="40"/>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derive substantially all of our Total revenues from Medicare Advantage premiums and expect to continue to derive a substantial portion of our Total revenues in the future from Medicare Advantage premiums. Changes or developments in Medicare or the health insurance system and laws and regulations governing the health insurance markets in the United States could materially adversely affect our business, results of operations, financial condition, and prospects.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Historically, Medicare Advantage premiums accounted for a significant portion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beneficiary's health profile and status, age, gender, county or region, benefit mix, beneficiary eligibility categories, and a beneficiary's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Affordable Care Act ("ACA") became law. The ACA substantially changed the way healthcare is financed by both commercial and government payers and contains a number of provisions that impact our business and operations, including a requirement that MA plans spend at least 85% of premium dollars on medical care, a requirement that CMS apply coding intensity adjustments to Medicare payments (which generated an across-the-board reduction to MA risk scores), and an expansion of Medicaid eligibility to additional categories of individuals. Since its enactment, there have been judicial and Congressional challenges to certain aspects of the ACA, as well as the act in its entirety, and there may be additional challenges and amendments to the ACA in the future. The resumption of Medicaid eligibility redeterminations after being suspended during the COVID-19 pandemic could negatively impact the number of members eligible for our Medicaid plans.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Additionally, ongoing healthcare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enacted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require us to reevaluate the manner in which we commercialize our platform and products.</w:t>
      </w:r>
    </w:p>
    <w:p>
      <w:pPr>
        <w:spacing w:after="0" w:line="19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Changes in laws, regulations, and guidelines governing health insurance may also be incompatible with various aspects of our business and require that we make significant modifications to our existing technology or practices. This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1" w:name="page42"/>
    <w:bookmarkEnd w:id="41"/>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State corporate practice of medicine and fee-splitting laws govern at least some of our business operations; violation of such laws could result in penalties and adversely affect our arrangements with contractors and our results of operations and financial condition.</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professional corporations in which the shares are held by licensed physicians or other licensed medical professionals may provide medical care to patients. HMO's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corporate practice of medicine and fee-splitting between physicians and referral sources may be statutory or regulatory, or may be imposed through judicial or regulatory interpretation, and vary widely from state to state.</w:t>
      </w:r>
    </w:p>
    <w:p>
      <w:pPr>
        <w:spacing w:after="0" w:line="200" w:lineRule="exact"/>
        <w:rPr>
          <w:sz w:val="20"/>
          <w:szCs w:val="20"/>
          <w:color w:val="auto"/>
        </w:rPr>
      </w:pPr>
    </w:p>
    <w:p>
      <w:pPr>
        <w:spacing w:after="0" w:line="2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Through our HMO subsidiary, we employ providers and other clinical staff to provide medical services to medically complex beneficiaries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These events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Failure to maintain satisfactory quality and performance measures may negatively affect our premium rates, subject us to penalties, limit or reduce our number of beneficiaries, impede our ability to compete for new business in existing or new markets or result in the termination of our contracts, or affect our ability to establish new health plans or expand current health plans. Any of these events could have a material adverse effect on our business, rate of growth and results of operations, financial condition, and cash flows.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Quality scores are used by certain regulatory agencies to establish premium rates and/or calculate performance incentives. In the case of CMS, for example, Star Ratings are used to pay quality bonuses to MA plans to enable high scoring plans to offer enhanced health benefits for their members. Medicare Advantage and Part D plans with Star Ratings of five (5.0) stars or higher are eligible for year-round open enrollment; conversely, plans with lower Star Ratings have more restricted times for enrollment of members. Medicare Advantage and Part D plans with Star Ratings of less than three (3.0) stars in three consecutive years are denoted as "low performing" plans on the CMS website and in the CMS "Medicare and You" handbook. In addition, CMS has the authority to terminate Medicare Advantage and Part D contracts for plans rated below three (3.0) stars in three consecutive years. As a result, Medicare Advantage and Part D plans that achieve higher Star Ratings may have a competitive advantage over plans with lower Star Ratings.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7"/>
          <w:szCs w:val="17"/>
          <w:color w:val="auto"/>
        </w:rPr>
        <w:t>The Star Ratings system considers various measures adopted by CMS, including, among others, quality of care, preventative services, chronic illness management and member satisfaction. Our Star Ratings may be negatively impacted if we fail to meet the quality, performance and regulatory compliance criteria established by CMS. Furthermore, the Star Ratings system is also subject to change annually by CMS, which may make it more difficult to achieve and maintain three (3.0) stars or greater. For each year that our plans were rated, we received a Star Rating of 3.0, except for the 2017 and 2022 Star Ratings, when the Star Rating for our PPO plan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members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members and obtain regulatory approval for acquisitions or expansions. If we do not maintain or continue to improve our Star Ratings, if we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number of members, results of operations, financial condition and cash flows.</w:t>
      </w:r>
    </w:p>
    <w:p>
      <w:pPr>
        <w:spacing w:after="0" w:line="19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activities are highly regulated, and new and proposed government regulation or legislative reforms could increase our cost of doing business and reduce our number of beneficiaries, profitability, and liquidity.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healthcare industry is heavily regulated and closely scrutinized by federal, state and local governments. Comprehensive statutes and regulations govern the manner in which we are compensated for providing coverage for our members and Non-Insurance Beneficiaries, our contractual relationships with our providers, vendors and beneficiaries, our marketing activities and other aspects of our operations. Proposed changes to statutes and regulations may become the subject of campaign promises, litigation, administrative action, or legislation leading up to or following the 2024 Presidential election. In addition, even if regulations are not amended or repealed, the President and the executive branch of the federal government, as well as CMS have a significant impact on the implementation of regulation, and a new administration could make changes impacting such implementation which could harm our business, operating results and financial condition.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particular importance are:</w:t>
      </w:r>
    </w:p>
    <w:p>
      <w:pPr>
        <w:spacing w:after="0" w:line="116" w:lineRule="exact"/>
        <w:rPr>
          <w:sz w:val="20"/>
          <w:szCs w:val="20"/>
          <w:color w:val="auto"/>
        </w:rPr>
      </w:pPr>
    </w:p>
    <w:p>
      <w:pPr>
        <w:jc w:val="both"/>
        <w:ind w:left="940" w:hanging="313"/>
        <w:spacing w:after="0" w:line="262"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69"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64" w:lineRule="exact"/>
        <w:rPr>
          <w:rFonts w:ascii="Times New Roman" w:cs="Times New Roman" w:eastAsia="Times New Roman" w:hAnsi="Times New Roman"/>
          <w:sz w:val="17"/>
          <w:szCs w:val="17"/>
          <w:color w:val="auto"/>
        </w:rPr>
      </w:pPr>
    </w:p>
    <w:p>
      <w:pPr>
        <w:jc w:val="both"/>
        <w:ind w:left="940" w:hanging="313"/>
        <w:spacing w:after="0" w:line="273"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simplification provisions of the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spacing w:after="0" w:line="59"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3" w:name="page44"/>
    <w:bookmarkEnd w:id="43"/>
    <w:p>
      <w:pPr>
        <w:jc w:val="both"/>
        <w:ind w:left="313" w:hanging="313"/>
        <w:spacing w:after="0" w:line="267"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64" w:lineRule="exact"/>
        <w:rPr>
          <w:rFonts w:ascii="Times New Roman" w:cs="Times New Roman" w:eastAsia="Times New Roman" w:hAnsi="Times New Roman"/>
          <w:sz w:val="17"/>
          <w:szCs w:val="17"/>
          <w:color w:val="auto"/>
        </w:rPr>
      </w:pPr>
    </w:p>
    <w:p>
      <w:pPr>
        <w:ind w:left="313" w:hanging="313"/>
        <w:spacing w:after="0"/>
        <w:tabs>
          <w:tab w:leader="none" w:pos="31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insurance holding company laws and regulations pertaining to licensing and plan solvency requirements;</w:t>
      </w:r>
    </w:p>
    <w:p>
      <w:pPr>
        <w:spacing w:after="0" w:line="116" w:lineRule="exact"/>
        <w:rPr>
          <w:rFonts w:ascii="Times New Roman" w:cs="Times New Roman" w:eastAsia="Times New Roman" w:hAnsi="Times New Roman"/>
          <w:sz w:val="17"/>
          <w:szCs w:val="17"/>
          <w:color w:val="auto"/>
        </w:rPr>
      </w:pPr>
    </w:p>
    <w:p>
      <w:pPr>
        <w:ind w:left="313" w:hanging="313"/>
        <w:spacing w:after="0" w:line="292"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reassignment of payment rules that prohibit certain types of billing and collection practices in connection with claims payable by the Medicare or Medicaid programs;</w:t>
      </w:r>
    </w:p>
    <w:p>
      <w:pPr>
        <w:spacing w:after="0" w:line="43" w:lineRule="exact"/>
        <w:rPr>
          <w:rFonts w:ascii="Times New Roman" w:cs="Times New Roman" w:eastAsia="Times New Roman" w:hAnsi="Times New Roman"/>
          <w:sz w:val="17"/>
          <w:szCs w:val="17"/>
          <w:color w:val="auto"/>
        </w:rPr>
      </w:pPr>
    </w:p>
    <w:p>
      <w:pPr>
        <w:ind w:left="313" w:hanging="313"/>
        <w:spacing w:after="0" w:line="292"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 state law provisions pertaining to anti-kickback, self-referral, and false claims issues, some of which may apply to items or services reimbursed by any third-party payer;</w:t>
      </w:r>
    </w:p>
    <w:p>
      <w:pPr>
        <w:spacing w:after="0" w:line="43" w:lineRule="exact"/>
        <w:rPr>
          <w:rFonts w:ascii="Times New Roman" w:cs="Times New Roman" w:eastAsia="Times New Roman" w:hAnsi="Times New Roman"/>
          <w:sz w:val="17"/>
          <w:szCs w:val="17"/>
          <w:color w:val="auto"/>
        </w:rPr>
      </w:pPr>
    </w:p>
    <w:p>
      <w:pPr>
        <w:ind w:left="313" w:hanging="313"/>
        <w:spacing w:after="0" w:line="292"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prohibit general business corporations, such as us, from engaging in the corporate practice of medicine, controlling physicians' medical decisions or engaging in some practices such as splitting fees with physicians;</w:t>
      </w:r>
    </w:p>
    <w:p>
      <w:pPr>
        <w:spacing w:after="0" w:line="43" w:lineRule="exact"/>
        <w:rPr>
          <w:rFonts w:ascii="Times New Roman" w:cs="Times New Roman" w:eastAsia="Times New Roman" w:hAnsi="Times New Roman"/>
          <w:sz w:val="17"/>
          <w:szCs w:val="17"/>
          <w:color w:val="auto"/>
        </w:rPr>
      </w:pPr>
    </w:p>
    <w:p>
      <w:pPr>
        <w:ind w:left="313" w:hanging="313"/>
        <w:spacing w:after="0"/>
        <w:tabs>
          <w:tab w:leader="none" w:pos="31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of the Affordable Care Act that requires MA plans to spend at least 85% of premium dollars on medical care;</w:t>
      </w:r>
    </w:p>
    <w:p>
      <w:pPr>
        <w:spacing w:after="0" w:line="116" w:lineRule="exact"/>
        <w:rPr>
          <w:rFonts w:ascii="Times New Roman" w:cs="Times New Roman" w:eastAsia="Times New Roman" w:hAnsi="Times New Roman"/>
          <w:sz w:val="17"/>
          <w:szCs w:val="17"/>
          <w:color w:val="auto"/>
        </w:rPr>
      </w:pPr>
    </w:p>
    <w:p>
      <w:pPr>
        <w:ind w:left="313" w:hanging="313"/>
        <w:spacing w:after="0"/>
        <w:tabs>
          <w:tab w:leader="none" w:pos="31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that govern our relationships with pharmaceutical manufacturers, wholesalers, pharmacies, beneficiaries, and consumers;</w:t>
      </w:r>
    </w:p>
    <w:p>
      <w:pPr>
        <w:spacing w:after="0" w:line="116" w:lineRule="exact"/>
        <w:rPr>
          <w:rFonts w:ascii="Times New Roman" w:cs="Times New Roman" w:eastAsia="Times New Roman" w:hAnsi="Times New Roman"/>
          <w:sz w:val="17"/>
          <w:szCs w:val="17"/>
          <w:color w:val="auto"/>
        </w:rPr>
      </w:pPr>
    </w:p>
    <w:p>
      <w:pPr>
        <w:jc w:val="both"/>
        <w:ind w:left="313" w:hanging="313"/>
        <w:spacing w:after="0" w:line="264"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w:t>
      </w:r>
    </w:p>
    <w:p>
      <w:pPr>
        <w:spacing w:after="0" w:line="67" w:lineRule="exact"/>
        <w:rPr>
          <w:rFonts w:ascii="Times New Roman" w:cs="Times New Roman" w:eastAsia="Times New Roman" w:hAnsi="Times New Roman"/>
          <w:sz w:val="17"/>
          <w:szCs w:val="17"/>
          <w:color w:val="auto"/>
        </w:rPr>
      </w:pPr>
    </w:p>
    <w:p>
      <w:pPr>
        <w:ind w:left="313" w:hanging="313"/>
        <w:spacing w:after="0"/>
        <w:tabs>
          <w:tab w:leader="none" w:pos="31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that regulate debt collection practices;</w:t>
      </w:r>
    </w:p>
    <w:p>
      <w:pPr>
        <w:spacing w:after="0" w:line="116" w:lineRule="exact"/>
        <w:rPr>
          <w:rFonts w:ascii="Times New Roman" w:cs="Times New Roman" w:eastAsia="Times New Roman" w:hAnsi="Times New Roman"/>
          <w:sz w:val="17"/>
          <w:szCs w:val="17"/>
          <w:color w:val="auto"/>
        </w:rPr>
      </w:pPr>
    </w:p>
    <w:p>
      <w:pPr>
        <w:jc w:val="both"/>
        <w:ind w:left="313" w:hanging="313"/>
        <w:spacing w:after="0" w:line="267"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64" w:lineRule="exact"/>
        <w:rPr>
          <w:rFonts w:ascii="Times New Roman" w:cs="Times New Roman" w:eastAsia="Times New Roman" w:hAnsi="Times New Roman"/>
          <w:sz w:val="17"/>
          <w:szCs w:val="17"/>
          <w:color w:val="auto"/>
        </w:rPr>
      </w:pPr>
    </w:p>
    <w:p>
      <w:pPr>
        <w:ind w:left="313" w:hanging="313"/>
        <w:spacing w:after="0" w:line="292"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43" w:lineRule="exact"/>
        <w:rPr>
          <w:rFonts w:ascii="Times New Roman" w:cs="Times New Roman" w:eastAsia="Times New Roman" w:hAnsi="Times New Roman"/>
          <w:sz w:val="17"/>
          <w:szCs w:val="17"/>
          <w:color w:val="auto"/>
        </w:rPr>
      </w:pPr>
    </w:p>
    <w:p>
      <w:pPr>
        <w:ind w:left="313" w:hanging="313"/>
        <w:spacing w:after="0" w:line="292"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governing the ways in which we communicate with beneficiaries and market our services, including the Telephone Consumer Protection Act, the Controlling the Assault of Non-Solicited Pornography, and the Marketing Act;</w:t>
      </w:r>
    </w:p>
    <w:p>
      <w:pPr>
        <w:spacing w:after="0" w:line="43" w:lineRule="exact"/>
        <w:rPr>
          <w:rFonts w:ascii="Times New Roman" w:cs="Times New Roman" w:eastAsia="Times New Roman" w:hAnsi="Times New Roman"/>
          <w:sz w:val="17"/>
          <w:szCs w:val="17"/>
          <w:color w:val="auto"/>
        </w:rPr>
      </w:pPr>
    </w:p>
    <w:p>
      <w:pPr>
        <w:jc w:val="both"/>
        <w:ind w:left="313" w:hanging="313"/>
        <w:spacing w:after="0" w:line="267"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FCPA prohibits offering, promising, providing or authorizing others to give anything of value to a foreign government official to obtain or retain business or otherwise secure a business advantage; and</w:t>
      </w:r>
    </w:p>
    <w:p>
      <w:pPr>
        <w:spacing w:after="0" w:line="64" w:lineRule="exact"/>
        <w:rPr>
          <w:rFonts w:ascii="Times New Roman" w:cs="Times New Roman" w:eastAsia="Times New Roman" w:hAnsi="Times New Roman"/>
          <w:sz w:val="17"/>
          <w:szCs w:val="17"/>
          <w:color w:val="auto"/>
        </w:rPr>
      </w:pPr>
    </w:p>
    <w:p>
      <w:pPr>
        <w:ind w:left="313" w:hanging="313"/>
        <w:spacing w:after="0" w:line="292"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operations of our therapeutics affiliate, the extensive, complex, and evolving laws and regulations applicable to the operations of our therapeutics affiliate, primarily those of the U.S. Food and Drug Administration (the "FDA"); and</w:t>
      </w:r>
    </w:p>
    <w:p>
      <w:pPr>
        <w:spacing w:after="0" w:line="200" w:lineRule="exact"/>
        <w:rPr>
          <w:sz w:val="20"/>
          <w:szCs w:val="20"/>
          <w:color w:val="auto"/>
        </w:rPr>
      </w:pPr>
    </w:p>
    <w:p>
      <w:pPr>
        <w:spacing w:after="0" w:line="389" w:lineRule="exact"/>
        <w:rPr>
          <w:sz w:val="20"/>
          <w:szCs w:val="20"/>
          <w:color w:val="auto"/>
        </w:rPr>
      </w:pPr>
    </w:p>
    <w:p>
      <w:pPr>
        <w:ind w:left="4913"/>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72390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613"/>
          </w:cols>
          <w:pgMar w:left="947" w:top="848" w:right="339" w:bottom="1440" w:gutter="0" w:footer="0" w:header="0"/>
        </w:sectPr>
      </w:pPr>
    </w:p>
    <w:bookmarkStart w:id="44" w:name="page45"/>
    <w:bookmarkEnd w:id="44"/>
    <w:p>
      <w:pPr>
        <w:ind w:right="200"/>
        <w:spacing w:after="0" w:line="292"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business activities could be subject to scrutiny or challenge under one or more of such laws.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Achieving and sustaining compliance with these laws may also prove costly. We are currently and expect to be in communication with the certain regulators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regarding our business.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Clover Assistant were to become subject to regulation by the FDA and we were unable to obtain the required approval or comply with these regulations, our business, results of operations, financial condition, and prospects may be materially and adversely affected.</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guidance documents, concerning, for example, clinical decision software, to clarify how it intends to interpret and apply the new exemptions under the 21st Century Cures Act. Although we believe that our Clover Assistant platform does not meet the definition of medical device and/or meet the criteria that the FDA has announced for its exercise of enforcement discretion to apply, there is a risk that the FDA could disagree with our determination or that the FDA could develop new guidance documents or revise current guidance documents that would subject our platform to active FDA oversight. If the FDA determines that any of our current or future analytics applications, including Clover Assistant,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results of operations, financial condition and prospects may be materially and adversely affected if we were to become subject to regulation by the FDA and were unable to obtain approval or comply with these regulations.</w:t>
      </w:r>
    </w:p>
    <w:p>
      <w:pPr>
        <w:spacing w:after="0" w:line="20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beneficiaries. Any other changes in these requirements could materially increase our statutory capital requirements. In addition, as we continue to expand our plan offerings in new states, add new beneficiaries, or pursue new business opportunities, we may be required to maintain additional statutory capital. In any case, our available funds could be materially reduced, which could harm our ability to implement our business strategies.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5" w:name="page46"/>
    <w:bookmarkEnd w:id="45"/>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use and disclosure of personally identifiable information, including health information, is subject to federal and state privacy and security regulations. Our failure to comply with those regulations or to adequately secure the information we hold could result in significant liability or reputational harm and, in turn, a material adverse effect on our client base and results of operations.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Numerous U.S. federal and state laws and regulations govern the collection, dissemination, use, privacy, confidentiality, security, availability and integrity of personally identifiable information ("PII"), including protected health information ("PHI"). These federal and state laws and regulations include, but are not limited to HIPAA, as amended by HITECH, which we refer to collectively as HIPAA, and the California Consumer Privacy Act of 2018, as amended by the California Privacy Rights Act (the "CPRA"), which took effect on January 1, 2023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HIPAA mandates that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Numerous other U.S. federal and state laws, such as the CCPA,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Among other things, the CCPA gives California residents expanded data privacy rights, allowing consumers to opt out of certain data sharing with third parties, provides a private cause of action for data breaches, imposes additional obligations such as data minimization and storage limitations; on covered businesses; and forms a dedicated privacy regulator in California, the California Privacy Protection Agency, to implement and enforce the law. The CCPA marked the beginning of a trend toward more stringent state data privacy legislation in the United States, which may result in significant costs to our business, damage our reputation, and require us to amend our business practices, and could adversely affect our business, especially to the extent the specific requirements vary from those and other existing laws. Four such laws, in Virginia, Colorado, Connecticut, and Utah, have taken effect in 2023, and at least three more laws in Montana, Texas and Oregon are scheduled to take effect in 2024. Similar laws have been proposed in other states and at the federal level.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spacing w:after="0" w:line="2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6" w:name="page47"/>
    <w:bookmarkEnd w:id="46"/>
    <w:p>
      <w:pPr>
        <w:jc w:val="both"/>
        <w:spacing w:after="0" w:line="262" w:lineRule="auto"/>
        <w:rPr>
          <w:sz w:val="20"/>
          <w:szCs w:val="20"/>
          <w:color w:val="auto"/>
        </w:rPr>
      </w:pPr>
      <w:r>
        <w:rPr>
          <w:rFonts w:ascii="Times New Roman" w:cs="Times New Roman" w:eastAsia="Times New Roman" w:hAnsi="Times New Roman"/>
          <w:sz w:val="17"/>
          <w:szCs w:val="17"/>
          <w:color w:val="auto"/>
        </w:rPr>
        <w:t>Because of the extreme sensitivity of the personal information, including PHI, that we store and transmit, the security features of our technology platform are very important. We also contract with third parties for important aspects of the storage and transmission of beneficiary information, and thus rely on those third parties to manage functions that have material cyber-security risks. We attempt to address these risks by requiring subcontractors who handle beneficiary information to sign business associate agreements contractually requiring those subcontractors to adequately safeguard personal health data to the same extent that applies to us and in some cases by requiring such subcontractors to undergo third-party security examinations. However, we cannot ensure that these contractual measures and other safeguards will adequately protect us from the risks associated with the storage and transmission of such information on our behalf by our subcontractors.</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If our security measures, some of which are managed by third parties, or those of the third parties with whom we contract, are breached or fail, unauthorized persons may be able to obtain access to sensitive provider and beneficiary data, including HIPAA-regulated PHI. As a result, our reputation could be severely damaged, adversely affecting PCP and beneficiary confidence. Beneficiaries may curtail their use of or stop using our services including the use of telehealth, or our number of beneficiaries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In any event, insurance coverage would not address the reputational damage that could result from a security incident.</w:t>
      </w:r>
    </w:p>
    <w:p>
      <w:pPr>
        <w:spacing w:after="0" w:line="2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also publish statements to our beneficiaries that describe how we handle and protect personal information. Any failure or perceived failure by us to maintain posted privacy policies that are accurate, comprehensive and fully implemented, and any violation or perceived violation of our privacy-, data protection-, or information security obligations to providers, beneficiaries, or other third parties could result in claims of deceptive practices brought against us. That could lead to significant liabilities and consequences, including, without limitation, governmental investigations or enforcement actions, costs of responding to investigations, defending against litigation, settling claims and complying with regulatory or court orders, all of which could have material impacts on our revenues and results of operations.</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also a number of legislative proposals in the United States, at both the federal and state level, that could impose new obligations or liability for copyright infringement by third parties violating those laws. We cannot yet determine the impact that future laws, regulations, and standards may have on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4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Failure to protect or enforce our intellectual property rights could impair our ability to protect our internally-developed technology and our brand, and our business may be adversely affected.</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is assigned to us. However, we cannot guarantee that such confidentiality and proprietary agreements or other 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obtain or maintain the right to use certain of our intellectual property could negatively affect our business.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Many patent applications in the United States may not be public for a period of time after they are filed.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that technology would infringe a third-party patent once that patent is issued.</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rely on our trademarks, trade names, and brand names to distinguish our solutions and branding from the products of our competitors, and we have registered or applied to register many of these trademarks in the United States and certain countries outside the United States. However, occasionally third parties may have already 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our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If our trademarks are successfully challenged, we could be forced to rebrand our platform, which would result in loss of brand recognition and would require us to devote resources to advertising and marketing new brands.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incur substantial costs as a result of any claim of infringement of another party's intellectual property rights.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allegedly infringing practices. The development of alternative non-infringing technology or practices would require significant effort and expense. Similarly, if any litigation to which we may be a party fails to settle and we go to trial, we may be subject to an unfavorable judgment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spacing w:after="0" w:line="200" w:lineRule="exact"/>
        <w:rPr>
          <w:sz w:val="20"/>
          <w:szCs w:val="20"/>
          <w:color w:val="auto"/>
        </w:rPr>
      </w:pP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we have agreed to indemnify our providers against certain claims, which may include claims that our platform and products infringe the intellectual property rights of such third parties. Our business could be adversely affected by any significant disputes between us and our providers as to the applicability or scope of our indemnification obligations to them.</w:t>
      </w:r>
    </w:p>
    <w:p>
      <w:pPr>
        <w:spacing w:after="0" w:line="186"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 portion of the technologies we use in Clover Assistant incorporates "open source" software, and we may incorporate open source software in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to license such code under the terms of the particular open source license.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We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7"/>
          <w:szCs w:val="17"/>
          <w:color w:val="auto"/>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could disrupt the deployment of our platform, products, or other internal tools and harm our business, results of operations,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Securities</w:t>
      </w:r>
    </w:p>
    <w:p>
      <w:pPr>
        <w:spacing w:after="0" w:line="24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market prices and trading volume of our shares of Class A common stock have experienced periods of extreme volatility and steep declines. Volatility could return and price declines could continue going forward in ways that may be unrelated, or disproportionate, to our operating performance.</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market prices and trading volume of our shares of Class A common stock experienced periods of extreme volatility during 2022, and such volatility could return, We believe that the extreme volatility we experienced during that time reflected market and trading dynamics unrelated to our underlying business, or macro or industry fundamentals. We do not know if these dynamics will return or how long they will last if they return. In addition, the market price of our Class A common stock has declined sharply in the recent years.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Volatility or declines in our trading price could make it more difficult to attract and retain talent, adversely impact employee retention and morale, and may require us to issue more equity to incentivize team members, which could dilute stockholders.</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Overall, there are various factors, some of which are beyond our control, that could negatively affect the market price of our Class A common stock or result in fluctuations in the price or trading volume of our Class A common stock, including the following</w:t>
      </w:r>
    </w:p>
    <w:p>
      <w:pPr>
        <w:spacing w:after="0" w:line="62" w:lineRule="exact"/>
        <w:rPr>
          <w:sz w:val="20"/>
          <w:szCs w:val="20"/>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performance of the equity markets and the economy as a whole;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financial projections we may provide to the public or our failure to meet these projections;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that of our competitors;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anticipated future size or growth rate of our addressable markets;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and services, technological and platform updates or enhancements, or of acquisitions, strategic partnerships, joint ventures or capital-raising activities or commitments, by us or by our competitors;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to Clover Assistant or our other technology;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board members, management or key personnel;</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43"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or reports that securities analysts or others publish about us or our business;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 including those related to Medicare;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threatened or filed against us or investigations by governmental authorities;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war, incidents of terrorism, or responses to these events;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epidemics, such as the COVID-19 pandemic, influenza, and other highly communicable diseases;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50" w:name="page51"/>
    <w:bookmarkEnd w:id="50"/>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 stock market with respect to newly public companies, particularly companies in the healthcare and technology industries, have experienced significant price and volume fluctuations that have affected and continue to affect the market prices of stock prices of these companies. In the past, stockholders have instituted securities class action litigation against public companies following periods of market volatility. For example, following periods of volatility in the trading price of our Class A common stock, in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 indemnification for our officers and directors for certain claims in connection with such litigation. Large indemnity payments could adversely affect our business, results of operations, and financial condition.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Class A common stock does not satisfy NASDAQ's minimum bid price rules, our Class A common stock may be subject to delisting from NASDAQ</w:t>
      </w:r>
    </w:p>
    <w:p>
      <w:pPr>
        <w:spacing w:after="0" w:line="23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If the closing bid price of our Class A common stock is less than $1.00 per share for 30 consecutive trading days, we may receive a letter from the staff of The NASDAQ Stock Market LLC stating that our Class A common stock will be delisted unless we are able to regain compliance with the minimum price Nasdaq Listing Rule requirement. In recent months, our Class A common stock closing bid price has been below $1.00 on multiple occasions, including from December 26, 2023 through February 1, 2024, and most recently from February 16, 2024 through March 13, 2024. The listing requirement provides that we must maintain a closing bid price for our Class A common stock of at least $1.00 per share. We cannot guarantee that our stock price will continue to trade above $1.00 per share or otherwise meet the NASDAQ listing requirements. Therefore our Class A common stock may in the future be subject to delisting. If our Class A common stock is delisted, this would, among other things, substantially impair our ability to raise additional funds and could result in a loss of institutional investor interest and fewer development opportunities for us. Furthermore, a delisting would likely have a negative effect on the price of our Class A common stock and would impair the ability of stockholders to sell or purchase our Class A common stock when they wish to do so. In the event of a delisting, we would expect to take actions to restore our compliance with NASDAQ’S listing requirements, but we can provide no assurance that any such action taken by us would allow our Class A common stock to become listed again, lead to stability in the market price of our Class A common stock, improve the liquidity of our Class A common stock, prevent our Class A common stock from dropping below the NASDAQ minimum bid price requirement, or prevent future non-compliance with NASDAQ’S listing requirements. As a result of these factors, a delisting of our Class A common stock from NASDAQ would have an adverse impact on the trading, liquidity, and market price of our Class A common stock.</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financial performance may differ from any projections that we disclose or any information that may be attributed to us by third parties.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of which are not predictable or within our control. Other unknown or unpredictable factors also could adversely impact our performance. Except as required by law,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00" w:lineRule="exact"/>
        <w:rPr>
          <w:sz w:val="20"/>
          <w:szCs w:val="20"/>
          <w:color w:val="auto"/>
        </w:rPr>
      </w:pPr>
    </w:p>
    <w:p>
      <w:pPr>
        <w:spacing w:after="0" w:line="2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Sales of substantial amounts of our securities in the public markets, or the perception that they might occur, could cause the market price of our Class A common stock to decline.</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common stock to decline and may make it more difficult for our other stockholders to sell their shares of common stock at a time and price that they deem appropriate.</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2023, our directors and officers and their affiliated entities collectively owned approximately 22.6% of the total outstanding shares of Class A and Class B common stock.</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at December 31, 2023, we had options outstanding that, if fully exercised, would result in the issuance of 24,041,753 shares of Class B common stock, and we had restricted stock units ("RSUs") outstanding that would result in the issuance of 37,488,459 shares of Class B common stock. All of the shares of Class A common stock issuable upon the conversion of Class B common stock issuable upon exercise or settlement of stock options and RSUs, and the shares reserved for future issuance under our equity incentive plans, were registered for public resale under the Securities Act. Accordingly, these shares will be able to be freely sold in the public market upon issuance subject to applicable vesting requirements.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51" w:name="page52"/>
    <w:bookmarkEnd w:id="51"/>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identified material weaknesses in our internal control over financial reporting for the year ended December 31, 2021. While management remediated these material weaknesses in the first quarter of 2022, our failure to establish and maintain effective internal control over financial reporting more generally could adversely affect our ability to produce timely and accurate financial statements and comply with disclosure and other requirements. This could harm investor confidence in our company and the trading price of our Class A common stock.</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Securities Exchange Act of 1934, as amended (the "Exchange Act"), the Sarbanes-Oxley Act and the rules and regulations of the applicable listing standards of Nasdaq. The Sarbanes-Oxley Act requires, among other things, that we maintain effective disclosure controls and procedures and internal control over financial reporting.</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connection with the preparation of the audited financial statements of our company and its consolidated subsidiaries for the year ended December 31, 2021, we identified a material weakness in our internal control over financial reporting.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While management remediated this material weakness in the first quarter of 2022, our remedial measures related to the material weakness that we identified for the year ended December 31, 2021 may be insufficient to address the material weakness. Furthermore, additional weaknesses in our disclosure controls and internal control over financial reporting may be discovered in the future.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This would likely have a negative effect on the trading price of our Class A common stock.</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order to maintain and improve our disclosure controls and procedures and internal control over financial reporting, we have expended, and anticipate that we will continue to expend, significant resources, including accounting-related costs and investments to strengthen and maintain our accounting systems and significant management oversight. If any of these new or improved controls and systems do not perform as expected, we may experience additional material weaknesses in our controls.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Accordingly, investors must rely on sales of their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2" w:name="page53"/>
    <w:bookmarkEnd w:id="52"/>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The dual class structure of our common stock has the effect of concentrating voting control with certain stockholders, including our directors and executive officers and their respective affiliates, who held in the aggregate 70.7% of the voting power of our capital stock at December 31, 2023.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Class B common stock has 10 votes per share, and our Class A common stock has one vote per share. At December 31, 2023, our directors, executive officers, and their affiliates held in the aggregate 70.7%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63,992,808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dual class structure may negatively impact the trading price of our Class A common stock.</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and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losses to offset future taxable income may be subject to certain limitations.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At December 31, 2023, we had approximately $1,525.4 million of federal net operating loss carryforwards. The federal net operating loss carryforwards created subsequent to the year ended December 31, 2017, of $1,220.0 million carry forward indefinitely, while the remaining federal net operating loss carryforwards of $295.1 million begin to expire in 2033. Our ability to utilize NOLs may be subject to limitations due to prior ownership shifts, which could result in an ownership change under Section 382 of the Code,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3" w:name="page54"/>
    <w:bookmarkEnd w:id="53"/>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Restrictions on our ability to obtain funds from our regulated subsidiaries could materially and adversely affect our results of operations, financial condition and cash flows.</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 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condition, and cash flows could be materially and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and divert management's attention.</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Securities Exchange Act of 1934, or the Exchange Act, the listing standards of Nasdaq and other applicable securities rules and regulations. The requirements of these rules and regulations have increased, and will continue to increase our legal, accounting, and financial compliance costs, made some activities more difficult, time-consuming, and costly, and placed significant strain on our personnel, systems, and resources. For example, the Exchange Act requires, among other things, that we file annual, quarterly, and current reports with respect to our business and results of operations.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spacing w:after="0" w:line="20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taxing authorities of the jurisdictions in which we operate may challenge our methodologies for valuing developed technology or intercompany arrangements, which could increase our effective tax rate and harm our financial condition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results of operations in the period or periods for which such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4" w:name="page55"/>
    <w:bookmarkEnd w:id="54"/>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trading price and trading volume could decline if securities or industry analysts do not publish research about our business, or if they publish unfavorable research.</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cannot assure that any equity research analysts will adequately provide research coverage of our Class A common stock.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continue to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Applicable insurance laws may make it difficult to effect a change of control.</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Under applicable state insurance laws and regulations, no person may acquire control of a domestic insurer until written approval, or exemption therefrom, is obtained from the state insurance commissioner for the proposed acquisition. Such approval would be contingent upon the state insurance commissioner's consideration of a number of factors including, among others, the financial strength of the proposed acquire, the acquirer's plans for the future operations of the domestic insurer and any anti-competitive results that may arise from the consummation of the acquisition of control.</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Certain provisions in our corporate charter documents and under Delaware law may prevent or hinder attempts by our stockholders to change our management or to acquire a controlling interest in us. The trading price of our Class A common stock may decline as a result.</w:t>
      </w:r>
    </w:p>
    <w:p>
      <w:pPr>
        <w:spacing w:after="0" w:line="16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263" w:lineRule="exact"/>
        <w:rPr>
          <w:sz w:val="20"/>
          <w:szCs w:val="20"/>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so that not all members of our Board are elected at one time;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to determine the number of directors and to fill any vacancies and newly created directorships;</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our directors may only be removed for cause;</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cumulative voting for directors;</w:t>
      </w:r>
    </w:p>
    <w:p>
      <w:pPr>
        <w:spacing w:after="0" w:line="116"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of a super-majority to amend some provisions in our amended and restated certificate of incorporation and amended and restated bylaws;</w:t>
      </w:r>
    </w:p>
    <w:p>
      <w:pPr>
        <w:spacing w:after="0" w:line="43" w:lineRule="exact"/>
        <w:rPr>
          <w:rFonts w:ascii="Times New Roman" w:cs="Times New Roman" w:eastAsia="Times New Roman" w:hAnsi="Times New Roman"/>
          <w:sz w:val="17"/>
          <w:szCs w:val="17"/>
          <w:color w:val="auto"/>
        </w:rPr>
      </w:pPr>
    </w:p>
    <w:p>
      <w:pPr>
        <w:ind w:left="940" w:hanging="313"/>
        <w:spacing w:after="0" w:line="292"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authorization of the issuance of "blank check" preferred stock that our Board could use to implement a "poison pill" to deter a takeover of our company;</w:t>
      </w:r>
    </w:p>
    <w:p>
      <w:pPr>
        <w:spacing w:after="0" w:line="43" w:lineRule="exact"/>
        <w:rPr>
          <w:rFonts w:ascii="Times New Roman" w:cs="Times New Roman" w:eastAsia="Times New Roman" w:hAnsi="Times New Roman"/>
          <w:sz w:val="17"/>
          <w:szCs w:val="17"/>
          <w:color w:val="auto"/>
        </w:rPr>
      </w:pPr>
    </w:p>
    <w:p>
      <w:pPr>
        <w:jc w:val="both"/>
        <w:ind w:left="940" w:hanging="313"/>
        <w:spacing w:after="0" w:line="267"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combined Class B and Class A common stock, including the election of directors and significant corporate transactions, such as a merger or other sale of our company or its assets;</w:t>
      </w:r>
    </w:p>
    <w:p>
      <w:pPr>
        <w:spacing w:after="0" w:line="64"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of our stockholders to call special meetings of stockholders; and</w:t>
      </w:r>
    </w:p>
    <w:p>
      <w:pPr>
        <w:spacing w:after="0" w:line="116" w:lineRule="exact"/>
        <w:rPr>
          <w:rFonts w:ascii="Times New Roman" w:cs="Times New Roman" w:eastAsia="Times New Roman" w:hAnsi="Times New Roman"/>
          <w:sz w:val="17"/>
          <w:szCs w:val="17"/>
          <w:color w:val="auto"/>
        </w:rPr>
      </w:pPr>
    </w:p>
    <w:p>
      <w:pPr>
        <w:ind w:left="940" w:hanging="31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actions by written consent, thereby requiring that all stockholder actions be taken at a meeting of our stockholders.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Due to the sensitivity of the personal information, including protected health information, or PHI, that the Company and its subsidiaries store and transmit, in the ordinary course of business, identifying, assessing, and managing material cybersecurity risks is an important component of the Company’s overall cybersecurity and enterprise risk management program.</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maintain a cybersecurity program based on the National Institute of Standards and Technology Cybersecurity Framework’s guidance and HIPAA, which applies to the Company and each of its subsidiaries. The cybersecurity program seeks to protect the enterprise against threats from cybersecurity risks, to comply with applicable laws and regulations, and to establish and enhance our processes for responding to cybersecurity events.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color w:val="auto"/>
        </w:rPr>
        <w:t>Among other things, the program includes the following components:</w:t>
      </w:r>
    </w:p>
    <w:p>
      <w:pPr>
        <w:spacing w:after="0" w:line="245" w:lineRule="exact"/>
        <w:rPr>
          <w:sz w:val="20"/>
          <w:szCs w:val="20"/>
          <w:color w:val="auto"/>
        </w:rPr>
      </w:pPr>
    </w:p>
    <w:p>
      <w:pPr>
        <w:ind w:left="1240" w:hanging="302"/>
        <w:spacing w:after="0"/>
        <w:tabs>
          <w:tab w:leader="none" w:pos="12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security event monitoring and detection;</w:t>
      </w:r>
    </w:p>
    <w:p>
      <w:pPr>
        <w:ind w:left="1240" w:hanging="302"/>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extended detection and response;</w:t>
      </w:r>
    </w:p>
    <w:p>
      <w:pPr>
        <w:ind w:left="1240" w:hanging="302"/>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vulnerability scanning;</w:t>
      </w:r>
    </w:p>
    <w:p>
      <w:pPr>
        <w:ind w:left="1240" w:hanging="302"/>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awareness and privacy training for personnel;</w:t>
      </w:r>
    </w:p>
    <w:p>
      <w:pPr>
        <w:ind w:left="1240" w:hanging="302"/>
        <w:spacing w:after="0"/>
        <w:tabs>
          <w:tab w:leader="none" w:pos="12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phishing simulations; and a cybersecurity incident response team.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also engages third-party vendors and consultants, respectively, to perform audits and penetration tests.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and its subsidiaries’ third-party service providers collect, process, and store certain information, including PII, PHI, or other confidential and proprietary information. We maintain a third-party vendor security risk management program to assess the cybersecurity risk and measures taken by such service providers. The program includes a dedicated third-party risk assessor, security risk reports, and formal business owner risk response.</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During the period covered by this report, the Company has not identified any risks from cybersecurity threats that have materially affected or are reasonably likely to materially affect the Company, including its business strategy, results of operations, or financial condition. Risks from cybersecurity threats, however, in the future may, among other things, cause material disruptions to our or our subsidiaries’ operations, which may materially affect our liquidity, results of operations and financial condition, as well as damage our reputation. For additional information related to risks from cybersecurity threats, please refer to Item 1.A. — “Risks Related to Our Business and Industry — </w:t>
      </w:r>
      <w:r>
        <w:rPr>
          <w:rFonts w:ascii="Times New Roman" w:cs="Times New Roman" w:eastAsia="Times New Roman" w:hAnsi="Times New Roman"/>
          <w:sz w:val="17"/>
          <w:szCs w:val="17"/>
          <w:i w:val="1"/>
          <w:iCs w:val="1"/>
          <w:color w:val="auto"/>
        </w:rPr>
        <w:t>Our failure to protect our sites, networks, and systems against security breaches, or otherwise to protect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our confidential or health information or the confidential or health information of our beneficiaries, providers, or other third parties, would damage our reputation and brand, and substantially harm our business and results of operations.</w:t>
      </w:r>
      <w:r>
        <w:rPr>
          <w:rFonts w:ascii="Times New Roman" w:cs="Times New Roman" w:eastAsia="Times New Roman" w:hAnsi="Times New Roman"/>
          <w:sz w:val="17"/>
          <w:szCs w:val="17"/>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Company’s Board of Directors (the “Board”) oversees the Company’s overall risk management program, and has assigned oversight of cybersecurity risk management to its Audit Committee. The Audit Committee reviews the adequacy and effectiveness of the Company’s cybersecurity policies and internal controls regarding information and cybersecurity, and together with the full Board, regularly receives reports from our and our subsidiaries’ management, including our Chief Information Security Officer (the “CISO”) on cybersecurity matters, including, but not limited to: Security Awareness, Internal Risk, Third-Party Risk, IR / DR Readiness, Access Control IAM/PAM, HIPAA Security Rule Compliance, Phishing, Security Monitoring, Vulnerability Management, Application Security, Governance, Data Security, and Cloud Security.</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Company’s CISO is responsible for developing and managing the cybersecurity program, including security incident response, remediation, and setting security policy and standards required by applicable law or regulation. The CISO holds a dual-accredited Executive MBA, and Certified Information Security Manager (CISM), Certified Information Systems Auditor (CISA), Certified Data Privacy Solutions Engineer (CDPSE) certifications. The security team holds multiple certifications including but not limited to CISSP, CRISC, CCSFP, and AWS CP, a bug bounty hall of fame member, and a range of experience with different firms. The CISO is informed by the cybersecurity team about the prevention, detection, mitigation, and remediation of cybersecurity incidents through general communications, and reporting. The cybersecurity team is made aware of security risks and incidents by various means including our SIEM, assessments, audit, threat feeds, and security team connections and network.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Depending on the circumstances, information regarding cybersecurity risks and incidents may be elevated from the CISO and his team through a variety of</w:t>
      </w:r>
    </w:p>
    <w:p>
      <w:pPr>
        <w:spacing w:after="0" w:line="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different channels, including risk response forms as part of our formal security risk process, discussions </w:t>
      </w:r>
      <w:r>
        <w:rPr>
          <w:rFonts w:ascii="Times New Roman" w:cs="Times New Roman" w:eastAsia="Times New Roman" w:hAnsi="Times New Roman"/>
          <w:sz w:val="20"/>
          <w:szCs w:val="20"/>
          <w:color w:val="auto"/>
        </w:rPr>
        <w:t>with the</w:t>
      </w:r>
      <w:r>
        <w:rPr>
          <w:rFonts w:ascii="Times New Roman" w:cs="Times New Roman" w:eastAsia="Times New Roman" w:hAnsi="Times New Roman"/>
          <w:sz w:val="17"/>
          <w:szCs w:val="17"/>
          <w:color w:val="auto"/>
        </w:rPr>
        <w:t xml:space="preserve"> Audit Committee and reports to the Board on a quarterly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7"/>
          <w:szCs w:val="17"/>
          <w:color w:val="000000"/>
        </w:rPr>
        <w:t>results</w:t>
      </w:r>
      <w:r>
        <w:rPr>
          <w:rFonts w:ascii="Times New Roman" w:cs="Times New Roman" w:eastAsia="Times New Roman" w:hAnsi="Times New Roman"/>
          <w:sz w:val="17"/>
          <w:szCs w:val="17"/>
          <w:color w:val="231F20"/>
        </w:rPr>
        <w:t xml:space="preserve"> of operation.</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Information concerning legal proceedings can be found in Note 19 (Commitments and Contingencies) to the consolidated financial statements included in Part II, Item 8 of this Form 10-K, which information is incorporated by reference into this item.</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054"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Class A common stock is listed on The Nasdaq Stock Market under the ticker symbol "CLOV." Our Class B common stock is not listed on any securities exchange.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5"/>
          <w:szCs w:val="15"/>
          <w:color w:val="auto"/>
        </w:rPr>
        <w:t>March 5, 2024</w:t>
      </w:r>
      <w:r>
        <w:rPr>
          <w:rFonts w:ascii="Times New Roman" w:cs="Times New Roman" w:eastAsia="Times New Roman" w:hAnsi="Times New Roman"/>
          <w:sz w:val="17"/>
          <w:szCs w:val="17"/>
          <w:color w:val="auto"/>
        </w:rPr>
        <w:t>, there were 334 holders of record of our Class A common stock and 308 holders of record of our Class B common stock. Such figures do not include beneficial owners holding our securities through nominee names.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not declared or paid any dividends on shares of common stock and does not intend to pay dividends in the foreseeable future. The declaration, amount, and payment of any future dividend will be at the sole discretion of our Board, and the Board may reduce or discontinue entirely the payment of such dividends at any time. The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to our stockholders, and such other factors as the Board may deem relevant.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purchase any shares of our common stock during the year ended December 31,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 and Use of Proceeds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152400</wp:posOffset>
            </wp:positionV>
            <wp:extent cx="3956050" cy="32804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56050" cy="328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ectPr>
          <w:pgSz w:w="11900" w:h="16838" w:orient="portrait"/>
          <w:cols w:equalWidth="0" w:num="1">
            <w:col w:w="11240"/>
          </w:cols>
          <w:pgMar w:left="320" w:top="7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consolidated financial statements and notes thereto for the year ended December 31, 2023, contained in this Annual Report on Form 10-K (the "Form 10-K"). The following discussion and analysis does not include certain items related to the year ended December 31, 2022, including year-to-year comparisons between the year ended December 31, 2022 and the year ended December 31, 2021. For a discussion of these items and comparison of our results of operations for the fiscal years ended December 31, 2022 and December 31, 2021, see Item 7. Management's Discussion and Analysis of Financial Condition and Results of Operations of our Annual Report on Form 10-K for the year ended December 31, 2022, filed with the SEC on March 1, 2023. This discussion contains forward-looking statements and involves numerous risks and uncertainties, including, but not limited to, those described in the "Risk Factors" section of this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Clover Health, our vision is to empower Medicare physicians to identify and manage chronic diseases early. Our strategy is to improve the care of people with Medicare,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 This software is used in both our Insurance segment and our Non-Insurance segment.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 to be our flagship insurance product. An important feature of our MA product is wide network access. We believe the use of Clover Assistant and related data insights allows us to improve clinical decision-making through a highly scalable platform. At December 31, 2023, we operated our MA plans in eight states and 220 counties, with 81,205 members.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subsidiary, Clover Health Partners, LLC ("Health Partners"), participated as a Direct Contracting Entity ("DCE") in the Centers for Medicare and Medicaid Services ("CMS") Accountable Care Organization Realizing Equity, Access, and Community Health Model ("ACO REACH Model" or "ACO REACH"). 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and follows the Company's November 2022 announcement of a strategic reduction in the number of ACO REACH participating physicians in 2023.</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At December 31, 2023, we partnered with providers to care for 131,734 Lives under Clover Management, which included 81,205 Insurance members and 50,529 aligned Non-Insurance beneficiaries. As a direct result of not participating in the ACO REACH Program in 2024, Lives under Clover Management will include only our Insurance members at the beginning of 2024.</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color w:val="auto"/>
        </w:rPr>
        <w:t>2023 Highlights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Presence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in 2024, our MA plans will be available in a total of 200 counties and 5 states.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Business Transformation Initiatives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17, 2023, the Company announced it would implement certain business transformation initiatives, including an agreement to move its core plan operations to UST HealthProof’s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the Company conducted a reduction in force to better align its Selling, General, and Administrative cost structure with its revenue base. For the twelve months ended December 31, 2023 the Company recorded $9.9 million of restructuring charges related to these business transformation initiatives, which consisted of employee termination benefits, vendor related costs, and other costs. Refer to Note 23. Restructuring Costs of the notes to audited consolidated financial statements included in Part II, Item 8 of this Form 10-K.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CMS Star Ratings</w:t>
      </w:r>
    </w:p>
    <w:p>
      <w:pPr>
        <w:spacing w:after="0" w:line="2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Pursuant to CMS’s Medicare Advantage Star ratings system, CMS annually awards between 1.0 and 5.0 Stars to Medicare Advantage plans based on performance in several categories. CMS released the Company’s 2024 Star ratings in October 2023, related to the 2022 measurement year, which will impact the 2025 payment year. For both of the Company's plans (PPO and HMO), CMS gave a rating of 3.0 Stars for measurement year 2022, which represents a 0.5 Star rating decrease for both plans from the 2021 measurement year. The 3.0 Star rating will impact the 2025 payment year. This represents a 0.5 Star rating decrease for both plans as compared to the 2024 payment year. In the calendar year 2024, the Company will be paid on the basis of 3.5 Stars for both our PPO and HMO plans, which ratings were previously awarded.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ACO REACH</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and follows the Company's November 2022 announcement of a strategic reduction in the number of ACO REACH participating physicians in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Performance Measures of Our Operating Segments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Segments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manage our operations based on two reportable operating segments: Insurance and Non-Insurance. Through our Insurance segment, we provide PPO and HMO plans to Medicare Advantage members in several states. Our Non-Insurance segment consists of our operations in connection with our participation in the ACO REACH Model. All other clinical services and all corporate overhead not included in the reportable segments are included within Corporate/Other.</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These segment groupings are consistent with the information used by our Chief Executive Officer (identified as our chief operating decision maker) to assess performance and allocate the Company's resources.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 segment</w:t>
      </w:r>
    </w:p>
    <w:p>
      <w:pPr>
        <w:spacing w:after="0" w:line="224"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Through our Insurance segment, we provide PPO and HMO plans to members in several states. We seek to improve care and lower costs for our Insurance members by empowering providers with data-driven, personalized insights to support treatment of members through our software platform, Clover Assistant.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1080" w:type="dxa"/>
            <w:vAlign w:val="bottom"/>
            <w:tcBorders>
              <w:bottom w:val="single" w:sz="8" w:color="auto"/>
            </w:tcBorders>
          </w:tcPr>
          <w:p>
            <w:pPr>
              <w:spacing w:after="0"/>
              <w:rPr>
                <w:sz w:val="19"/>
                <w:szCs w:val="19"/>
                <w:color w:val="auto"/>
              </w:rPr>
            </w:pPr>
          </w:p>
        </w:tc>
      </w:tr>
      <w:tr>
        <w:trPr>
          <w:trHeight w:val="253"/>
        </w:trPr>
        <w:tc>
          <w:tcPr>
            <w:tcW w:w="5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PMPM </w:t>
            </w:r>
            <w:r>
              <w:rPr>
                <w:rFonts w:ascii="Times New Roman" w:cs="Times New Roman" w:eastAsia="Times New Roman" w:hAnsi="Times New Roman"/>
                <w:sz w:val="22"/>
                <w:szCs w:val="22"/>
                <w:b w:val="1"/>
                <w:b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 xml:space="preserve">PMPM </w:t>
            </w:r>
            <w:r>
              <w:rPr>
                <w:rFonts w:ascii="Times New Roman" w:cs="Times New Roman" w:eastAsia="Times New Roman" w:hAnsi="Times New Roman"/>
                <w:sz w:val="22"/>
                <w:szCs w:val="22"/>
                <w:b w:val="1"/>
                <w:bCs w:val="1"/>
                <w:color w:val="auto"/>
                <w:vertAlign w:val="superscript"/>
              </w:rPr>
              <w:t>(1)</w:t>
            </w:r>
          </w:p>
        </w:tc>
      </w:tr>
      <w:tr>
        <w:trPr>
          <w:trHeight w:val="182"/>
        </w:trPr>
        <w:tc>
          <w:tcPr>
            <w:tcW w:w="5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80" w:type="dxa"/>
            <w:vAlign w:val="bottom"/>
            <w:gridSpan w:val="8"/>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(Premium and expense amounts in thousands, except PMPM amounts)</w:t>
            </w:r>
          </w:p>
        </w:tc>
      </w:tr>
      <w:tr>
        <w:trPr>
          <w:trHeight w:val="226"/>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Insurance members at period end (#)</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81,205</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88,627</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Premiums earned, gross</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1,236,213</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1,085,339</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21"/>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Premiums earned,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1,235,769</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w:t>
            </w:r>
          </w:p>
        </w:tc>
      </w:tr>
      <w:tr>
        <w:trPr>
          <w:trHeight w:val="221"/>
        </w:trPr>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Insurance medical claim expense incurred, gross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1,004,454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997,576</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221"/>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Insurance net medical claims incurred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1,003,683</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996,410</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r>
      <w:tr>
        <w:trPr>
          <w:trHeight w:val="221"/>
        </w:trPr>
        <w:tc>
          <w:tcPr>
            <w:tcW w:w="554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17"/>
                <w:szCs w:val="17"/>
                <w:color w:val="auto"/>
              </w:rPr>
              <w:t xml:space="preserve">Medical care ratio, gross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40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81.3 %</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Pr>
          <w:p>
            <w:pPr>
              <w:spacing w:after="0"/>
              <w:rPr>
                <w:sz w:val="19"/>
                <w:szCs w:val="19"/>
                <w:color w:val="auto"/>
              </w:rPr>
            </w:pPr>
          </w:p>
        </w:tc>
        <w:tc>
          <w:tcPr>
            <w:tcW w:w="142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91.9 %</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Medical care ratio, net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bl>
    <w:p>
      <w:pPr>
        <w:spacing w:after="0" w:line="172" w:lineRule="exact"/>
        <w:rPr>
          <w:sz w:val="20"/>
          <w:szCs w:val="20"/>
          <w:color w:val="auto"/>
        </w:rPr>
      </w:pPr>
    </w:p>
    <w:p>
      <w:pPr>
        <w:ind w:left="160" w:hanging="156"/>
        <w:spacing w:after="0" w:line="266" w:lineRule="auto"/>
        <w:tabs>
          <w:tab w:leader="none" w:pos="131"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71" w:lineRule="exact"/>
        <w:rPr>
          <w:rFonts w:ascii="Times New Roman" w:cs="Times New Roman" w:eastAsia="Times New Roman" w:hAnsi="Times New Roman"/>
          <w:sz w:val="16"/>
          <w:szCs w:val="16"/>
          <w:color w:val="auto"/>
          <w:vertAlign w:val="superscript"/>
        </w:rPr>
      </w:pPr>
    </w:p>
    <w:p>
      <w:pPr>
        <w:ind w:left="200" w:hanging="196"/>
        <w:spacing w:after="0"/>
        <w:tabs>
          <w:tab w:leader="none" w:pos="20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Insurance gross medical claims incurred divided by premiums earned, gross.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Membership and associated premiums earned and medical claim expenses.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Premiums earned, gross.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generally accepted accounting principles in the United States ("GAAP").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Premiums earned, net.</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62" w:name="page63"/>
    <w:bookmarkEnd w:id="62"/>
    <w:p>
      <w:pPr>
        <w:jc w:val="both"/>
        <w:spacing w:after="0" w:line="264" w:lineRule="auto"/>
        <w:rPr>
          <w:sz w:val="20"/>
          <w:szCs w:val="20"/>
          <w:color w:val="auto"/>
        </w:rPr>
      </w:pPr>
      <w:r>
        <w:rPr>
          <w:rFonts w:ascii="Times New Roman" w:cs="Times New Roman" w:eastAsia="Times New Roman" w:hAnsi="Times New Roman"/>
          <w:sz w:val="17"/>
          <w:szCs w:val="17"/>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 gross medical claims incurred.</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Insurance net medical claims incurred.</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Medical care ratio, gross and net.</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calculate our medical care ratio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Non-Insurance segment</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Non-Insurance segment consists of operations in connection with our participation in the Direct Contracting program through the ACO REACH Model. As part of our Non-Insurance operations, we empower providers with Clover Assistant and offer a variety of programs aimed at reducing expenditures and preserving or enhancing the quality of care for our Non-Insurance Beneficiaries. On December 1, 2023, the Company notified CMS that it will no longer participate as a REACH ACO in connection with the 2024 performance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60" w:type="dxa"/>
            <w:vAlign w:val="bottom"/>
          </w:tcPr>
          <w:p>
            <w:pPr>
              <w:spacing w:after="0"/>
              <w:rPr>
                <w:sz w:val="19"/>
                <w:szCs w:val="19"/>
                <w:color w:val="auto"/>
              </w:rPr>
            </w:pPr>
          </w:p>
        </w:tc>
      </w:tr>
      <w:tr>
        <w:trPr>
          <w:trHeight w:val="214"/>
        </w:trPr>
        <w:tc>
          <w:tcPr>
            <w:tcW w:w="5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100"/>
              <w:spacing w:after="0" w:line="213" w:lineRule="exact"/>
              <w:rPr>
                <w:sz w:val="20"/>
                <w:szCs w:val="20"/>
                <w:color w:val="auto"/>
              </w:rPr>
            </w:pPr>
            <w:r>
              <w:rPr>
                <w:rFonts w:ascii="Times New Roman" w:cs="Times New Roman" w:eastAsia="Times New Roman" w:hAnsi="Times New Roman"/>
                <w:sz w:val="17"/>
                <w:szCs w:val="17"/>
                <w:b w:val="1"/>
                <w:bCs w:val="1"/>
                <w:color w:val="auto"/>
              </w:rPr>
              <w:t xml:space="preserve">PBPM </w:t>
            </w:r>
            <w:r>
              <w:rPr>
                <w:rFonts w:ascii="Times New Roman" w:cs="Times New Roman" w:eastAsia="Times New Roman" w:hAnsi="Times New Roman"/>
                <w:sz w:val="22"/>
                <w:szCs w:val="22"/>
                <w:b w:val="1"/>
                <w:bCs w:val="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13"/>
              <w:spacing w:after="0" w:line="213" w:lineRule="exact"/>
              <w:rPr>
                <w:sz w:val="20"/>
                <w:szCs w:val="20"/>
                <w:color w:val="auto"/>
              </w:rPr>
            </w:pPr>
            <w:r>
              <w:rPr>
                <w:rFonts w:ascii="Times New Roman" w:cs="Times New Roman" w:eastAsia="Times New Roman" w:hAnsi="Times New Roman"/>
                <w:sz w:val="17"/>
                <w:szCs w:val="17"/>
                <w:b w:val="1"/>
                <w:bCs w:val="1"/>
                <w:color w:val="auto"/>
              </w:rPr>
              <w:t xml:space="preserve">PBPM </w:t>
            </w:r>
            <w:r>
              <w:rPr>
                <w:rFonts w:ascii="Times New Roman" w:cs="Times New Roman" w:eastAsia="Times New Roman" w:hAnsi="Times New Roman"/>
                <w:sz w:val="22"/>
                <w:szCs w:val="22"/>
                <w:b w:val="1"/>
                <w:bCs w:val="1"/>
                <w:color w:val="auto"/>
                <w:vertAlign w:val="superscript"/>
              </w:rPr>
              <w:t>(1)</w:t>
            </w:r>
          </w:p>
        </w:tc>
      </w:tr>
      <w:tr>
        <w:trPr>
          <w:trHeight w:val="182"/>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360" w:type="dxa"/>
            <w:vAlign w:val="bottom"/>
            <w:gridSpan w:val="8"/>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(Revenue and claims amounts in thousands, except PBPM amounts)</w:t>
            </w:r>
          </w:p>
        </w:tc>
      </w:tr>
      <w:tr>
        <w:trPr>
          <w:trHeight w:val="226"/>
        </w:trPr>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Beneficiaries at period end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50,529</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164,887</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21"/>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Non-Insurance revenue</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773,177</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r>
      <w:tr>
        <w:trPr>
          <w:trHeight w:val="221"/>
        </w:trPr>
        <w:tc>
          <w:tcPr>
            <w:tcW w:w="5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net medical claims incurred</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771,798</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2,460,879</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r>
      <w:tr>
        <w:trPr>
          <w:trHeight w:val="296"/>
        </w:trPr>
        <w:tc>
          <w:tcPr>
            <w:tcW w:w="5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 xml:space="preserve">Non-Insurance MCR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24"/>
                <w:szCs w:val="24"/>
                <w:color w:val="auto"/>
              </w:rPr>
            </w:pPr>
          </w:p>
        </w:tc>
        <w:tc>
          <w:tcPr>
            <w:tcW w:w="140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99.8 %</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N/A</w:t>
            </w:r>
          </w:p>
        </w:tc>
        <w:tc>
          <w:tcPr>
            <w:tcW w:w="320" w:type="dxa"/>
            <w:vAlign w:val="bottom"/>
          </w:tcPr>
          <w:p>
            <w:pPr>
              <w:spacing w:after="0"/>
              <w:rPr>
                <w:sz w:val="24"/>
                <w:szCs w:val="24"/>
                <w:color w:val="auto"/>
              </w:rPr>
            </w:pPr>
          </w:p>
        </w:tc>
        <w:tc>
          <w:tcPr>
            <w:tcW w:w="1420" w:type="dxa"/>
            <w:vAlign w:val="bottom"/>
            <w:gridSpan w:val="2"/>
          </w:tcPr>
          <w:p>
            <w:pPr>
              <w:jc w:val="right"/>
              <w:ind w:right="233"/>
              <w:spacing w:after="0"/>
              <w:rPr>
                <w:sz w:val="20"/>
                <w:szCs w:val="20"/>
                <w:color w:val="auto"/>
              </w:rPr>
            </w:pPr>
            <w:r>
              <w:rPr>
                <w:rFonts w:ascii="Times New Roman" w:cs="Times New Roman" w:eastAsia="Times New Roman" w:hAnsi="Times New Roman"/>
                <w:sz w:val="17"/>
                <w:szCs w:val="17"/>
                <w:color w:val="auto"/>
              </w:rPr>
              <w:t>103.4 %</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bl>
    <w:p>
      <w:pPr>
        <w:spacing w:after="0" w:line="45" w:lineRule="exact"/>
        <w:rPr>
          <w:sz w:val="20"/>
          <w:szCs w:val="20"/>
          <w:color w:val="auto"/>
        </w:rPr>
      </w:pPr>
    </w:p>
    <w:p>
      <w:pPr>
        <w:ind w:left="160" w:hanging="156"/>
        <w:spacing w:after="0" w:line="266" w:lineRule="auto"/>
        <w:tabs>
          <w:tab w:leader="none" w:pos="131"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Calculated ("PBPM") figures are based on the applicable amount divided by beneficiary months in the given period. Beneficiary months represents the number of months beneficiaries are aligned to our ACO REACH Model in the period.</w:t>
      </w:r>
    </w:p>
    <w:p>
      <w:pPr>
        <w:spacing w:after="0" w:line="19" w:lineRule="exact"/>
        <w:rPr>
          <w:rFonts w:ascii="Times New Roman" w:cs="Times New Roman" w:eastAsia="Times New Roman" w:hAnsi="Times New Roman"/>
          <w:sz w:val="16"/>
          <w:szCs w:val="16"/>
          <w:color w:val="auto"/>
          <w:vertAlign w:val="superscript"/>
        </w:rPr>
      </w:pPr>
    </w:p>
    <w:p>
      <w:pPr>
        <w:ind w:left="140" w:hanging="136"/>
        <w:spacing w:after="0"/>
        <w:tabs>
          <w:tab w:leader="none" w:pos="14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as Non-Insurance net medical claims incurred divided by Non-Insurance revenues.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Non-Insurance Beneficiaries.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 Non-Insurance Beneficiary is defined as an eligible fee-for-service ("FFS") covered life that has been aligned to our ACO REACH, Clover Health Partners, via attribution to an ACO REACH-participant provider through alignment based on claims data or by beneficiary election through voluntary alignment. A beneficiary alignment is effective at the first of the month, for the full calendar month, regardless of whether eligibility is lost during the course of the month.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color w:val="auto"/>
        </w:rPr>
        <w:t>Non-Insurance revenue.</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Non-Insurance revenue represents CMS' total expense incurred for medical services provided on behalf of Non-Insurance Beneficiaries during months in which they were alignment eligible during the performance year. Non-Insurance revenue is the sum of the capitation payments made to us for services within the scope of our capitation arrangement and FFS payments made to providers directly from CMS. Non-Insurance revenue is also known in the ACO REACH Model as performance year expenditures and is the primary component used to calculate shared savings or shared loss versus the performance year benchmark. Non-Insurance revenue includes a direct reduction or increase of shared savings or loss, as applicable. Premiums and recoupments incurred in direct relation to the ACO REACH Model are recognized as a reduction or increase in Non-Insurance revenue, as applicable. We believe Non-Insurance revenue provides useful insight into the gross economic benefit generated by our business operations and allows us to evaluate our performance without regard to changes in our underlying reinsurance structure.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Non-Insurance net medical claims incurred.</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Non-Insurance net medical claims incurred consist of the total incurred expense that CMS and we will remit for medical services provided on behalf of Non-Insurance Beneficiaries during the months in which they are alignment eligible and aligned to ACO REACH. Additionally, Non-Insurance net medical claims incurred are inclusive of fees paid to providers for Clover Assistant usage, care coordination, and any shared savings or shared loss agreements with providers.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Non-Insurance MCR.</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calculate our MCR by dividing Non-Insurance net medical claims incurred by Non-Insurance revenue in a given period. We believe our MCR is an indicator of our gross profitability and the ability to capture and analyze data over time to generate actionable insights for returning beneficiaries to improve care and reduce medical expenses.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Years ended December 31, 2023 and 2022</w:t>
      </w:r>
    </w:p>
    <w:p>
      <w:pPr>
        <w:spacing w:after="0" w:line="12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consolidated results of operations for the years ended December 31, 2023 and 2022. The period-to-period comparison of results is not necessarily indicative of results for future periods.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Years ended</w:t>
            </w:r>
          </w:p>
        </w:tc>
        <w:tc>
          <w:tcPr>
            <w:tcW w:w="180" w:type="dxa"/>
            <w:vAlign w:val="bottom"/>
          </w:tcPr>
          <w:p>
            <w:pPr>
              <w:spacing w:after="0"/>
              <w:rPr>
                <w:sz w:val="17"/>
                <w:szCs w:val="17"/>
                <w:color w:val="auto"/>
              </w:rPr>
            </w:pPr>
          </w:p>
        </w:tc>
        <w:tc>
          <w:tcPr>
            <w:tcW w:w="2240" w:type="dxa"/>
            <w:vAlign w:val="bottom"/>
            <w:gridSpan w:val="3"/>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Change between</w:t>
            </w:r>
          </w:p>
        </w:tc>
      </w:tr>
      <w:tr>
        <w:trPr>
          <w:trHeight w:val="231"/>
        </w:trPr>
        <w:tc>
          <w:tcPr>
            <w:tcW w:w="6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20"/>
                <w:szCs w:val="20"/>
                <w:color w:val="auto"/>
              </w:rPr>
            </w:pPr>
          </w:p>
        </w:tc>
        <w:tc>
          <w:tcPr>
            <w:tcW w:w="2240" w:type="dxa"/>
            <w:vAlign w:val="bottom"/>
            <w:gridSpan w:val="3"/>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2023 and 2022</w:t>
            </w:r>
          </w:p>
        </w:tc>
      </w:tr>
      <w:tr>
        <w:trPr>
          <w:trHeight w:val="216"/>
        </w:trPr>
        <w:tc>
          <w:tcPr>
            <w:tcW w:w="6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82"/>
        </w:trPr>
        <w:tc>
          <w:tcPr>
            <w:tcW w:w="6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2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69"/>
        </w:trPr>
        <w:tc>
          <w:tcPr>
            <w:tcW w:w="642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Premiums earned, net (Net of ceded premiums of $444 and $470 for the years ended</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4"/>
        </w:trPr>
        <w:tc>
          <w:tcPr>
            <w:tcW w:w="6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December 31, 2023 and 2022, respectively)</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1,235,769</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150,900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13.9 %</w:t>
            </w:r>
          </w:p>
        </w:tc>
      </w:tr>
      <w:tr>
        <w:trPr>
          <w:trHeight w:val="221"/>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(1,606,958)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(67.5)</w:t>
            </w:r>
          </w:p>
        </w:tc>
      </w:tr>
      <w:tr>
        <w:trPr>
          <w:trHeight w:val="260"/>
        </w:trPr>
        <w:tc>
          <w:tcPr>
            <w:tcW w:w="6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24,774</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13,091</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112.1</w:t>
            </w:r>
          </w:p>
        </w:tc>
      </w:tr>
      <w:tr>
        <w:trPr>
          <w:trHeight w:val="214"/>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2,033,720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3,476,687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(1,442,967)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(41.5)</w:t>
            </w:r>
          </w:p>
        </w:tc>
      </w:tr>
      <w:tr>
        <w:trPr>
          <w:trHeight w:val="201"/>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1"/>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medical claims incurred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1,776,388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(1,677,564)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(48.6)</w:t>
            </w:r>
          </w:p>
        </w:tc>
      </w:tr>
      <w:tr>
        <w:trPr>
          <w:trHeight w:val="260"/>
        </w:trPr>
        <w:tc>
          <w:tcPr>
            <w:tcW w:w="6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Salaries and benefits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257,157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278,725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(21,568)</w:t>
            </w:r>
          </w:p>
        </w:tc>
        <w:tc>
          <w:tcPr>
            <w:tcW w:w="10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(7.7)</w:t>
            </w:r>
          </w:p>
        </w:tc>
      </w:tr>
      <w:tr>
        <w:trPr>
          <w:trHeight w:val="221"/>
        </w:trPr>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(9.8)</w:t>
            </w:r>
          </w:p>
        </w:tc>
      </w:tr>
      <w:tr>
        <w:trPr>
          <w:trHeight w:val="221"/>
        </w:trPr>
        <w:tc>
          <w:tcPr>
            <w:tcW w:w="6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Impairment of goodwill and other intangible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Premium deficiency reserve benefit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86,278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(92.3)</w:t>
            </w:r>
          </w:p>
        </w:tc>
      </w:tr>
      <w:tr>
        <w:trPr>
          <w:trHeight w:val="221"/>
        </w:trPr>
        <w:tc>
          <w:tcPr>
            <w:tcW w:w="6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100" w:type="dxa"/>
            <w:vAlign w:val="bottom"/>
          </w:tcPr>
          <w:p>
            <w:pPr>
              <w:spacing w:after="0"/>
              <w:rPr>
                <w:sz w:val="19"/>
                <w:szCs w:val="19"/>
                <w:color w:val="auto"/>
              </w:rPr>
            </w:pPr>
          </w:p>
        </w:tc>
        <w:tc>
          <w:tcPr>
            <w:tcW w:w="12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111.4</w:t>
            </w:r>
          </w:p>
        </w:tc>
      </w:tr>
      <w:tr>
        <w:trPr>
          <w:trHeight w:val="221"/>
        </w:trPr>
        <w:tc>
          <w:tcPr>
            <w:tcW w:w="6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Restructuring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2,242,262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3,848,334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(1,606,072)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(41.7)</w:t>
            </w:r>
          </w:p>
        </w:tc>
      </w:tr>
      <w:tr>
        <w:trPr>
          <w:trHeight w:val="214"/>
        </w:trPr>
        <w:tc>
          <w:tcPr>
            <w:tcW w:w="6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163,105</w:t>
            </w:r>
          </w:p>
        </w:tc>
        <w:tc>
          <w:tcPr>
            <w:tcW w:w="10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(43.9)</w:t>
            </w:r>
          </w:p>
        </w:tc>
      </w:tr>
      <w:tr>
        <w:trPr>
          <w:trHeight w:val="260"/>
        </w:trPr>
        <w:tc>
          <w:tcPr>
            <w:tcW w:w="6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21"/>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(99.5)</w:t>
            </w:r>
          </w:p>
        </w:tc>
      </w:tr>
      <w:tr>
        <w:trPr>
          <w:trHeight w:val="221"/>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notes and securities discount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extinguishment of note payable</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(gain) on investment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13,943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(213,361)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126,206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6299200</wp:posOffset>
            </wp:positionH>
            <wp:positionV relativeFrom="paragraph">
              <wp:posOffset>-24130</wp:posOffset>
            </wp:positionV>
            <wp:extent cx="5778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-24130</wp:posOffset>
            </wp:positionV>
            <wp:extent cx="5778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-1343025</wp:posOffset>
            </wp:positionV>
            <wp:extent cx="577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-2776855</wp:posOffset>
            </wp:positionV>
            <wp:extent cx="577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-2776855</wp:posOffset>
            </wp:positionV>
            <wp:extent cx="577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-3609340</wp:posOffset>
            </wp:positionV>
            <wp:extent cx="577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161" w:lineRule="exact"/>
        <w:rPr>
          <w:sz w:val="20"/>
          <w:szCs w:val="20"/>
          <w:color w:val="auto"/>
        </w:rPr>
      </w:pPr>
    </w:p>
    <w:p>
      <w:pPr>
        <w:ind w:left="160" w:hanging="156"/>
        <w:spacing w:after="0" w:line="261" w:lineRule="auto"/>
        <w:tabs>
          <w:tab w:leader="none" w:pos="25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presented because the current or prior period amount is zero or the amount for the line item changed from a gain to a loss (or vice versa) and thus yields a result that is not meaningful.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Premiums earned, net</w:t>
      </w:r>
    </w:p>
    <w:p>
      <w:pPr>
        <w:spacing w:after="0" w:line="1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Premiums earned, net increased $150.9 million, or 13.9%, to $1,235.8 million for the year ended December 31, 2023, compared to the year ended December 31, 2022. The increase was primarily due to the increase in CMS premiums received as a result of the 3.0 to 3.5 star rating effective January 1, 2023 and an increase in risk adjustment revenue driving favorability as a result of the Company focusing on member retention.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Non-Insurance revenue</w:t>
      </w:r>
    </w:p>
    <w:p>
      <w:pPr>
        <w:spacing w:after="0" w:line="1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Non-Insurance revenue decreased $1,607.0 million, or 67.5%, to $773.2 million for the year ended December 31, 2023, compared to the year ended December 31, 2022. The decrease was driven by a decrease in the number of our aligned Non-Insurance Beneficiaries from 164,887 at December 31, 2022, to 50,529 at December 31, 2023 as a result of our strategic reduction in Non-Insurance Beneficiaries.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Other income increased $13.1 million, or 112.1%, to $24.8 million for the year ended December 31, 2023, compared to the year ended December 31, 2022. The increase was primarily attributable to an increase in net investment income, partially due to a higher interest rate environment as compared to the prior period.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Net medical claims incurred</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medical claims incurred for both Insurance and Non-Insurance decreased $1,677.6 million, or 48.6%, to $1,776.4 million for the year ended December 31, 2023, compared to the year ended December 31, 2022. The decrease was primarily attributable to a decrease in net medical claims for Non-Insurance Beneficiaries from $2,460.9 million for the year ended December 31, 2022, to $771.8 million for the year ended December 31, 2023 as a result of our strategic reduction in Non-Insurance Beneficiaries from 164,887 at December 31, 2022, to 50,529 at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Salaries and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Salaries and benefits decreased $21.6 million, or 7.7%, to $257.2 million for the year ended December 31, 2023, compared to the year ended December 31,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decrease was primarily driven by a decrease in share-based compensation related to performance-based vesting awards.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General and administrative expenses decreased $20.3 million, or 9.8%, to $187.6 million for the year ended December 31, 2023, compared to the year ended December 31, 2022. The decrease was primarily driven by a decrease in deferred acquisition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goodwill and other intangible assets</w:t>
      </w:r>
    </w:p>
    <w:p>
      <w:pPr>
        <w:spacing w:after="0" w:line="1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Impairment of goodwill and other intangible assets increased $15.9 million for the year ended December 31, 2023, compared to the year ended December 31, 2022. The impairments are primarily related to goodwill and intangible assets acquired from Juxly in 2022. Please refer to Note 8 "Goodwill and Other Intangibles" of the notes to audited consolidated financial statements included in Part II, Item 8 of this Form 10-K for additional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 deficiency reserve benefit</w:t>
      </w:r>
    </w:p>
    <w:p>
      <w:pPr>
        <w:spacing w:after="0" w:line="17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 $7.2 million premium deficiency reserve benefit was recorded for the year ended December 31, 2023, which was primarily driven by the release of the reserve related to all of our Medicare Advantage plans at the end of the 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investment</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February 2022, Character Biosciences completed a private capital transaction in which it raised $17.9 million from the issuance of 16,210,602 shares of its preferred stock. After the Company evaluated its ownership interest in Character Biosciences, it began applying the equity method of accounting during the three months ended March 31, 2022, and for the year ended December 31, 2022 recorded a gain on investment of $9.2 million, which is attributable to its proportionate share of the gain on equity of that entity during that period. Prior to the first quarter of 2022, this entity was consolidated on Clover's financial statements, and therefore the Company did not recognize a loss or gain on investment. In accordance with ASC 323, for the year ended December 31, 2022, the Company recognized the proportionate share of Character Bioscience's net losses up to the investment carrying amount. For the year ended December 31, 2023, the Company recognized $4.7 million in shared losses.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 costs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17, 2023, the Company announced it would implement certain business transformation initiatives, including an agreement to move its core plan operations to UST HealthProof’s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the Company conducted a reduction in force to better align its Selling, General, and Administrative cost structure with its revenue base. For the twelve months ended December 31, 2023 the Company recorded $9.9 million of restructuring charges related to these business transformation initiatives, which consisted of employee termination benefits, vendor related costs, and other costs. Refer to Note 23 “Restructuring Costs” of the notes to audited consolidated financial statements included in Part II, Item 8 of this Form 10-K.</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3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Historically, we have financed our operations primarily from the proceeds we received through public and private sales of equity securities, funds received in connection with the business combination which occurred early in 2021, issuances of convertible notes, premiums earned under our MA plans, and with our Non-Insurance revenue. We expect that our cash, cash equivalents, restricted cash,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Entities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cash equivalents and investment securities consist primarily of money market funds, U.S. government debt securities, and corporate debt securities. At December 31, 2023 and 2022, total restricted and unrestricted cash, cash equivalents, and investments were $417.3 million and $555.3 million, respectively. These totals consist of $228.6 million and $327.6 million at December 31, 2023 and 2022, respectively, that specifically related to available-for-sale and held-to-maturity investment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Unregulated Entities</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At December 31, 2023 and December 31, 2022, total restricted and unrestricted cash, cash equivalents, and investments for the parent company, Clover Health Investments, Corp., and unregulated subsidiaries were $136.8 million and $331.7 million, respectively, with the decrease for December 31, 2023 primarily reflecting operating expenses.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investments at the parent company were $74.0 million and $238.0 million at December 31, 2023 and December 31, 2022, respectively. Our unregulated subsidiaries held $62.8 million and $93.7 million of cash, cash equivalents, restricted cash, and investments at December 31, 2023 and December 31, 2022,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Regulated Entities</w:t>
      </w:r>
    </w:p>
    <w:p>
      <w:pPr>
        <w:spacing w:after="0" w:line="2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At December 31, 2023 and December 31, 2022 total cash, cash equivalents, restricted cash, and investments for our regulated subsidiaries were $280.5 million and $223.6 million, respectively. Additionally, our regulated insurance subsidiaries held $203.4 million and $191.1 million of available-for-sale and held-to-maturity investment securities at December 31, 2023 and December 31, 2022,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For a detailed discussion of our regulatory requirements, including aggregate statutory capital and surplus as well as dividends paid from the subsidiaries to the parent, please refer to Notes 22 (Dividend Restrictions), 24 (Statutory Equity), and 25 (Regulatory Matters) to the consolidated financial statements included in this Form 10-K, as well as in Part I.</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 for the years ended December 31, 2023 and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340" w:type="dxa"/>
            <w:vAlign w:val="bottom"/>
          </w:tcPr>
          <w:p>
            <w:pPr>
              <w:spacing w:after="0"/>
              <w:rPr>
                <w:sz w:val="19"/>
                <w:szCs w:val="19"/>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2"/>
        </w:trPr>
        <w:tc>
          <w:tcPr>
            <w:tcW w:w="8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5"/>
                <w:szCs w:val="15"/>
                <w:color w:val="auto"/>
              </w:rPr>
            </w:pPr>
          </w:p>
        </w:tc>
      </w:tr>
      <w:tr>
        <w:trPr>
          <w:trHeight w:val="226"/>
        </w:trPr>
        <w:tc>
          <w:tcPr>
            <w:tcW w:w="8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Data:</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1"/>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(115,871)</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(286,348)</w:t>
            </w:r>
          </w:p>
        </w:tc>
      </w:tr>
      <w:tr>
        <w:trPr>
          <w:trHeight w:val="221"/>
        </w:trPr>
        <w:tc>
          <w:tcPr>
            <w:tcW w:w="8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140,013</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95,133</w:t>
            </w:r>
          </w:p>
        </w:tc>
      </w:tr>
      <w:tr>
        <w:trPr>
          <w:trHeight w:val="221"/>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77,460</w:t>
            </w:r>
          </w:p>
        </w:tc>
      </w:tr>
      <w:tr>
        <w:trPr>
          <w:trHeight w:val="214"/>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in cash, cash equivalents, and restricted cash</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(113,755)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Requirements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5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largest source of operating cash flows is capitated payments from CMS. Our primary uses of cash from operating activities are payments for medical benefits and payments of operating expenses.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For the year ended December 31, 2023, Net cash used in operating activities was $115.9 million, which reflects a Net loss of $213.4 million. Non-cash activities included a $140.9 million charge to Stock-based compensation expense, and $7.2 million of amortization of the 2023 Premium deficiency reserve. Payments due to CMS related to our Non-Insurance operations decreased by $106.6 million.</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For the year ended December 31, 2022, Net cash used in operating activities was $286.3 million, which reflects a Net loss of $339.6 million. Non-cash activities included a $164.3 million charge to Stock-based compensation expense, $93.5 million amortization of the 2022 Premium deficiency reserve, and a $9.2 million Gain on investment related to the change in the equity structure of Clover Therapeutics. Payments due to CMS related to our Non-Insurance operations increased by $110.4 million. Change in our working capital included an increase within Surety bonds and deposits related to Non-Insurance. On January 5, 2024, CMS notified us that our performance year 2022 financial guarantees were officially released and cancelled. As a result, $53.6 million that was previously recognized as restricted cash within Surety bonds and deposits was released as unrestricted cash.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5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provided by investing activities for the year ended December 31, 2023 of $140.0 million was primarily due to $316.2 million provided from the sale and maturity of investment securities. This was offset by $175.6 million used to purchase investments.</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provided by investing activities for the year ended December 31, 2022, of $95.1 million was primarily due to $485.4 million provided from the sale and maturity of investment securities. This was offset by $369.4 million used to purchase investments.</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additional information regarding our investing activities, please refer to Note 3 (Investment Securities) to our consolidated financial statements included in this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5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used in financing activities for the year ended December 31, 2023 of $33.9 million was primarily the result of $28.8 million used in Change in restricted cash related to surety bonds, deposits, and escrow accounts and the acquisition of $6.2 million in Treasury stock.</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2022 of $77.5 million was primarily the result of $82.4 million provided by Change in restricted cash related to surety bonds, deposits, and escrow accounts, partially offset by the acquisition of $6.4 million in Treasury stock.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Financing Arrangements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material changes to our financing arrangements at December 31, 2023.</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1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Material cash requirements from known contractual obligations and commitments at December 31, 2023 include: (1) the recognition of a performance guarantee of $15.6 million in connection with the Company's participation in the ACO REACH Model and (2) operating lease obligations of $4.7 million. These commitments are associated with contracts that were enforceable and legally binding at December 31, 2023,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December 31, 2023. For additional information regarding our remaining estimated contractual obligations and commitments, see Note 13 (Leases), Note 19 (Commitments and Contingencies), and Note 20 (Non-Insurance) to the consolidated financial statements included in this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revenues and expenses during the period. We evaluate, on an ongoing basis, our significant accounting estimates, which include, but are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form the basis for making judgments about the carrying value of assets and liabilities that are not readily apparent from other sources. Actual results could differ from those estimates under different assumptions or conditions, which could impact our reported results of operations and financial condition.</w:t>
      </w:r>
    </w:p>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believe that the accounting policies and estimates described below involve a significant degree of judgment and complexity. Accordingly, we believe these are the most critical to aid in fully understanding and evaluating our consolidated financial condition and results of operations. For further information, see Note 2 (Summary of Significant Accounting Policies) to the consolidated financial statements included in this Form 10-K.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 Net Medical Claims Incurred</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Insurance net medical claims incurred is recognized in the period in which services are provided and includes paid claims and an estimate of the cost of services that have been incurred but not yet reported ("IBNR") and certain other unpaid claims and adjustments. IBNR represents a substantial portion of our unpaid claims, as reflected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r>
      <w:tr>
        <w:trPr>
          <w:trHeight w:val="214"/>
        </w:trPr>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0" w:type="dxa"/>
            <w:vAlign w:val="bottom"/>
            <w:tcBorders>
              <w:bottom w:val="single" w:sz="8" w:color="auto"/>
            </w:tcBorders>
          </w:tcPr>
          <w:p>
            <w:pPr>
              <w:spacing w:after="0"/>
              <w:rPr>
                <w:sz w:val="18"/>
                <w:szCs w:val="18"/>
                <w:color w:val="auto"/>
              </w:rPr>
            </w:pPr>
          </w:p>
        </w:tc>
      </w:tr>
      <w:tr>
        <w:trPr>
          <w:trHeight w:val="214"/>
        </w:trPr>
        <w:tc>
          <w:tcPr>
            <w:tcW w:w="5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82"/>
        </w:trPr>
        <w:tc>
          <w:tcPr>
            <w:tcW w:w="5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900" w:type="dxa"/>
            <w:vAlign w:val="bottom"/>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Pr>
          <w:p>
            <w:pPr>
              <w:spacing w:after="0"/>
              <w:rPr>
                <w:sz w:val="15"/>
                <w:szCs w:val="15"/>
                <w:color w:val="auto"/>
              </w:rPr>
            </w:pPr>
          </w:p>
        </w:tc>
      </w:tr>
      <w:tr>
        <w:trPr>
          <w:trHeight w:val="22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IBNR</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121,961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rPr>
              <w:t>124,165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90.4 %</w:t>
            </w:r>
          </w:p>
        </w:tc>
      </w:tr>
      <w:tr>
        <w:trPr>
          <w:trHeight w:val="221"/>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unpaid claims</w:t>
            </w:r>
          </w:p>
        </w:tc>
        <w:tc>
          <w:tcPr>
            <w:tcW w:w="280" w:type="dxa"/>
            <w:vAlign w:val="bottom"/>
          </w:tcPr>
          <w:p>
            <w:pPr>
              <w:spacing w:after="0"/>
              <w:rPr>
                <w:sz w:val="19"/>
                <w:szCs w:val="19"/>
                <w:color w:val="auto"/>
              </w:rPr>
            </w:pPr>
          </w:p>
        </w:tc>
        <w:tc>
          <w:tcPr>
            <w:tcW w:w="14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10,261</w:t>
            </w:r>
          </w:p>
        </w:tc>
        <w:tc>
          <w:tcPr>
            <w:tcW w:w="10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7"/>
                <w:szCs w:val="17"/>
                <w:color w:val="auto"/>
              </w:rPr>
              <w:t>8,255</w:t>
            </w: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6.0</w:t>
            </w:r>
          </w:p>
        </w:tc>
      </w:tr>
      <w:tr>
        <w:trPr>
          <w:trHeight w:val="22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Claims adjustment expense</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4,878</w:t>
            </w: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7"/>
                <w:szCs w:val="17"/>
                <w:color w:val="auto"/>
              </w:rPr>
              <w:t>4,974</w:t>
            </w:r>
          </w:p>
        </w:tc>
        <w:tc>
          <w:tcPr>
            <w:tcW w:w="10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3.6</w:t>
            </w:r>
          </w:p>
        </w:tc>
      </w:tr>
      <w:tr>
        <w:trPr>
          <w:trHeight w:val="214"/>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unpaid claims and claims adjustment expense</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137,100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137,394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Management determines the unpaid claims and claims adjustment expense with a supplemental perspective provided by a third-party actuarial firm. We estimate our unpaid claims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or increased incidence of illness such as influenza, the incidence of high-dollar or catastrophic claims, and other relevant factors. These factors are used to determine our lag-dependent completion factors, which represent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completion factors are the most significant factor impacting the IBNR estimate. 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there could be variances between actual completion factors and those assumed in our December 31, 2023 and 2022 unpaid claim estimates.</w:t>
      </w:r>
    </w:p>
    <w:p>
      <w:pPr>
        <w:spacing w:after="0" w:line="1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Actuarial standards require the use of assumptions based on moderately adverse experience, and as such, a provision for adverse deviation ("PAD") is recognized on current reserves and released on prior reserves. For further discussion of our reserving methodology, including our use of completion factors to estimate IBNR, refer to Note 2 (Summary of Significant Accounting Policies) in the consolidated financial statements included in this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Non-Insurance Net Medical Claims Incurred</w:t>
      </w:r>
    </w:p>
    <w:p>
      <w:pPr>
        <w:spacing w:after="0" w:line="2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Non-Insurance net medical claims incurred is recognized in the period in which services are provided and includes paid claims and an estimate of the cost of services that have been incurred but not yet reported and certain other unpaid claims and adjustments. IBNR represented all of our unpaid claims, as reflected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980" w:type="dxa"/>
            <w:vAlign w:val="bottom"/>
            <w:tcBorders>
              <w:bottom w:val="single" w:sz="8" w:color="auto"/>
            </w:tcBorders>
          </w:tcPr>
          <w:p>
            <w:pPr>
              <w:spacing w:after="0"/>
              <w:rPr>
                <w:sz w:val="19"/>
                <w:szCs w:val="19"/>
                <w:color w:val="auto"/>
              </w:rPr>
            </w:pPr>
          </w:p>
        </w:tc>
      </w:tr>
      <w:tr>
        <w:trPr>
          <w:trHeight w:val="214"/>
        </w:trPr>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980" w:type="dxa"/>
            <w:vAlign w:val="bottom"/>
            <w:tcBorders>
              <w:bottom w:val="single" w:sz="8" w:color="auto"/>
            </w:tcBorders>
          </w:tcPr>
          <w:p>
            <w:pPr>
              <w:spacing w:after="0"/>
              <w:rPr>
                <w:sz w:val="18"/>
                <w:szCs w:val="18"/>
                <w:color w:val="auto"/>
              </w:rPr>
            </w:pPr>
          </w:p>
        </w:tc>
      </w:tr>
      <w:tr>
        <w:trPr>
          <w:trHeight w:val="214"/>
        </w:trPr>
        <w:tc>
          <w:tcPr>
            <w:tcW w:w="5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82"/>
        </w:trPr>
        <w:tc>
          <w:tcPr>
            <w:tcW w:w="5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90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80" w:type="dxa"/>
            <w:vAlign w:val="bottom"/>
          </w:tcPr>
          <w:p>
            <w:pPr>
              <w:spacing w:after="0"/>
              <w:rPr>
                <w:sz w:val="15"/>
                <w:szCs w:val="15"/>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IBNR</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2,856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7"/>
                <w:szCs w:val="17"/>
                <w:color w:val="auto"/>
              </w:rPr>
              <w:t>6,119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4"/>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unpaid claims and claims adjustment expense</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2,856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6,119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actuaries estimate the unpaid claims by following a detailed actuarial process that uses historical claim payment patterns. We extrapolate in order to form an opinion of ultimate incurred claims based on claims that have been paid to date. This is generally most effective for mature coverage months under stable periods of claims adjudication; therefore, for the estimates of Primary Care Qualified Evaluation and Management expenses, we evaluate IBNR using the historical rate of payment for services based on the lag between service date and payment date. Under this approach, we include an average historical "age-to-age" estimate, excluding the highest and lowest of the historical factors. We also set a lower limit on the cumulative or "age-to-ultimate" development factors at 1.0, to prevent negative amounts incurred but not paid as a result of expected claim recoveries from being factored into our IBNR.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70" w:name="page71"/>
    <w:bookmarkEnd w:id="70"/>
    <w:p>
      <w:pPr>
        <w:jc w:val="both"/>
        <w:spacing w:after="0" w:line="273" w:lineRule="auto"/>
        <w:rPr>
          <w:sz w:val="20"/>
          <w:szCs w:val="20"/>
          <w:color w:val="auto"/>
        </w:rPr>
      </w:pPr>
      <w:r>
        <w:rPr>
          <w:rFonts w:ascii="Times New Roman" w:cs="Times New Roman" w:eastAsia="Times New Roman" w:hAnsi="Times New Roman"/>
          <w:sz w:val="17"/>
          <w:szCs w:val="17"/>
          <w:color w:val="auto"/>
        </w:rPr>
        <w:t>In addition, for more recent coverage periods we utilize historical estimates of completed claims to estimate the cost of subsequent months based on either expected or known changes in cost drivers. These cost drivers include weekday seasonality, secular seasonality, direct COVID cases and other adjustments as necessary, which enable our actuaries to estimate claims when the available claims experience is either limited or ambiguous.</w:t>
      </w:r>
    </w:p>
    <w:p>
      <w:pPr>
        <w:spacing w:after="0" w:line="1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Our actuaries also consider this population's history of observed completion percentages in estimating ultimate claims incurred, using completion percentages that are consistent with historical ranges and informed by new information with other functional departments.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reserving practice is to recognize the actuarial best estimate of our ultimate liability for claims. Actuarial standards require the use of assumptions based on moderately adverse experience, and as such, a provision for adverse deviation is recognized on current reserves and released on prior reserves. The PAD is lower for Non-Insurance than Insurance; for Non-Insurance, claims submission and payment patterns support more precise estimates than are observed in the Insurance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 Deficiency Reserve (Benefit) Expense</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premium deficiency reserve is established when future premiums and current reserves are not sufficient to cover future claim payments and expenses for the remainder of a contract period. These reserves are required to monitor solvency and help ensure that a reporting entity's contractual obligations will be adequately funded. We assess the profitability of our MA contracts to identify where current operating results or forecasts indicate potential future losses. We do not assess the impacts of the premium deficiency reserve for our Non-Insurance operations as that business segment is not an insurance plan and is not accounted for under ASC 944 - Financial Services—Insurance.</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reserve is derived from the assessments performed and provides the amount by which insurance-related expenses are expected to exceed insurance revenues in addition to net investment income. There are key financial statement line items and associated drivers considered in determining the reserve. The most significant of financial statement line items considered when performing reserve assessments are premiums earned, net investment income, and insurance net medical claims incurred. Key inputs considered for premiums earned include expected enrollment changes, revenue rates, risk adjustment, and risk score forecasts. Key metrics considered for insurance net medical claims incurred include claims experience, benefit changes, membership mix, membership changes, and medical management programs. Administrative expenses are assessed for expenses directly and indirectly incurred in order to operate the insurance entities and cannot exceed a percentage of regulatory entity premiums earned due to contractual agreements. There are other operating activities that are considered in accordance with regulatory guidelines.</w:t>
      </w:r>
    </w:p>
    <w:p>
      <w:pPr>
        <w:spacing w:after="0" w:line="2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premium deficiency reserve assessment is performed on a quarterly basis. Every quarter, reserve assessments are made for the period following the most recently ended period through to the end of the current year. For the fourth quarter, assessments are made related to the entire subsequent fiscal year's projected net performance. If a reserve is deemed necessary, a liability and expense will be recognized as of the end of the quarter directly preceding the period for which the future loss is projected. That reserve will be amortized over the course of the contract period assessed to have expected insurance expenses that will exceed insurance revenues. The amortization of the reserve occurs ratably over the assessed contract period and will offset expected future losses</w:t>
      </w:r>
      <w:r>
        <w:rPr>
          <w:rFonts w:ascii="Times New Roman" w:cs="Times New Roman" w:eastAsia="Times New Roman" w:hAnsi="Times New Roman"/>
          <w:sz w:val="17"/>
          <w:szCs w:val="17"/>
          <w:color w:val="222222"/>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Insurance</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receive monthly premiums from the federal government according to government-specified payment rates and various contractual terms. Revenue from premiums earned is recognized as income in the period in which members are entitled to receive services. Premiums received in advance of the service period are reported within other liabilities and subsequently recognized as revenue in the period earned.</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CMS uses a risk-adjustment model that adjusts premiums paid to MA contracts, based on member risk scores, which are meant to compensate plans that enroll Medicare members with higher-than-average health risks and to reduce payments for healthier Medicare beneficiaries who have lower health risks. Risk scores are based on member diagnoses from the previous year and are periodically adjusted retroactively based on additional plan data collection. Risk adjustments can have a positive or negative retroactive impact to rates. Prospective payments to MA plans are based on the estimated cost of providing standard Medicare-covered benefits to a member with an average risk profile. Under the risk-adjustment methodology, all MA plans must collect and submit the necessary diagnosis code information to CMS within prescribed deadlines. Estimated retroactive lump-sum settlement payments are accrued within revenue for premiums earned to account for the difference between lag risk scores, mid-year risk scores and final risk scores. Any known or expected unfavorable risk score impacts related to quality assurance diagnosis deletions or risk adjustment data validation audits are also considered within accruals and are recorded as a reduction of revenue from premiums earned, based on available information.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i w:val="1"/>
          <w:iCs w:val="1"/>
          <w:color w:val="auto"/>
        </w:rPr>
        <w:t>Medicare Advantage Part D</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Payments received from CMS and members in connection with our participation in the Medicare Advantage Part D program are determined from our annual bid and represent amounts for providing prescription drug insurance coverage; these amounts are recognized as premium revenue for providing this insurance coverage ratably over the term of the annual contract.</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Part D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requiring us to refund to CMS a portion of the premiums received. Management estimates and recognizes an adjustment to premium revenue related to these provisions based upon pharmacy claims experience and input from third-party experts. Management records a receivable or payable at the contract level.</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Rebates are paid by drug manufacturers to our pharmacy benefit manager ("PBM"), which shares a portion of the rebates with us. Management estimates favorable adjustments to medical expenses related to rebates negotiated by the PBM on our behalf. Estimates are based on both actual and estimated pharmacy claims experience throughout the year as well as input from third-party experts and the PBM. Management records a receivable at the contract level.</w:t>
      </w:r>
    </w:p>
    <w:p>
      <w:pPr>
        <w:spacing w:after="0" w:line="1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There are additional cost-sharing elements that are recorded within medical expenses and take into account factors such as member income levels, brand-name versus generic drug spend, and total spend by member within a plan year. Management estimates and recognizes adjustments to medical expenses based upon inputs such as pharmacy claims experience, and rebate activity. Management records a receivable or payable at the end of the year based on these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Non-Insurance</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Non-Insurance revenue represents CMS' total expense incurred for medical services provided on behalf of Non-Insurance Beneficiaries during months in which they were alignment-eligible during the performance year. Non-Insurance revenue is calculated as the sum of the capitation payments made to us for services within the scope of our capitation arrangement plus FFS payments made to providers directly from CMS. Non-Insurance revenue is also known in the ACO REACH Model as performance year expenditures and is the primary component used to calculate shared savings or shared loss versus the performance year benchmark. Non-Insurance revenue includes a direct reduction or increase of shared savings or loss, which is calculated as the difference between the total benchmark and CMS' total expense. Premiums and recoupments incurred in direct relation to the ACO REACH Model are recognized as a reduction or increase in Non-Insurance revenue.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Non-Insurance Receivable and Performance Year Obligation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Performance year receivable and obligation represents the average Medicare beneficiary's total cost of care for beneficiaries aligned to our ACO and refers to the target expenditure amount that will be compared to Medicare expenditures for items and services furnished to aligned beneficiaries during a performance year. This comparison will be used to calculate shared savings and shared losses.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key inputs in determining the performance year receivable and obligation are both driven by the benchmark, which is impacted by the retrospective trend adjustments ("RTA"s), risk score, quality performance, and the number of beneficiaries aligned to the ACO. We begin our benchmark estimation process with reports from the Centers for Medicare &amp; Medicaid Services Innovation Center ("CMMI") on a quarterly basis. Prospective and retrospective trends are set at a national level. We make adjustments to the benchmark report based on new information received directly from CMMI, national studies we complete ourselves, or other anticipated policy updates that we believe are probable and estimable. The preliminary benchmark is set based on risk scores with data captured as of a certain point in time. Once new data is received, an updated analysis of claims provides an opportunity for the benchmark to be adjusted. Lastly, Non-Insurance Beneficiary counts are updated throughout the year and represent a timing difference between CMMI reporting, for which we accrue.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72" w:name="page73"/>
    <w:bookmarkEnd w:id="72"/>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 summarizes the impacts of the key inputs to the Non-Insurance receivable and Non-Insurance performance year obligation that contribute to the change in the benchmark from the beginning of the 2023 performance year: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Increase (Decrease) in the adjustment to Non-Insurance Receivable/Obligation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ind w:right="176"/>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182"/>
        </w:trPr>
        <w:tc>
          <w:tcPr>
            <w:tcW w:w="7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6"/>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Beneficiary Alignment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center"/>
              <w:ind w:left="676"/>
              <w:spacing w:after="0"/>
              <w:rPr>
                <w:sz w:val="20"/>
                <w:szCs w:val="20"/>
                <w:color w:val="auto"/>
              </w:rPr>
            </w:pPr>
            <w:r>
              <w:rPr>
                <w:rFonts w:ascii="Times New Roman" w:cs="Times New Roman" w:eastAsia="Times New Roman" w:hAnsi="Times New Roman"/>
                <w:sz w:val="17"/>
                <w:szCs w:val="17"/>
                <w:color w:val="auto"/>
              </w:rPr>
              <w:t>(14,749)</w:t>
            </w:r>
          </w:p>
        </w:tc>
      </w:tr>
      <w:tr>
        <w:trPr>
          <w:trHeight w:val="221"/>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Retrospective Trend Adjustment</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center"/>
              <w:ind w:left="716"/>
              <w:spacing w:after="0"/>
              <w:rPr>
                <w:sz w:val="20"/>
                <w:szCs w:val="20"/>
                <w:color w:val="auto"/>
              </w:rPr>
            </w:pPr>
            <w:r>
              <w:rPr>
                <w:rFonts w:ascii="Times New Roman" w:cs="Times New Roman" w:eastAsia="Times New Roman" w:hAnsi="Times New Roman"/>
                <w:sz w:val="17"/>
                <w:szCs w:val="17"/>
                <w:color w:val="auto"/>
              </w:rPr>
              <w:t>33,134</w:t>
            </w:r>
          </w:p>
        </w:tc>
      </w:tr>
      <w:tr>
        <w:trPr>
          <w:trHeight w:val="221"/>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Normalized Risk Score</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676"/>
              <w:spacing w:after="0"/>
              <w:rPr>
                <w:sz w:val="20"/>
                <w:szCs w:val="20"/>
                <w:color w:val="auto"/>
              </w:rPr>
            </w:pPr>
            <w:r>
              <w:rPr>
                <w:rFonts w:ascii="Times New Roman" w:cs="Times New Roman" w:eastAsia="Times New Roman" w:hAnsi="Times New Roman"/>
                <w:sz w:val="17"/>
                <w:szCs w:val="17"/>
                <w:color w:val="auto"/>
              </w:rPr>
              <w:t>(12,064)</w:t>
            </w:r>
          </w:p>
        </w:tc>
      </w:tr>
      <w:tr>
        <w:trPr>
          <w:trHeight w:val="221"/>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All others (including change in total cost of care trend)</w:t>
            </w: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center"/>
              <w:ind w:left="676"/>
              <w:spacing w:after="0"/>
              <w:rPr>
                <w:sz w:val="20"/>
                <w:szCs w:val="20"/>
                <w:color w:val="auto"/>
              </w:rPr>
            </w:pPr>
            <w:r>
              <w:rPr>
                <w:rFonts w:ascii="Times New Roman" w:cs="Times New Roman" w:eastAsia="Times New Roman" w:hAnsi="Times New Roman"/>
                <w:sz w:val="17"/>
                <w:szCs w:val="17"/>
                <w:color w:val="auto"/>
              </w:rPr>
              <w:t>(19,684)</w:t>
            </w:r>
          </w:p>
        </w:tc>
      </w:tr>
      <w:tr>
        <w:trPr>
          <w:trHeight w:val="214"/>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7"/>
                <w:szCs w:val="17"/>
                <w:color w:val="auto"/>
              </w:rPr>
              <w:t>(13,363)</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Legacy Warrants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September 2015, we issued warrants to purchase 2,100,000 shares of our common stock. On March 21, 2017, we entered into a loan facility (the "Loan Facility") for an aggregate principal amount of $60.0 million. In conjunction with the Loan Facility, we issued 1,266,284 warrants to purchase shares of our Series D preferred stock. The September 2015 warrants and the Loan Facility warrants were determined to be freestanding instruments as they were detachable and separately exercisable. On October 5, 2020, we entered into the Merger Agreement with SCH and simultaneously amended the terms of the legacy warrants, and they were automatically converted into common stock in connection with the 2021 Business Combination. For additional information related to the Legacy Warrants, please refer to Item 7. Management's Discussion and Analysis of Critical Accounting Policies and Estimates of our Annual Report on Form 10-K for the year ended December 31, 2021, filed with the SEC on February 28,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Warrants and Private Placement Warrants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assumed, in connection with the 2021 Business Combination, public warrants and private placement warrants to purchase shares of our Class A Common Stock (the "Public Warrants" and the "Private Placement Warrants," respectively). These warrants were accounted for as liabilities in accordance with ASC 815-40 and were presented within warrants payable on the 2021 Consolidated Balance Sheets. The warrant liabilities are measured at fair value at inception and on a recurring basis until redeemed, with changes in fair value presented within Change in fair value of warrants within the audited Consolidated Statements of Operations and Comprehensive Loss. The Public Warrants were classified within Level 1 of the fair value hierarchy because the fair value was equal to the publicly traded price of the Public Warrants. The Private Placement Warrants were classified within Level 2 of the fair value hierarchy because the fair value was estimated using the price of the Public Warrants. On July 22, 2021, we issued a press release stating that we would redeem all unexercised Public Warrants and Private Placement Warrants. In connection with the redemption, effective August 24, 2021, the Public Warrants were delisted and classified within Level 2 of the fair value hierarchy as the fair value of the Public Warrants was based on proportional changes in the price of our common stock. There were no Private Placement Warrants outstanding at August 24,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Warrants</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December 31, 2022, the Company had exercisable private warrants which were embedded in several agreements as derivatives. These private warrants were accounted for as assets in accordance with ASC 815-40 and are presented within Other assets, non-current on the Consolidated Balance Sheets. The warrant assets are measured at fair value at inception and on a recurring basis until redeemed, with changes in fair value presented within Change in fair value of warrants within the audited Consolidated Statements of Operations and Comprehensive Loss. These private warrants were classified within Level 3 due to the subjectivity and use of estimates in the calculation of their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Liabilities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evaluated the embedded features of the Convertible Securities by applying the derivatives accounting guidance. Derivatives embedded within non-derivative instruments, such as convertible securities, are bifurcated from the host instrument when the embedded derivative is not clearly and closely related to the host instrument. The embedded derivatives associated with the Convertible Securities were recognized as derivative liabilities and recorded at fair value.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73" w:name="page74"/>
    <w:bookmarkEnd w:id="73"/>
    <w:p>
      <w:pPr>
        <w:jc w:val="both"/>
        <w:spacing w:after="0" w:line="259" w:lineRule="auto"/>
        <w:rPr>
          <w:sz w:val="20"/>
          <w:szCs w:val="20"/>
          <w:color w:val="auto"/>
        </w:rPr>
      </w:pPr>
      <w:r>
        <w:rPr>
          <w:rFonts w:ascii="Times New Roman" w:cs="Times New Roman" w:eastAsia="Times New Roman" w:hAnsi="Times New Roman"/>
          <w:sz w:val="17"/>
          <w:szCs w:val="17"/>
          <w:color w:val="auto"/>
        </w:rPr>
        <w:t>Fair values of the Legacy warrants and derivative liabilities related to the Convertible Securities were estimated using a probability-weighted expected return method, where the values of various instruments were estimated based on an analysis of future values of our business, assuming various future outcomes. The resulting instruments' values were based upon the probability-weighted present value of expected future investment returns, considering each of the possible future outcomes available to us, as well as the economic benefits attributable to each class of instruments. The expected future investment returns were estimated using a variety of methodologies, including both the market approach and the income approach, where an observable quoted market does not exist, and were generally classified as Level 3. Such methodologies included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was performed using option pricing models, and probability-weighted average value indications were used to arrive at the estimated fair values. No such derivative liabilities exist at December 31,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information on fair values of the Public Warrants and Private Placement Warrants, please refer to the section entitled "Warrants" above.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measure and recognize compensation expense for all stock-based awards, including Options and RSUs granted to employees, directors, and non-employee consultant, and stock purchase rights granted under the 2020 Employee Stock Purchase Plan ("ESPP") to employees, based on the estimated fair value of the awards on the date of grant. The fair value of each Option and stock purchase right is estimated using the Black-Scholes option-pricing model. The fair value of each RSU is based on the estimated fair value of our common stock on the date of grant.</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within the audited Consolidated Statements of Operations and Comprehensive Loss within Salaries and benefits. We recognize stock-based compensation expense for the portion of awards that have vested. Forfeitures are recorded as they occur.</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also grant certain awards that have performance-based vesting conditions, including performance restricted stock units that become eligible to vest based on achievement of certain Company or individual performance milestones (“Non-Market PRSUs”) and other performance restricted stock units that become eligible to vest if, prior to the vesting date, the average closing price of one share of our common stock for ninety consecutive days equals or exceeds a specified price ("Market PRSUs"). Stock-based compensation expense for such awards is recognized using an accelerated attribution method from the time it is deemed probable that the vesting condition will be met through the time the service-based vesting condition has been achieved. The grant date fair value of the Market PRSUs is recognized as expense over the vesting period under the accelerated attribution method and is not adjusted in future periods for the success or failure to achieve the specified market condition. We have also determined the requisite service period for the Market PRSUs with multiple performance conditions to be the longest of the explicit, implicit, or derived service period. The determination of the grant-date fair value using an option-pricing model is affected by the estimated fair value of our common stock as well as assumptions regarding a number of other complex and subjective variables. These variables include expected stock price volatility over an expected term, actual and projected employee stock option exercise behaviors, the risk-free interest rate for an expected term, and expected dividends. The assumptions used in our option-pricing model represent our best estimates. These estimates involve inherent uncertainties and the application of judgment. If factors change and different assumptions are used, our stock-based compensation expense could be materially different in the future. These assumptions are estimated as follows:</w:t>
      </w:r>
    </w:p>
    <w:p>
      <w:pPr>
        <w:spacing w:after="0" w:line="223" w:lineRule="exact"/>
        <w:rPr>
          <w:sz w:val="20"/>
          <w:szCs w:val="20"/>
          <w:color w:val="auto"/>
        </w:rPr>
      </w:pPr>
    </w:p>
    <w:p>
      <w:pPr>
        <w:jc w:val="both"/>
        <w:ind w:left="160" w:right="160"/>
        <w:spacing w:after="0" w:line="273" w:lineRule="auto"/>
        <w:rPr>
          <w:sz w:val="20"/>
          <w:szCs w:val="20"/>
          <w:color w:val="auto"/>
        </w:rPr>
      </w:pPr>
      <w:r>
        <w:rPr>
          <w:rFonts w:ascii="Times New Roman" w:cs="Times New Roman" w:eastAsia="Times New Roman" w:hAnsi="Times New Roman"/>
          <w:sz w:val="17"/>
          <w:szCs w:val="17"/>
          <w:color w:val="auto"/>
        </w:rPr>
        <w:t>Expected term - For Options considered to be "plain vanilla" options, we estimate the expected term based on the simplified method, which is essentially the weighted average of the vesting period and contractual term, as our historical option exercise experience does not provide a reasonable basis upon which to estimate the expected term.</w:t>
      </w:r>
    </w:p>
    <w:p>
      <w:pPr>
        <w:spacing w:after="0" w:line="190" w:lineRule="exact"/>
        <w:rPr>
          <w:sz w:val="20"/>
          <w:szCs w:val="20"/>
          <w:color w:val="auto"/>
        </w:rPr>
      </w:pPr>
    </w:p>
    <w:p>
      <w:pPr>
        <w:jc w:val="both"/>
        <w:ind w:left="160" w:right="160"/>
        <w:spacing w:after="0" w:line="292" w:lineRule="auto"/>
        <w:rPr>
          <w:sz w:val="20"/>
          <w:szCs w:val="20"/>
          <w:color w:val="auto"/>
        </w:rPr>
      </w:pPr>
      <w:r>
        <w:rPr>
          <w:rFonts w:ascii="Times New Roman" w:cs="Times New Roman" w:eastAsia="Times New Roman" w:hAnsi="Times New Roman"/>
          <w:sz w:val="17"/>
          <w:szCs w:val="17"/>
          <w:color w:val="auto"/>
        </w:rPr>
        <w:t>Expected volatility - We perform an analysis of the average volatility of a peer group of representative public companies with sufficient trading history over the expected term to develop an expected volatility assumption.</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grant date fair value of the Market PRSUs is recognized as expense over the vesting period under the accelerated attribution method and is not adjusted in future periods for the success or failure to achieve the specified market condition. The grant date fair value of Market PRSUs is determined using a Monte Carlo simulation model that incorporates multiple valuation assumptions, including the probability of achieving the specified market condition, expected volatility and risk-free interest rate. There have been no Market PRSU awards granted during the years ended December 31, 2023 and 2022. The grant date fair value of Non-Market PRSUs is determined based on the closing price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74" w:name="page75"/>
    <w:bookmarkEnd w:id="74"/>
    <w:p>
      <w:pPr>
        <w:ind w:right="60"/>
        <w:spacing w:after="0" w:line="276" w:lineRule="auto"/>
        <w:rPr>
          <w:sz w:val="20"/>
          <w:szCs w:val="20"/>
          <w:color w:val="auto"/>
        </w:rPr>
      </w:pPr>
      <w:r>
        <w:rPr>
          <w:rFonts w:ascii="Times New Roman" w:cs="Times New Roman" w:eastAsia="Times New Roman" w:hAnsi="Times New Roman"/>
          <w:sz w:val="17"/>
          <w:szCs w:val="17"/>
          <w:color w:val="auto"/>
        </w:rPr>
        <w:t>See Note 16 (Employee Benefit Plans) to the consolidated financial statements included in this Form 10-K for a complete description of the accounting for stock-based compensation awards.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and Adopted Accounting Pronouncements</w:t>
      </w:r>
    </w:p>
    <w:p>
      <w:pPr>
        <w:spacing w:after="0" w:line="24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Note 2 (Summary of Significant Accounting Policies) to the consolidated financial statements included in this Form 10-K for a discussion of accounting pronouncements recently adopted and recently issued accounting pronouncements not yet adopted and their potential impact to our financial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1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We are also exposed to credit risk on our investment portfolio. We manage the exposure to credit risk in our portfolio by investing in high quality securities and diversifying our holdings.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December 31, 2023, none of our fixed maturity securities portfolio was unrated or rated below investment grade.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 Risk</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United States economy continues to be impacted by inflation.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 We continue to monitor the potential impacts from inflation and are prepared to respond to inflationary pressures as necessary.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and Supplementary Data</w:t>
      </w:r>
    </w:p>
    <w:p>
      <w:pPr>
        <w:spacing w:after="0" w:line="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333333"/>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Clover Health Investments, Corp.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Clover Health Investments, Corp. (the Company) as of December 31, 2023 and 2022, the related consolidated statements of operations and comprehensive loss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changes in convertible preferred stock and stockholders' equity and cash flows for each of the three years in the period ended December 31, 2023, and the related notes and financial statement schedules listed in the Index at Item 15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9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14, 2024 expressed an unqualified opinion thereon.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76" w:name="page77"/>
    <w:bookmarkEnd w:id="76"/>
    <w:p>
      <w:pPr>
        <w:ind w:left="1240"/>
        <w:spacing w:after="0"/>
        <w:rPr>
          <w:sz w:val="20"/>
          <w:szCs w:val="20"/>
          <w:color w:val="auto"/>
        </w:rPr>
      </w:pPr>
      <w:r>
        <w:rPr>
          <w:rFonts w:ascii="Times New Roman" w:cs="Times New Roman" w:eastAsia="Times New Roman" w:hAnsi="Times New Roman"/>
          <w:sz w:val="17"/>
          <w:szCs w:val="17"/>
          <w:b w:val="1"/>
          <w:bCs w:val="1"/>
          <w:i w:val="1"/>
          <w:iCs w:val="1"/>
          <w:color w:val="auto"/>
        </w:rPr>
        <w:t>Valuation of incurred but not reported reserves</w:t>
      </w:r>
    </w:p>
    <w:p>
      <w:pPr>
        <w:sectPr>
          <w:pgSz w:w="11900" w:h="16838" w:orient="portrait"/>
          <w:cols w:equalWidth="0" w:num="1">
            <w:col w:w="11220"/>
          </w:cols>
          <w:pgMar w:left="320" w:top="740" w:right="359" w:bottom="1440" w:gutter="0" w:footer="0" w:header="0"/>
        </w:sect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line="279"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December 31, 2023, the Company’s unpaid claims was $138.6 million, a significant portion is incurred but not reported reserves. As discussed in Notes 2 and 9 to the consolidated financial statements, the Company’s incurred but not reported (IBNR) liability is determined by using actuarial methods that include a number of factors and assumptions, including completion factors, which seek to measure the cumulative percentage of claims expense that have been paid as of the reporting date based on historical claim payment patterns, and assumed medical cost trend factors, which represent an estimate of claims expense based on recent claims expense levels and medical cost levels. There is significant uncertainty inherent in determining management’s best estimate of completion and trend factors, which are used to calculate actuarial estimates of IBNR.</w:t>
      </w:r>
    </w:p>
    <w:p>
      <w:pPr>
        <w:spacing w:after="0" w:line="200" w:lineRule="exact"/>
        <w:rPr>
          <w:sz w:val="20"/>
          <w:szCs w:val="20"/>
          <w:color w:val="auto"/>
        </w:rPr>
      </w:pPr>
    </w:p>
    <w:p>
      <w:pPr>
        <w:spacing w:after="0" w:line="21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Auditing management’s best estimate of the IBNR was complex and required the involvement of our actuarial specialists due to the highly judgmental nature of completion and trend factor assumptions used in the valuation process. These assumptions have a significant effect on the valuation of the IBNR liability.</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actuarial process for estimating the liability for incurred but not paid claims. These audit procedures included among others, testing management review controls over the application of the actuarial assumptions within the reserve models and the review and approval processes that management has in place for estimating the liability for incurred but not paid claims.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To test the Company’s liability for IBNR,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w:t>
      </w:r>
    </w:p>
    <w:p>
      <w:pPr>
        <w:spacing w:after="0" w:line="1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involved actuarial specialists to assist with our audit procedures, which included, among others, evaluating the methodologies and assumptions applied by the Company in determining the IBNR and independently calculating a range of IBNR estimates for comparison to management’s actuarial best estimate of the IBNR. Additionally, we performed a review of the prior period IBNR liabilities to subsequent claims development.</w:t>
      </w:r>
    </w:p>
    <w:p>
      <w:pPr>
        <w:spacing w:after="0" w:line="547" w:lineRule="exact"/>
        <w:rPr>
          <w:sz w:val="20"/>
          <w:szCs w:val="20"/>
          <w:color w:val="auto"/>
        </w:rPr>
      </w:pPr>
    </w:p>
    <w:p>
      <w:pPr>
        <w:sectPr>
          <w:pgSz w:w="11900" w:h="16838" w:orient="portrait"/>
          <w:cols w:equalWidth="0" w:num="2">
            <w:col w:w="2300" w:space="260"/>
            <w:col w:w="8660"/>
          </w:cols>
          <w:pgMar w:left="320" w:top="7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type w:val="continuous"/>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7"/>
          <w:szCs w:val="17"/>
          <w:color w:val="231F20"/>
        </w:rPr>
        <w:t>CLOVER HEALTH INVESTMENTS,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231F20"/>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Pr>
          <w:p>
            <w:pPr>
              <w:spacing w:after="0"/>
              <w:rPr>
                <w:sz w:val="19"/>
                <w:szCs w:val="19"/>
                <w:color w:val="auto"/>
              </w:rPr>
            </w:pPr>
          </w:p>
        </w:tc>
      </w:tr>
      <w:tr>
        <w:trPr>
          <w:trHeight w:val="228"/>
        </w:trPr>
        <w:tc>
          <w:tcPr>
            <w:tcW w:w="8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1"/>
        </w:trPr>
        <w:tc>
          <w:tcPr>
            <w:tcW w:w="832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1"/>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122,863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103,791</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41,457</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securities, available-for-sale (Amortized cost: 2023: $101,412; 2022: $193,300)</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100,702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189,498</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securities, held-to-maturity (Fair value: 2023: $6,778; 2022: $15)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retrospective premiums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20,387</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receivables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23,596</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Healthcare receivables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70,607</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Non-Insurance receivable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52,955</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Surety bonds and deposits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55,631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100,502</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Prepaid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18,146</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current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w:t>
            </w:r>
          </w:p>
        </w:tc>
      </w:tr>
      <w:tr>
        <w:trPr>
          <w:trHeight w:val="214"/>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427,970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624,997</w:t>
            </w:r>
          </w:p>
        </w:tc>
      </w:tr>
      <w:tr>
        <w:trPr>
          <w:trHeight w:val="240"/>
        </w:trPr>
        <w:tc>
          <w:tcPr>
            <w:tcW w:w="8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securities, available-for-sale (Amortized cost: 2023: $121,868; 2022: $142,940)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120,208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137,368</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securities, held-to-maturity (Fair value: 2023: $692; 2022: $636)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5,753</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4,025</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Goodwill and other intangible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assets, non-current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15,735</w:t>
            </w:r>
          </w:p>
        </w:tc>
      </w:tr>
      <w:tr>
        <w:trPr>
          <w:trHeight w:val="214"/>
        </w:trPr>
        <w:tc>
          <w:tcPr>
            <w:tcW w:w="8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570,671</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808,620</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64135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39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color w:val="231F20"/>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Pr>
          <w:p>
            <w:pPr>
              <w:spacing w:after="0"/>
              <w:rPr>
                <w:sz w:val="19"/>
                <w:szCs w:val="19"/>
                <w:color w:val="auto"/>
              </w:rPr>
            </w:pPr>
          </w:p>
        </w:tc>
      </w:tr>
      <w:tr>
        <w:trPr>
          <w:trHeight w:val="228"/>
        </w:trPr>
        <w:tc>
          <w:tcPr>
            <w:tcW w:w="8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1"/>
        </w:trPr>
        <w:tc>
          <w:tcPr>
            <w:tcW w:w="832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1"/>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Unpaid claims</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138,593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141,947</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Due to related parties,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performance year obligation, current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73,844</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Non-Insurance payable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148,191</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32,445</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23,962</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Premium deficiency reserve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7,239</w:t>
            </w:r>
          </w:p>
        </w:tc>
      </w:tr>
      <w:tr>
        <w:trPr>
          <w:trHeight w:val="221"/>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 current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14"/>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261,115</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431,507</w:t>
            </w:r>
          </w:p>
        </w:tc>
      </w:tr>
      <w:tr>
        <w:trPr>
          <w:trHeight w:val="240"/>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w:t>
            </w:r>
          </w:p>
        </w:tc>
      </w:tr>
      <w:tr>
        <w:trPr>
          <w:trHeight w:val="221"/>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20,164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16,193</w:t>
            </w:r>
          </w:p>
        </w:tc>
      </w:tr>
      <w:tr>
        <w:trPr>
          <w:trHeight w:val="214"/>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284,277</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451,733</w:t>
            </w:r>
          </w:p>
        </w:tc>
      </w:tr>
      <w:tr>
        <w:trPr>
          <w:trHeight w:val="201"/>
        </w:trPr>
        <w:tc>
          <w:tcPr>
            <w:tcW w:w="8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19)</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69"/>
        </w:trPr>
        <w:tc>
          <w:tcPr>
            <w:tcW w:w="832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Class A Common Stock, $0.0001 par value; 2,500,000,000 shares authorized at December 31, 2023 and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9"/>
        </w:trPr>
        <w:tc>
          <w:tcPr>
            <w:tcW w:w="832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December 31, 2022; 401,183,882 and 383,998,718 issued and outstanding at December 31, 2023 and December 31,</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4"/>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2022, respectively</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169"/>
        </w:trPr>
        <w:tc>
          <w:tcPr>
            <w:tcW w:w="83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7"/>
                <w:szCs w:val="17"/>
                <w:color w:val="auto"/>
              </w:rPr>
              <w:t>Class B Common Stock, $0.0001 par value; 500,000,000 shares authorized at December 31, 2023 and December 31,</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4"/>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2022; 87,867,732 and 94,394,852 issued and outstanding at December 31, 2023 and December 31, 2022, respectively</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2,461,238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2,319,157</w:t>
            </w:r>
          </w:p>
        </w:tc>
      </w:tr>
      <w:tr>
        <w:trPr>
          <w:trHeight w:val="221"/>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(9,374)</w:t>
            </w:r>
          </w:p>
        </w:tc>
      </w:tr>
      <w:tr>
        <w:trPr>
          <w:trHeight w:val="221"/>
        </w:trPr>
        <w:tc>
          <w:tcPr>
            <w:tcW w:w="8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(2,159,794)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(1,946,433)</w:t>
            </w:r>
          </w:p>
        </w:tc>
      </w:tr>
      <w:tr>
        <w:trPr>
          <w:trHeight w:val="169"/>
        </w:trPr>
        <w:tc>
          <w:tcPr>
            <w:tcW w:w="83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7"/>
                <w:szCs w:val="17"/>
                <w:color w:val="auto"/>
              </w:rPr>
              <w:t>Less: Treasury stock, at cost; 7,912,750 and 2,072,752 shares held at December 31, 2023 and December 31, 2022,</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4"/>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respectively</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(12,729)</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(6,509)</w:t>
            </w:r>
          </w:p>
        </w:tc>
      </w:tr>
      <w:tr>
        <w:trPr>
          <w:trHeight w:val="214"/>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286,394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356,887</w:t>
            </w:r>
          </w:p>
        </w:tc>
      </w:tr>
      <w:tr>
        <w:trPr>
          <w:trHeight w:val="239"/>
        </w:trPr>
        <w:tc>
          <w:tcPr>
            <w:tcW w:w="8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570,671</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808,620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color w:val="231F20"/>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per share and share amounts)</w:t>
      </w:r>
    </w:p>
    <w:p>
      <w:pPr>
        <w:spacing w:after="0" w:line="200" w:lineRule="exact"/>
        <w:rPr>
          <w:sz w:val="20"/>
          <w:szCs w:val="20"/>
          <w:color w:val="auto"/>
        </w:rPr>
      </w:pP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6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980" w:type="dxa"/>
            <w:vAlign w:val="bottom"/>
            <w:tcBorders>
              <w:bottom w:val="single" w:sz="8" w:color="auto"/>
            </w:tcBorders>
          </w:tcPr>
          <w:p>
            <w:pPr>
              <w:spacing w:after="0"/>
              <w:rPr>
                <w:sz w:val="19"/>
                <w:szCs w:val="19"/>
                <w:color w:val="auto"/>
              </w:rPr>
            </w:pPr>
          </w:p>
        </w:tc>
      </w:tr>
      <w:tr>
        <w:trPr>
          <w:trHeight w:val="214"/>
        </w:trPr>
        <w:tc>
          <w:tcPr>
            <w:tcW w:w="6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Premiums earned, net (Net of ceded premiums of $444, $470, and $489 for the years ended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2"/>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 and 2022, and 2021 respectively)</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1,235,769</w:t>
            </w:r>
          </w:p>
        </w:tc>
        <w:tc>
          <w:tcPr>
            <w:tcW w:w="100" w:type="dxa"/>
            <w:vAlign w:val="bottom"/>
          </w:tcPr>
          <w:p>
            <w:pPr>
              <w:spacing w:after="0"/>
              <w:rPr>
                <w:sz w:val="21"/>
                <w:szCs w:val="21"/>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799,414</w:t>
            </w:r>
          </w:p>
        </w:tc>
      </w:tr>
      <w:tr>
        <w:trPr>
          <w:trHeight w:val="221"/>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Non-Insurance revenue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667,639</w:t>
            </w:r>
          </w:p>
        </w:tc>
      </w:tr>
      <w:tr>
        <w:trPr>
          <w:trHeight w:val="221"/>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4,943</w:t>
            </w:r>
          </w:p>
        </w:tc>
      </w:tr>
      <w:tr>
        <w:trPr>
          <w:trHeight w:val="214"/>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2,033,720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3,476,687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1,471,996</w:t>
            </w:r>
          </w:p>
        </w:tc>
      </w:tr>
      <w:tr>
        <w:trPr>
          <w:trHeight w:val="227"/>
        </w:trPr>
        <w:tc>
          <w:tcPr>
            <w:tcW w:w="6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1"/>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medical claims incurred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3,453,952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1,551,178</w:t>
            </w:r>
          </w:p>
        </w:tc>
      </w:tr>
      <w:tr>
        <w:trPr>
          <w:trHeight w:val="221"/>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Salaries and benefits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260,458</w:t>
            </w:r>
          </w:p>
        </w:tc>
      </w:tr>
      <w:tr>
        <w:trPr>
          <w:trHeight w:val="221"/>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185,287</w:t>
            </w:r>
          </w:p>
        </w:tc>
      </w:tr>
      <w:tr>
        <w:trPr>
          <w:trHeight w:val="221"/>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Impairment of goodwill and other intangible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Premium deficiency reserve expense (benefit)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110,628</w:t>
            </w:r>
          </w:p>
        </w:tc>
      </w:tr>
      <w:tr>
        <w:trPr>
          <w:trHeight w:val="221"/>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w:t>
            </w:r>
          </w:p>
        </w:tc>
      </w:tr>
      <w:tr>
        <w:trPr>
          <w:trHeight w:val="221"/>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costs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4"/>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2,242,262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3,848,334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2,108,988</w:t>
            </w:r>
          </w:p>
        </w:tc>
      </w:tr>
      <w:tr>
        <w:trPr>
          <w:trHeight w:val="214"/>
        </w:trPr>
        <w:tc>
          <w:tcPr>
            <w:tcW w:w="6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(371,647)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(636,992)</w:t>
            </w:r>
          </w:p>
        </w:tc>
      </w:tr>
      <w:tr>
        <w:trPr>
          <w:trHeight w:val="247"/>
        </w:trPr>
        <w:tc>
          <w:tcPr>
            <w:tcW w:w="6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(66,146)</w:t>
            </w:r>
          </w:p>
        </w:tc>
      </w:tr>
      <w:tr>
        <w:trPr>
          <w:trHeight w:val="22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3,193</w:t>
            </w:r>
          </w:p>
        </w:tc>
      </w:tr>
      <w:tr>
        <w:trPr>
          <w:trHeight w:val="22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notes and securities discounts</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13,717</w:t>
            </w:r>
          </w:p>
        </w:tc>
      </w:tr>
      <w:tr>
        <w:trPr>
          <w:trHeight w:val="22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(gain) on investment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extinguishment of note payable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66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(213,361)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(339,567)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(587,756)</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6"/>
        </w:trPr>
        <w:tc>
          <w:tcPr>
            <w:tcW w:w="6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 data:</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69"/>
        </w:trPr>
        <w:tc>
          <w:tcPr>
            <w:tcW w:w="66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Net loss per share attributable to Class A and Class B common stockholders – basic and</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4"/>
        </w:trPr>
        <w:tc>
          <w:tcPr>
            <w:tcW w:w="66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21"/>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number of common shares outstanding</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number of Class A and Class B common shares and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common share equivalents outstanding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482,176,127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476,244,262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412,922,424</w:t>
            </w:r>
          </w:p>
        </w:tc>
      </w:tr>
      <w:tr>
        <w:trPr>
          <w:trHeight w:val="260"/>
        </w:trPr>
        <w:tc>
          <w:tcPr>
            <w:tcW w:w="66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14"/>
        </w:trPr>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unrealized gain (loss) on available-for-sale investments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w:t>
            </w:r>
          </w:p>
        </w:tc>
      </w:tr>
      <w:tr>
        <w:trPr>
          <w:trHeight w:val="214"/>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Comprehensive loss</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(206,357)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(347,007)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(589,700)</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60" w:hanging="156"/>
        <w:spacing w:after="0" w:line="281" w:lineRule="auto"/>
        <w:tabs>
          <w:tab w:leader="none" w:pos="154"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Because the Company had a Net loss during the years ended December 31, 2023, 2022, and 2021, the Company's potentially dilutive securities, which include stock options, restricted stock units, preferred stock, and warrants to purchase shares of common stock and preferred stock, have been excluded from the computation of diluted net loss per share, as the effect would be anti-dilutive.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80" w:name="page81"/>
    <w:bookmarkEnd w:id="80"/>
    <w:p>
      <w:pPr>
        <w:jc w:val="center"/>
        <w:ind w:right="100"/>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CONSOLIDATED STATEMENTS OF CHANGES IN CONVERTIBLE PREFERRED STOCK AND STOCKHOLDERS' EQUITY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11"/>
          </w:tcPr>
          <w:p>
            <w:pPr>
              <w:ind w:left="200"/>
              <w:spacing w:after="0"/>
              <w:rPr>
                <w:sz w:val="20"/>
                <w:szCs w:val="20"/>
                <w:color w:val="auto"/>
              </w:rPr>
            </w:pPr>
            <w:r>
              <w:rPr>
                <w:rFonts w:ascii="Times New Roman" w:cs="Times New Roman" w:eastAsia="Times New Roman" w:hAnsi="Times New Roman"/>
                <w:sz w:val="14"/>
                <w:szCs w:val="14"/>
                <w:color w:val="auto"/>
                <w:w w:val="99"/>
              </w:rPr>
              <w:t>(Dollars in thousands, except share amounts)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0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30"/>
        </w:trPr>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1600" w:type="dxa"/>
            <w:vAlign w:val="bottom"/>
            <w:tcBorders>
              <w:right w:val="single" w:sz="8" w:color="auto"/>
            </w:tcBorders>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Convertible Preferred</w:t>
            </w:r>
          </w:p>
        </w:tc>
        <w:tc>
          <w:tcPr>
            <w:tcW w:w="60" w:type="dxa"/>
            <w:vAlign w:val="bottom"/>
          </w:tcPr>
          <w:p>
            <w:pPr>
              <w:spacing w:after="0"/>
              <w:rPr>
                <w:sz w:val="12"/>
                <w:szCs w:val="12"/>
                <w:color w:val="auto"/>
              </w:rPr>
            </w:pPr>
          </w:p>
        </w:tc>
        <w:tc>
          <w:tcPr>
            <w:tcW w:w="14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5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2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stockholders'</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160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vMerge w:val="continue"/>
          </w:tcPr>
          <w:p>
            <w:pPr>
              <w:spacing w:after="0"/>
              <w:rPr>
                <w:sz w:val="12"/>
                <w:szCs w:val="12"/>
                <w:color w:val="auto"/>
              </w:rPr>
            </w:pPr>
          </w:p>
        </w:tc>
        <w:tc>
          <w:tcPr>
            <w:tcW w:w="1000" w:type="dxa"/>
            <w:vAlign w:val="bottom"/>
            <w:gridSpan w:val="3"/>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1"/>
              <w:spacing w:after="0" w:line="143"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140" w:type="dxa"/>
            <w:vAlign w:val="bottom"/>
            <w:tcBorders>
              <w:bottom w:val="single" w:sz="8" w:color="auto"/>
            </w:tcBorders>
            <w:gridSpan w:val="3"/>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(deficit)</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8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w:t>
            </w: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139,444,346</w:t>
            </w:r>
          </w:p>
        </w:tc>
        <w:tc>
          <w:tcPr>
            <w:tcW w:w="8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$447,747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89,206,266</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411,867</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(1,028,982)</w:t>
            </w:r>
          </w:p>
        </w:tc>
        <w:tc>
          <w:tcPr>
            <w:tcW w:w="8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3,903</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(613,193)</w:t>
            </w:r>
          </w:p>
        </w:tc>
        <w:tc>
          <w:tcPr>
            <w:tcW w:w="0" w:type="dxa"/>
            <w:vAlign w:val="bottom"/>
          </w:tcPr>
          <w:p>
            <w:pPr>
              <w:spacing w:after="0"/>
              <w:rPr>
                <w:sz w:val="1"/>
                <w:szCs w:val="1"/>
                <w:color w:val="auto"/>
              </w:rPr>
            </w:pPr>
          </w:p>
        </w:tc>
      </w:tr>
      <w:tr>
        <w:trPr>
          <w:trHeight w:val="18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4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Times New Roman" w:cs="Times New Roman" w:eastAsia="Times New Roman" w:hAnsi="Times New Roman"/>
                <w:sz w:val="14"/>
                <w:szCs w:val="14"/>
                <w:color w:val="auto"/>
              </w:rPr>
              <w:t>Stock issuance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for exercise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stock options,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of early</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exercise</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4,303,062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0" w:type="dxa"/>
            <w:vAlign w:val="bottom"/>
          </w:tcPr>
          <w:p>
            <w:pPr>
              <w:spacing w:after="0"/>
              <w:rPr>
                <w:sz w:val="1"/>
                <w:szCs w:val="1"/>
                <w:color w:val="auto"/>
              </w:rPr>
            </w:pPr>
          </w:p>
        </w:tc>
      </w:tr>
      <w:tr>
        <w:trPr>
          <w:trHeight w:val="181"/>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liability</w:t>
            </w: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Times New Roman" w:cs="Times New Roman" w:eastAsia="Times New Roman" w:hAnsi="Times New Roman"/>
                <w:sz w:val="14"/>
                <w:szCs w:val="14"/>
                <w:color w:val="auto"/>
              </w:rPr>
              <w:t>Stock-based</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163,723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163,723</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Times New Roman" w:cs="Times New Roman" w:eastAsia="Times New Roman" w:hAnsi="Times New Roman"/>
                <w:sz w:val="14"/>
                <w:szCs w:val="14"/>
                <w:color w:val="auto"/>
                <w:w w:val="99"/>
              </w:rPr>
              <w:t>Vested restricted</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541,076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Unrealized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holdings gain</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on investment</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securities,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available-for-</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0" w:type="dxa"/>
            <w:vAlign w:val="bottom"/>
          </w:tcPr>
          <w:p>
            <w:pPr>
              <w:spacing w:after="0"/>
              <w:rPr>
                <w:sz w:val="1"/>
                <w:szCs w:val="1"/>
                <w:color w:val="auto"/>
              </w:rPr>
            </w:pPr>
          </w:p>
        </w:tc>
      </w:tr>
      <w:tr>
        <w:trPr>
          <w:trHeight w:val="184"/>
        </w:trPr>
        <w:tc>
          <w:tcPr>
            <w:tcW w:w="1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sale</w:t>
            </w: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Times New Roman" w:cs="Times New Roman" w:eastAsia="Times New Roman" w:hAnsi="Times New Roman"/>
                <w:sz w:val="14"/>
                <w:szCs w:val="14"/>
                <w:color w:val="auto"/>
              </w:rPr>
              <w:t>Preferred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(139,444,346)</w:t>
            </w:r>
          </w:p>
        </w:tc>
        <w:tc>
          <w:tcPr>
            <w:tcW w:w="8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(447,747)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139,444,346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447,733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447,747</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conversion</w:t>
            </w: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related to</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exercises of</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legacy</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7,205,490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97,782</w:t>
            </w:r>
          </w:p>
        </w:tc>
        <w:tc>
          <w:tcPr>
            <w:tcW w:w="0" w:type="dxa"/>
            <w:vAlign w:val="bottom"/>
          </w:tcPr>
          <w:p>
            <w:pPr>
              <w:spacing w:after="0"/>
              <w:rPr>
                <w:sz w:val="1"/>
                <w:szCs w:val="1"/>
                <w:color w:val="auto"/>
              </w:rPr>
            </w:pPr>
          </w:p>
        </w:tc>
      </w:tr>
      <w:tr>
        <w:trPr>
          <w:trHeight w:val="184"/>
        </w:trPr>
        <w:tc>
          <w:tcPr>
            <w:tcW w:w="1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warrants</w:t>
            </w: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Times New Roman" w:cs="Times New Roman" w:eastAsia="Times New Roman" w:hAnsi="Times New Roman"/>
                <w:sz w:val="14"/>
                <w:szCs w:val="14"/>
                <w:color w:val="auto"/>
              </w:rPr>
              <w:t>Convertible debt</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conversion and</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75,084,703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16,059</w:t>
            </w:r>
          </w:p>
        </w:tc>
        <w:tc>
          <w:tcPr>
            <w:tcW w:w="0" w:type="dxa"/>
            <w:vAlign w:val="bottom"/>
          </w:tcPr>
          <w:p>
            <w:pPr>
              <w:spacing w:after="0"/>
              <w:rPr>
                <w:sz w:val="1"/>
                <w:szCs w:val="1"/>
                <w:color w:val="auto"/>
              </w:rPr>
            </w:pPr>
          </w:p>
        </w:tc>
      </w:tr>
      <w:tr>
        <w:trPr>
          <w:trHeight w:val="181"/>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issuances</w:t>
            </w: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in connection</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with 2021</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Business</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and PIPE</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143,475,108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(49,975,104)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666,241</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offering</w:t>
            </w: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Times New Roman" w:cs="Times New Roman" w:eastAsia="Times New Roman" w:hAnsi="Times New Roman"/>
                <w:sz w:val="14"/>
                <w:szCs w:val="14"/>
                <w:color w:val="auto"/>
              </w:rPr>
              <w:t>Conversion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from Class B</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Common</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 to Class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A Common</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231,273,129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(231,273,129)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080" w:type="dxa"/>
            <w:vAlign w:val="bottom"/>
            <w:shd w:val="clear" w:color="auto" w:fill="CCEEFF"/>
          </w:tcPr>
          <w:p>
            <w:pPr>
              <w:ind w:left="120"/>
              <w:spacing w:after="0" w:line="130" w:lineRule="exact"/>
              <w:rPr>
                <w:sz w:val="20"/>
                <w:szCs w:val="20"/>
                <w:color w:val="auto"/>
              </w:rPr>
            </w:pPr>
            <w:r>
              <w:rPr>
                <w:rFonts w:ascii="Times New Roman" w:cs="Times New Roman" w:eastAsia="Times New Roman" w:hAnsi="Times New Roman"/>
                <w:sz w:val="14"/>
                <w:szCs w:val="14"/>
                <w:color w:val="auto"/>
              </w:rPr>
              <w:t>Conversion</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from Class A</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Common</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Stock to Class</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B Common</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1"/>
                <w:szCs w:val="11"/>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(88,514,196)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88,514,196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w:t>
            </w: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Times New Roman" w:cs="Times New Roman" w:eastAsia="Times New Roman" w:hAnsi="Times New Roman"/>
                <w:sz w:val="14"/>
                <w:szCs w:val="14"/>
                <w:color w:val="auto"/>
              </w:rPr>
              <w:t>Capital</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contribution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for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w w:val="99"/>
              </w:rPr>
              <w:t>extinguishment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126,795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126,795</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debt</w:t>
            </w: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Acquisition of</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Public and</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Private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Placement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98"/>
              </w:rPr>
              <w:t>(147,582)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(147,582)</w:t>
            </w:r>
          </w:p>
        </w:tc>
        <w:tc>
          <w:tcPr>
            <w:tcW w:w="0" w:type="dxa"/>
            <w:vAlign w:val="bottom"/>
          </w:tcPr>
          <w:p>
            <w:pPr>
              <w:spacing w:after="0"/>
              <w:rPr>
                <w:sz w:val="1"/>
                <w:szCs w:val="1"/>
                <w:color w:val="auto"/>
              </w:rPr>
            </w:pPr>
          </w:p>
        </w:tc>
      </w:tr>
      <w:tr>
        <w:trPr>
          <w:trHeight w:val="195"/>
        </w:trPr>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Warrants</w:t>
            </w:r>
          </w:p>
        </w:tc>
        <w:tc>
          <w:tcPr>
            <w:tcW w:w="9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related to</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exercises 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Public and</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Private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Placement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9,408,264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81,672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81,673</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Warrants</w:t>
            </w: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080" w:type="dxa"/>
            <w:vAlign w:val="bottom"/>
            <w:shd w:val="clear" w:color="auto" w:fill="CCEEFF"/>
          </w:tcPr>
          <w:p>
            <w:pPr>
              <w:ind w:left="120"/>
              <w:spacing w:after="0" w:line="137" w:lineRule="exact"/>
              <w:rPr>
                <w:sz w:val="20"/>
                <w:szCs w:val="20"/>
                <w:color w:val="auto"/>
              </w:rPr>
            </w:pPr>
            <w:r>
              <w:rPr>
                <w:rFonts w:ascii="Times New Roman" w:cs="Times New Roman" w:eastAsia="Times New Roman" w:hAnsi="Times New Roman"/>
                <w:sz w:val="14"/>
                <w:szCs w:val="14"/>
                <w:color w:val="auto"/>
              </w:rPr>
              <w:t>Issuance of</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 stock,</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net of stock</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52,173,913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283,775</w:t>
            </w:r>
          </w:p>
        </w:tc>
        <w:tc>
          <w:tcPr>
            <w:tcW w:w="0" w:type="dxa"/>
            <w:vAlign w:val="bottom"/>
          </w:tcPr>
          <w:p>
            <w:pPr>
              <w:spacing w:after="0"/>
              <w:rPr>
                <w:sz w:val="1"/>
                <w:szCs w:val="1"/>
                <w:color w:val="auto"/>
              </w:rPr>
            </w:pPr>
          </w:p>
        </w:tc>
      </w:tr>
      <w:tr>
        <w:trPr>
          <w:trHeight w:val="184"/>
        </w:trPr>
        <w:tc>
          <w:tcPr>
            <w:tcW w:w="1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issuance costs</w:t>
            </w: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80" w:type="dxa"/>
            <w:vAlign w:val="bottom"/>
          </w:tcPr>
          <w:p>
            <w:pPr>
              <w:ind w:left="120"/>
              <w:spacing w:after="0" w:line="130" w:lineRule="exact"/>
              <w:rPr>
                <w:sz w:val="20"/>
                <w:szCs w:val="20"/>
                <w:color w:val="auto"/>
              </w:rPr>
            </w:pPr>
            <w:r>
              <w:rPr>
                <w:rFonts w:ascii="Times New Roman" w:cs="Times New Roman" w:eastAsia="Times New Roman" w:hAnsi="Times New Roman"/>
                <w:sz w:val="14"/>
                <w:szCs w:val="14"/>
                <w:color w:val="auto"/>
              </w:rPr>
              <w:t>Treasury stock</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14,730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8"/>
              </w:rPr>
              <w:t>(147)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88"/>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acquired</w:t>
            </w: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(587,756)</w:t>
            </w:r>
          </w:p>
        </w:tc>
        <w:tc>
          <w:tcPr>
            <w:tcW w:w="0" w:type="dxa"/>
            <w:vAlign w:val="bottom"/>
          </w:tcPr>
          <w:p>
            <w:pPr>
              <w:spacing w:after="0"/>
              <w:rPr>
                <w:sz w:val="1"/>
                <w:szCs w:val="1"/>
                <w:color w:val="auto"/>
              </w:rPr>
            </w:pPr>
          </w:p>
        </w:tc>
      </w:tr>
      <w:tr>
        <w:trPr>
          <w:trHeight w:val="110"/>
        </w:trPr>
        <w:tc>
          <w:tcPr>
            <w:tcW w:w="1080" w:type="dxa"/>
            <w:vAlign w:val="bottom"/>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Balance,</w:t>
            </w: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352,645,626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118,206,768</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14,730</w:t>
            </w:r>
          </w:p>
        </w:tc>
        <w:tc>
          <w:tcPr>
            <w:tcW w:w="6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(147)</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2,154,187</w:t>
            </w:r>
          </w:p>
        </w:tc>
        <w:tc>
          <w:tcPr>
            <w:tcW w:w="8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(1,616,738)</w:t>
            </w:r>
          </w:p>
        </w:tc>
        <w:tc>
          <w:tcPr>
            <w:tcW w:w="80" w:type="dxa"/>
            <w:vAlign w:val="bottom"/>
          </w:tcPr>
          <w:p>
            <w:pPr>
              <w:spacing w:after="0"/>
              <w:rPr>
                <w:sz w:val="11"/>
                <w:szCs w:val="11"/>
                <w:color w:val="auto"/>
              </w:rPr>
            </w:pPr>
          </w:p>
        </w:tc>
        <w:tc>
          <w:tcPr>
            <w:tcW w:w="2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(1,934)</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3,903</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539,317</w:t>
            </w:r>
          </w:p>
        </w:tc>
        <w:tc>
          <w:tcPr>
            <w:tcW w:w="0" w:type="dxa"/>
            <w:vAlign w:val="bottom"/>
          </w:tcPr>
          <w:p>
            <w:pPr>
              <w:spacing w:after="0"/>
              <w:rPr>
                <w:sz w:val="1"/>
                <w:szCs w:val="1"/>
                <w:color w:val="auto"/>
              </w:rPr>
            </w:pPr>
          </w:p>
        </w:tc>
      </w:tr>
      <w:tr>
        <w:trPr>
          <w:trHeight w:val="18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952" w:right="239" w:bottom="1440" w:gutter="0" w:footer="0" w:header="0"/>
        </w:sectPr>
      </w:pPr>
    </w:p>
    <w:p>
      <w:pPr>
        <w:spacing w:after="0" w:line="2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952" w:right="2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180" w:type="dxa"/>
            <w:vAlign w:val="bottom"/>
            <w:tcBorders>
              <w:right w:val="single" w:sz="8" w:color="auto"/>
            </w:tcBorders>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2"/>
                <w:szCs w:val="12"/>
                <w:color w:val="auto"/>
              </w:rPr>
            </w:pPr>
          </w:p>
        </w:tc>
        <w:tc>
          <w:tcPr>
            <w:tcW w:w="14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0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40" w:type="dxa"/>
            <w:vAlign w:val="bottom"/>
            <w:gridSpan w:val="2"/>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stockholders'</w:t>
            </w: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1180" w:type="dxa"/>
            <w:vAlign w:val="bottom"/>
            <w:tcBorders>
              <w:right w:val="single" w:sz="8" w:color="auto"/>
            </w:tcBorders>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300" w:type="dxa"/>
            <w:vAlign w:val="bottom"/>
            <w:gridSpan w:val="4"/>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100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1"/>
              <w:spacing w:after="0" w:line="143" w:lineRule="exact"/>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0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w w:val="89"/>
              </w:rPr>
              <w:t>Stock</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 (loss)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(deficit)</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8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14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4"/>
                <w:szCs w:val="14"/>
                <w:color w:val="auto"/>
              </w:rPr>
              <w:t>Change in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accounting</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policy</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Adjusted balance,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14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352,645,626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118,206,768</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2,154,187</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(1,616,015)</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(1,934)</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3,903</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540,040</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140" w:type="dxa"/>
            <w:vAlign w:val="bottom"/>
            <w:tcBorders>
              <w:top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3"/>
                <w:szCs w:val="13"/>
                <w:color w:val="auto"/>
              </w:rPr>
              <w:t>Stock issuance</w:t>
            </w: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for exercise of</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stock options,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net of early</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exercise</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4,367,985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liability</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Stock-based</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164,305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164,305</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Vested restricted</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2,974,581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1,677,873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Vested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performance</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8,951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Unrealized</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holdings gain</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on investment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securities,</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available for</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sale</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Conversion from</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to Class A</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25,489,789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(25,489,789)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w:t>
            </w: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00" w:type="dxa"/>
            <w:vAlign w:val="bottom"/>
            <w:tcBorders>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(2,058,022)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2,058,022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0" w:type="dxa"/>
            <w:vAlign w:val="bottom"/>
          </w:tcPr>
          <w:p>
            <w:pPr>
              <w:spacing w:after="0"/>
              <w:rPr>
                <w:sz w:val="1"/>
                <w:szCs w:val="1"/>
                <w:color w:val="auto"/>
              </w:rPr>
            </w:pPr>
          </w:p>
        </w:tc>
      </w:tr>
      <w:tr>
        <w:trPr>
          <w:trHeight w:val="133"/>
        </w:trPr>
        <w:tc>
          <w:tcPr>
            <w:tcW w:w="11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Issuance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w w:val="99"/>
              </w:rPr>
              <w:t>under Employee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Stock Purchase</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569,808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w:t>
            </w: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Activities from</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Seek</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Dissolution</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Derecognition of</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0" w:type="dxa"/>
            <w:vAlign w:val="bottom"/>
          </w:tcPr>
          <w:p>
            <w:pPr>
              <w:spacing w:after="0"/>
              <w:rPr>
                <w:sz w:val="1"/>
                <w:szCs w:val="1"/>
                <w:color w:val="auto"/>
              </w:rPr>
            </w:pPr>
          </w:p>
        </w:tc>
      </w:tr>
      <w:tr>
        <w:trPr>
          <w:trHeight w:val="188"/>
        </w:trPr>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00" w:type="dxa"/>
            <w:vAlign w:val="bottom"/>
            <w:tcBorders>
              <w:righ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(339,567)</w:t>
            </w:r>
          </w:p>
        </w:tc>
        <w:tc>
          <w:tcPr>
            <w:tcW w:w="0" w:type="dxa"/>
            <w:vAlign w:val="bottom"/>
          </w:tcPr>
          <w:p>
            <w:pPr>
              <w:spacing w:after="0"/>
              <w:rPr>
                <w:sz w:val="1"/>
                <w:szCs w:val="1"/>
                <w:color w:val="auto"/>
              </w:rPr>
            </w:pPr>
          </w:p>
        </w:tc>
      </w:tr>
      <w:tr>
        <w:trPr>
          <w:trHeight w:val="111"/>
        </w:trPr>
        <w:tc>
          <w:tcPr>
            <w:tcW w:w="114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Balance,</w:t>
            </w: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14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383,998,718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94,394,852</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2,072,752</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(6,509)</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2,319,157</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(1,955,582)</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(9,374)</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347,738</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Change in</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accounting</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9,149</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9,149</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policy</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3"/>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Adjusted balance,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14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383,998,718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94,394,852</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2,073</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(6,509)</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2,319,157</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(1,946,433)</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(9,374)</w:t>
            </w:r>
          </w:p>
        </w:tc>
        <w:tc>
          <w:tcPr>
            <w:tcW w:w="80" w:type="dxa"/>
            <w:vAlign w:val="bottom"/>
          </w:tcPr>
          <w:p>
            <w:pPr>
              <w:spacing w:after="0"/>
              <w:rPr>
                <w:sz w:val="12"/>
                <w:szCs w:val="12"/>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356,887</w:t>
            </w:r>
          </w:p>
        </w:tc>
        <w:tc>
          <w:tcPr>
            <w:tcW w:w="0" w:type="dxa"/>
            <w:vAlign w:val="bottom"/>
          </w:tcPr>
          <w:p>
            <w:pPr>
              <w:spacing w:after="0"/>
              <w:rPr>
                <w:sz w:val="1"/>
                <w:szCs w:val="1"/>
                <w:color w:val="auto"/>
              </w:rPr>
            </w:pPr>
          </w:p>
        </w:tc>
      </w:tr>
      <w:tr>
        <w:trPr>
          <w:trHeight w:val="189"/>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140" w:type="dxa"/>
            <w:vAlign w:val="bottom"/>
            <w:tcBorders>
              <w:top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3"/>
                <w:szCs w:val="13"/>
                <w:color w:val="auto"/>
              </w:rPr>
              <w:t>Stock issuance</w:t>
            </w: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for exercise of</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stock options,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net of early</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exercise</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79,189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195"/>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liability</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Stock-based</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140,931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140,931</w:t>
            </w:r>
          </w:p>
        </w:tc>
        <w:tc>
          <w:tcPr>
            <w:tcW w:w="0" w:type="dxa"/>
            <w:vAlign w:val="bottom"/>
          </w:tcPr>
          <w:p>
            <w:pPr>
              <w:spacing w:after="0"/>
              <w:rPr>
                <w:sz w:val="1"/>
                <w:szCs w:val="1"/>
                <w:color w:val="auto"/>
              </w:rPr>
            </w:pPr>
          </w:p>
        </w:tc>
      </w:tr>
      <w:tr>
        <w:trPr>
          <w:trHeight w:val="186"/>
        </w:trPr>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w:t>
            </w: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Vested restricted</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14,117,561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1,773,104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units</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140"/>
              <w:spacing w:after="0" w:line="133" w:lineRule="exact"/>
              <w:rPr>
                <w:sz w:val="20"/>
                <w:szCs w:val="20"/>
                <w:color w:val="auto"/>
              </w:rPr>
            </w:pPr>
            <w:r>
              <w:rPr>
                <w:rFonts w:ascii="Times New Roman" w:cs="Times New Roman" w:eastAsia="Times New Roman" w:hAnsi="Times New Roman"/>
                <w:sz w:val="14"/>
                <w:szCs w:val="14"/>
                <w:color w:val="auto"/>
              </w:rPr>
              <w:t>Unrealized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holdings gain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rPr>
              <w:t>on investment</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securities,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available for</w:t>
            </w: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0" w:type="dxa"/>
            <w:vAlign w:val="bottom"/>
          </w:tcPr>
          <w:p>
            <w:pPr>
              <w:spacing w:after="0"/>
              <w:rPr>
                <w:sz w:val="1"/>
                <w:szCs w:val="1"/>
                <w:color w:val="auto"/>
              </w:rPr>
            </w:pPr>
          </w:p>
        </w:tc>
      </w:tr>
      <w:tr>
        <w:trPr>
          <w:trHeight w:val="188"/>
        </w:trPr>
        <w:tc>
          <w:tcPr>
            <w:tcW w:w="1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w:t>
            </w:r>
          </w:p>
        </w:tc>
        <w:tc>
          <w:tcPr>
            <w:tcW w:w="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Conversion from</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B</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rPr>
              <w:t>Common Stock</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to Class A</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8,300,224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(8,300,224)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(5,839,998)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5,839,998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0" w:type="dxa"/>
            <w:vAlign w:val="bottom"/>
          </w:tcPr>
          <w:p>
            <w:pPr>
              <w:spacing w:after="0"/>
              <w:rPr>
                <w:sz w:val="1"/>
                <w:szCs w:val="1"/>
                <w:color w:val="auto"/>
              </w:rPr>
            </w:pPr>
          </w:p>
        </w:tc>
      </w:tr>
      <w:tr>
        <w:trPr>
          <w:trHeight w:val="140"/>
        </w:trPr>
        <w:tc>
          <w:tcPr>
            <w:tcW w:w="114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Issuance of</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4"/>
                <w:szCs w:val="14"/>
                <w:color w:val="auto"/>
                <w:w w:val="99"/>
              </w:rPr>
              <w:t>under Employee</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EEFF"/>
          </w:tcPr>
          <w:p>
            <w:pPr>
              <w:ind w:left="200"/>
              <w:spacing w:after="0" w:line="143" w:lineRule="exact"/>
              <w:rPr>
                <w:sz w:val="20"/>
                <w:szCs w:val="20"/>
                <w:color w:val="auto"/>
              </w:rPr>
            </w:pPr>
            <w:r>
              <w:rPr>
                <w:rFonts w:ascii="Times New Roman" w:cs="Times New Roman" w:eastAsia="Times New Roman" w:hAnsi="Times New Roman"/>
                <w:sz w:val="14"/>
                <w:szCs w:val="14"/>
                <w:color w:val="auto"/>
              </w:rPr>
              <w:t>Stock Purchase</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528,188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Plan</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(213,361)</w:t>
            </w:r>
          </w:p>
        </w:tc>
        <w:tc>
          <w:tcPr>
            <w:tcW w:w="0" w:type="dxa"/>
            <w:vAlign w:val="bottom"/>
          </w:tcPr>
          <w:p>
            <w:pPr>
              <w:spacing w:after="0"/>
              <w:rPr>
                <w:sz w:val="1"/>
                <w:szCs w:val="1"/>
                <w:color w:val="auto"/>
              </w:rPr>
            </w:pPr>
          </w:p>
        </w:tc>
      </w:tr>
      <w:tr>
        <w:trPr>
          <w:trHeight w:val="118"/>
        </w:trPr>
        <w:tc>
          <w:tcPr>
            <w:tcW w:w="114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Balance,</w:t>
            </w: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401,183,882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87,867,732</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7,912,750</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(12,729)</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2,461,238</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(2,159,794)</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286,394</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40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ectPr>
          <w:pgSz w:w="11900" w:h="16838" w:orient="portrait"/>
          <w:cols w:equalWidth="0" w:num="1">
            <w:col w:w="11200"/>
          </w:cols>
          <w:pgMar w:left="340" w:top="759" w:right="359" w:bottom="42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64135</wp:posOffset>
            </wp:positionV>
            <wp:extent cx="716280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40" w:top="759" w:right="359" w:bottom="42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color w:val="auto"/>
        </w:rPr>
        <w:t>CLOVER HEALTH INVESTMENTS, CORP.</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CASH FLOWS</w:t>
      </w:r>
    </w:p>
    <w:p>
      <w:pPr>
        <w:jc w:val="center"/>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263"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6"/>
          <w:szCs w:val="16"/>
          <w:b w:val="1"/>
          <w:bCs w:val="1"/>
          <w:color w:val="auto"/>
        </w:rPr>
        <w:t>Years ended</w:t>
      </w:r>
    </w:p>
    <w:p>
      <w:pPr>
        <w:ind w:left="89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(213,361)</w:t>
            </w:r>
          </w:p>
        </w:tc>
        <w:tc>
          <w:tcPr>
            <w:tcW w:w="6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(339,567)</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(587,756)</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2,509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notes and securities discounts and debt issuance costs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13,717</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140,931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163,723</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warrants and amortization of warrants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(66,146)</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net of amortization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realized (gains) losses on investment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extinguishment of note payable</w:t>
            </w: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investment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of goodwill and other intangible assets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15,945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Premium deficiency reserve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110,628</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retrospective premiums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receivables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6,930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Reinsurance recoverable</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Surety bonds and deposits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44,871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(89,846)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(6,863)</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1,828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Healthcare receivables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(9,297)</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Non-Insurance receivable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42,029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(12,170)</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Unpaid claims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36,948</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5,307</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11,169</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3,099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rent</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4,502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05"/>
        </w:trPr>
        <w:tc>
          <w:tcPr>
            <w:tcW w:w="75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Non-Insurance performance year obligation</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36,891</w:t>
            </w:r>
          </w:p>
        </w:tc>
      </w:tr>
      <w:tr>
        <w:trPr>
          <w:trHeight w:val="210"/>
        </w:trPr>
        <w:tc>
          <w:tcPr>
            <w:tcW w:w="7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Non-Insurance payable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(106,626)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37,773</w:t>
            </w:r>
          </w:p>
        </w:tc>
      </w:tr>
      <w:tr>
        <w:trPr>
          <w:trHeight w:val="205"/>
        </w:trPr>
        <w:tc>
          <w:tcPr>
            <w:tcW w:w="75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(4,331)</w:t>
            </w:r>
          </w:p>
        </w:tc>
      </w:tr>
      <w:tr>
        <w:trPr>
          <w:trHeight w:val="20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(115,871)</w:t>
            </w:r>
          </w:p>
        </w:tc>
        <w:tc>
          <w:tcPr>
            <w:tcW w:w="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(286,348)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(282,326)</w:t>
            </w:r>
          </w:p>
        </w:tc>
      </w:tr>
      <w:tr>
        <w:trPr>
          <w:trHeight w:val="185"/>
        </w:trPr>
        <w:tc>
          <w:tcPr>
            <w:tcW w:w="75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short-term investments, available-for-sale, and held-to-maturity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(175,567)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(876,252)</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sales of short-term investments and available-for-sale securities</w:t>
            </w:r>
          </w:p>
        </w:tc>
        <w:tc>
          <w:tcPr>
            <w:tcW w:w="260" w:type="dxa"/>
            <w:vAlign w:val="bottom"/>
          </w:tcPr>
          <w:p>
            <w:pPr>
              <w:spacing w:after="0"/>
              <w:rPr>
                <w:sz w:val="17"/>
                <w:szCs w:val="17"/>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60,436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126,862</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maturities of short-term investments, available-for-sale, and held-to-maturity securities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255,728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314,666</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Character Biosciences, Inc. Series A preferred shares</w:t>
            </w: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140,013</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95,133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(435,447)</w:t>
            </w:r>
          </w:p>
        </w:tc>
      </w:tr>
      <w:tr>
        <w:trPr>
          <w:trHeight w:val="185"/>
        </w:trPr>
        <w:tc>
          <w:tcPr>
            <w:tcW w:w="75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of notes payable principal</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(30,925)</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restricted cash related to surety bonds, deposits, and escrow accounts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(28,791)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Issuance of common stock, net of early exercise liability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6,144</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reverse recapitalization, net of transaction costs</w:t>
            </w: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666,241</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received for the exercise of public and private warrants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05"/>
        </w:trPr>
        <w:tc>
          <w:tcPr>
            <w:tcW w:w="7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of common stock, net of stock issuance costs</w:t>
            </w:r>
          </w:p>
        </w:tc>
        <w:tc>
          <w:tcPr>
            <w:tcW w:w="2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283,775</w:t>
            </w:r>
          </w:p>
        </w:tc>
      </w:tr>
      <w:tr>
        <w:trPr>
          <w:trHeight w:val="210"/>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for the redemptions of public warrants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5"/>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Treasury stock acquired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(6,220)</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(33,861)</w:t>
            </w:r>
          </w:p>
        </w:tc>
        <w:tc>
          <w:tcPr>
            <w:tcW w:w="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925,393</w:t>
            </w: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83" w:name="page84"/>
    <w:bookmarkEnd w:id="83"/>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7137400" cy="140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7400" cy="140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2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23241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7"/>
        </w:trPr>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w:t>
            </w:r>
          </w:p>
        </w:tc>
        <w:tc>
          <w:tcPr>
            <w:tcW w:w="6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162"/>
              <w:spacing w:after="0"/>
              <w:rPr>
                <w:sz w:val="20"/>
                <w:szCs w:val="20"/>
                <w:color w:val="auto"/>
              </w:rPr>
            </w:pPr>
            <w:r>
              <w:rPr>
                <w:rFonts w:ascii="Times New Roman" w:cs="Times New Roman" w:eastAsia="Times New Roman" w:hAnsi="Times New Roman"/>
                <w:sz w:val="16"/>
                <w:szCs w:val="16"/>
                <w:color w:val="auto"/>
                <w:w w:val="98"/>
              </w:rPr>
              <w:t>(113,755)</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207,620</w:t>
            </w:r>
          </w:p>
        </w:tc>
      </w:tr>
      <w:tr>
        <w:trPr>
          <w:trHeight w:val="210"/>
        </w:trPr>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186,213</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6"/>
                <w:szCs w:val="16"/>
                <w:color w:val="auto"/>
                <w:w w:val="99"/>
              </w:rPr>
              <w:t>299,968</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92,348</w:t>
            </w:r>
          </w:p>
        </w:tc>
      </w:tr>
      <w:tr>
        <w:trPr>
          <w:trHeight w:val="199"/>
        </w:trPr>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176,494</w:t>
            </w:r>
          </w:p>
        </w:tc>
        <w:tc>
          <w:tcPr>
            <w:tcW w:w="6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w w:val="99"/>
              </w:rPr>
              <w:t>186,213</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299,968</w:t>
            </w:r>
          </w:p>
        </w:tc>
      </w:tr>
    </w:tbl>
    <w:p>
      <w:pPr>
        <w:spacing w:after="0" w:line="200" w:lineRule="exact"/>
        <w:rPr>
          <w:sz w:val="20"/>
          <w:szCs w:val="20"/>
          <w:color w:val="auto"/>
        </w:rPr>
      </w:pPr>
    </w:p>
    <w:p>
      <w:pPr>
        <w:sectPr>
          <w:pgSz w:w="11900" w:h="16838" w:orient="portrait"/>
          <w:cols w:equalWidth="0" w:num="2">
            <w:col w:w="6860" w:space="720"/>
            <w:col w:w="3660"/>
          </w:cols>
          <w:pgMar w:left="320" w:top="518" w:right="33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and cash equivalents and restricted cash</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122,863</w:t>
            </w:r>
          </w:p>
        </w:tc>
        <w:tc>
          <w:tcPr>
            <w:tcW w:w="6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103,791</w:t>
            </w:r>
          </w:p>
        </w:tc>
        <w:tc>
          <w:tcPr>
            <w:tcW w:w="8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299,968</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53,631</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82,422</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58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176,494</w:t>
            </w:r>
          </w:p>
        </w:tc>
        <w:tc>
          <w:tcPr>
            <w:tcW w:w="6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186,213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299,968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6"/>
        </w:trPr>
        <w:tc>
          <w:tcPr>
            <w:tcW w:w="7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Supplemental cash flow disclosures</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activities</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Conversion of preferred stock to common stock</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447,747</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Issuance of common stock related to convertible debt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16,059</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contribution for extinguishment of debt</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126,795</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Activities from Seek Dissolution</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related to warrants exercised</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97,782</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of public and private warrants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147,582</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related to the exercise of public and private warrants</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81,283</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r>
      <w:tr>
        <w:trPr>
          <w:trHeight w:val="205"/>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Recognition of equity method investments and preferred stock</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Derecognition of noncontrolling interest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Conversion of Character Biosciences, Inc. convertible note to preferred stock</w:t>
            </w:r>
          </w:p>
        </w:tc>
        <w:tc>
          <w:tcPr>
            <w:tcW w:w="3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CLOVER HEALTH INVESTMENTS, CORP.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Audited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Operations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provides care to aligned Medicare fee-for-service ("FFS") beneficiaries (the "Non-Insurance Beneficiaries"). CMS redesigned the DC Model and renamed it the Accountable Care Organization ("ACO") Realizing Equity, Access, and Community Health ("REACH") ("ACO REACH") Model effective January 1, 2023. On December 1, 2023, the Company notified CMS that it will no longer participate as a REACH ACO in the CMS ACO Reach Program, effective as of the end of the 2023 performance year. The Company’s exit from the ACO REACH Program follows its November 2022 announcement of a strategic reduction in the number of ACO REACH participating physicians in 2023, and was made after the Company determined that it is in the Company's best interest to fully exit the ACO REACH Program.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38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any information following the aforementioned paragraph, the Company will refer to its participation in ACO REACH Model or the Company's participation in the predecessor DC Model as ACO REACH Model henceforth.</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Through its Non-Insurance operations, the Company assumes full risk (i.e., 100.0% shared savings and shared losses) for the total cost of care of aligned Non-Insurance Beneficiaries, empowers providers with Clover Assistant, and offers a variety of programs aimed at reducing expenditures and preserving or enhancing the quality of care for Non-Insurance Beneficiaries. For additional information related to the Company's Non-Insurance operations, see Note 20 (Non-Insurance) in these financial statements.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was originally incorporated as a Cayman Islands exempted company on October 18, 2019, as a special purpose acquisition company under the name Social Capital Hedosophia Holdings Corp. III ("SCH"). On October 5, 2020, SCH entered into a Merger Agreement (the "Merger Agreement") with Clover Health Investments, Corp., a corporation originally incorporated on July 17, 2014, in the state of Delaware ("Legacy Clover"). Pursuant to the Merger Agreement, on January 7, 2021, Asclepius Merger Sub Inc., a Delaware corporation and a newly formed, wholly-owned subsidiary of SCH ("Merger Sub"), merged with and into Legacy Clover. The separate corporate existence of Merger Sub ceased, Legacy Clover survived and merged with and into SCH, with SCH as the surviving corporation, and SCH was redomesticated as a Delaware corporation and renamed Clover Health Investments, Corp. (the "2021 Business Combination"). The 2021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Health Investments, Corp., as the parent company of the combined business, is the successor Securities and Exchange Commission ("SEC") registrant, meaning that Legacy Clover's financial statements for previous periods are disclosed in periodic reports filed with the SEC. As a result of the 2021 Business Combination, there were simultaneous changes to Legacy Clover's convertible securities, warrants, and convertible preferred stock.</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2021 Business Combination has had a significant impact on the Company's reported financial condition and results of operations as a consequence of the reverse recapitalization. The 2021 Business Combination closed on January 7, 2021, and on the following day the Company's Class A Common Stock and then outstanding public warrants were listed on the Nasdaq Global Select Market ("Nasdaq") for trading in the public market.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consolidated financial statements have been prepared in conformity with GAAP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GAAP requires management to make estimates and assumptions that impact the amounts reported in the consolidated financial statements and the accompanying notes.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goodwill and other intangible assets, reinsurance, premium deficiency reserve, warrants, embedded derivative related to convertible securities, stock-based compensation, recoveries from third parties for coordination of benefits, Direct Contracting benchmark, specifically cost trend and risk score estimates that can develop over time, and final determination of medical cost adjustment pools.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Certain amounts in the prior years' audited Consolidated Statements of Cash Flows have been reclassified to conform to the current year's presentation, primarily related to Surety bonds and deposits and Change in restricted cash related to Surety Bonds, Deposits, and Escrow accounts. These reclassifications had no material effect on the previously reported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Accounting Policy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first quarter of 2023, the Company changed the method for determining premium deficiency reserves, whereby the anticipated future investment income from funds made available by unearned premiums is now included in the determination of premium deficiency reserves. The accounting policy election to include the anticipated future investment income is preferable because it provides a better representation of the Company’s business model reflecting the fact that all cash flows, including investment income, are used to meet the Company’s obligations. The Company also believes that this change improves comparability with industry peers. This change is considered a change in accounting principle that requires retrospective application to all financial statement periods presented. This change decreased Accumulated deficit by $0.7 million to $1,616 million at January 1, 2022.</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The cumulative effect of the changes made to the Company's Consolidated Balance Sheets was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80" w:type="dxa"/>
            <w:vAlign w:val="bottom"/>
          </w:tcPr>
          <w:p>
            <w:pPr>
              <w:spacing w:after="0"/>
              <w:rPr>
                <w:sz w:val="19"/>
                <w:szCs w:val="19"/>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14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Effect of Change</w:t>
            </w:r>
          </w:p>
        </w:tc>
        <w:tc>
          <w:tcPr>
            <w:tcW w:w="180" w:type="dxa"/>
            <w:vAlign w:val="bottom"/>
          </w:tcPr>
          <w:p>
            <w:pPr>
              <w:spacing w:after="0"/>
              <w:rPr>
                <w:sz w:val="19"/>
                <w:szCs w:val="19"/>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Adjusted</w:t>
            </w:r>
          </w:p>
        </w:tc>
      </w:tr>
      <w:tr>
        <w:trPr>
          <w:trHeight w:val="214"/>
        </w:trPr>
        <w:tc>
          <w:tcPr>
            <w:tcW w:w="6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 deficiency reserve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7,239</w:t>
            </w: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440,656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431,507</w:t>
            </w: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460,882</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451,733</w:t>
            </w: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(1,955,582)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(1,946,433)</w:t>
            </w: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347,738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356,887</w:t>
            </w:r>
          </w:p>
        </w:tc>
      </w:tr>
      <w:tr>
        <w:trPr>
          <w:trHeight w:val="22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808,620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808,620</w:t>
            </w: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80" w:type="dxa"/>
            <w:vAlign w:val="bottom"/>
          </w:tcPr>
          <w:p>
            <w:pPr>
              <w:spacing w:after="0"/>
              <w:rPr>
                <w:sz w:val="19"/>
                <w:szCs w:val="19"/>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14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Effect of Change</w:t>
            </w:r>
          </w:p>
        </w:tc>
        <w:tc>
          <w:tcPr>
            <w:tcW w:w="180" w:type="dxa"/>
            <w:vAlign w:val="bottom"/>
          </w:tcPr>
          <w:p>
            <w:pPr>
              <w:spacing w:after="0"/>
              <w:rPr>
                <w:sz w:val="19"/>
                <w:szCs w:val="19"/>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Adjusted</w:t>
            </w:r>
          </w:p>
        </w:tc>
      </w:tr>
      <w:tr>
        <w:trPr>
          <w:trHeight w:val="214"/>
        </w:trPr>
        <w:tc>
          <w:tcPr>
            <w:tcW w:w="6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 deficiency reserve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109,905</w:t>
            </w: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372,624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371,901</w:t>
            </w: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411,487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410,764</w:t>
            </w: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(1,616,738)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(1,616,015)</w:t>
            </w: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539,317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540,040</w:t>
            </w:r>
          </w:p>
        </w:tc>
      </w:tr>
      <w:tr>
        <w:trPr>
          <w:trHeight w:val="226"/>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950,804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950,804</w:t>
            </w: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effect of the changes made to the Company's audited Consolidated Statements of Comprehensive Loss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As computed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3"/>
              <w:spacing w:after="0" w:line="176" w:lineRule="exact"/>
              <w:rPr>
                <w:sz w:val="20"/>
                <w:szCs w:val="20"/>
                <w:color w:val="auto"/>
              </w:rPr>
            </w:pPr>
            <w:r>
              <w:rPr>
                <w:rFonts w:ascii="Times New Roman" w:cs="Times New Roman" w:eastAsia="Times New Roman" w:hAnsi="Times New Roman"/>
                <w:sz w:val="17"/>
                <w:szCs w:val="17"/>
                <w:b w:val="1"/>
                <w:bCs w:val="1"/>
                <w:color w:val="auto"/>
              </w:rPr>
              <w:t>excluding</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Twelve Months Ended December 31, 2023</w:t>
            </w:r>
          </w:p>
        </w:tc>
        <w:tc>
          <w:tcPr>
            <w:tcW w:w="180" w:type="dxa"/>
            <w:vAlign w:val="bottom"/>
          </w:tcPr>
          <w:p>
            <w:pPr>
              <w:spacing w:after="0"/>
              <w:rPr>
                <w:sz w:val="14"/>
                <w:szCs w:val="14"/>
                <w:color w:val="auto"/>
              </w:rPr>
            </w:pPr>
          </w:p>
        </w:tc>
        <w:tc>
          <w:tcPr>
            <w:tcW w:w="1260" w:type="dxa"/>
            <w:vAlign w:val="bottom"/>
            <w:vMerge w:val="restart"/>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140" w:type="dxa"/>
            <w:vAlign w:val="bottom"/>
          </w:tcPr>
          <w:p>
            <w:pPr>
              <w:spacing w:after="0"/>
              <w:rPr>
                <w:sz w:val="14"/>
                <w:szCs w:val="14"/>
                <w:color w:val="auto"/>
              </w:rPr>
            </w:pPr>
          </w:p>
        </w:tc>
        <w:tc>
          <w:tcPr>
            <w:tcW w:w="1300" w:type="dxa"/>
            <w:vAlign w:val="bottom"/>
          </w:tcPr>
          <w:p>
            <w:pPr>
              <w:jc w:val="center"/>
              <w:ind w:right="33"/>
              <w:spacing w:after="0" w:line="169" w:lineRule="exact"/>
              <w:rPr>
                <w:sz w:val="20"/>
                <w:szCs w:val="20"/>
                <w:color w:val="auto"/>
              </w:rPr>
            </w:pPr>
            <w:r>
              <w:rPr>
                <w:rFonts w:ascii="Times New Roman" w:cs="Times New Roman" w:eastAsia="Times New Roman" w:hAnsi="Times New Roman"/>
                <w:sz w:val="17"/>
                <w:szCs w:val="17"/>
                <w:b w:val="1"/>
                <w:bCs w:val="1"/>
                <w:color w:val="auto"/>
              </w:rPr>
              <w:t>anticipated net</w:t>
            </w:r>
          </w:p>
        </w:tc>
        <w:tc>
          <w:tcPr>
            <w:tcW w:w="144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Effect of Change</w:t>
            </w:r>
          </w:p>
        </w:tc>
        <w:tc>
          <w:tcPr>
            <w:tcW w:w="0" w:type="dxa"/>
            <w:vAlign w:val="bottom"/>
          </w:tcPr>
          <w:p>
            <w:pPr>
              <w:spacing w:after="0"/>
              <w:rPr>
                <w:sz w:val="1"/>
                <w:szCs w:val="1"/>
                <w:color w:val="auto"/>
              </w:rPr>
            </w:pPr>
          </w:p>
        </w:tc>
      </w:tr>
      <w:tr>
        <w:trPr>
          <w:trHeight w:val="221"/>
        </w:trPr>
        <w:tc>
          <w:tcPr>
            <w:tcW w:w="6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investment income</w:t>
            </w:r>
          </w:p>
        </w:tc>
        <w:tc>
          <w:tcPr>
            <w:tcW w:w="1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 deficiency reserve expense (benefit)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(7,239)</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0" w:type="dxa"/>
            <w:vAlign w:val="bottom"/>
          </w:tcPr>
          <w:p>
            <w:pPr>
              <w:spacing w:after="0"/>
              <w:rPr>
                <w:sz w:val="1"/>
                <w:szCs w:val="1"/>
                <w:color w:val="auto"/>
              </w:rPr>
            </w:pP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2,242,262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2,233,113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0" w:type="dxa"/>
            <w:vAlign w:val="bottom"/>
          </w:tcPr>
          <w:p>
            <w:pPr>
              <w:spacing w:after="0"/>
              <w:rPr>
                <w:sz w:val="1"/>
                <w:szCs w:val="1"/>
                <w:color w:val="auto"/>
              </w:rPr>
            </w:pP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(208,542)</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(199,393)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0" w:type="dxa"/>
            <w:vAlign w:val="bottom"/>
          </w:tcPr>
          <w:p>
            <w:pPr>
              <w:spacing w:after="0"/>
              <w:rPr>
                <w:sz w:val="1"/>
                <w:szCs w:val="1"/>
                <w:color w:val="auto"/>
              </w:rPr>
            </w:pP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(213,361)</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(204,212)</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 share data: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Class A and B common stockholders - 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57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Twelve Months Ended December 31, 2022</w:t>
            </w:r>
          </w:p>
        </w:tc>
        <w:tc>
          <w:tcPr>
            <w:tcW w:w="180" w:type="dxa"/>
            <w:vAlign w:val="bottom"/>
          </w:tcPr>
          <w:p>
            <w:pPr>
              <w:spacing w:after="0"/>
              <w:rPr>
                <w:sz w:val="24"/>
                <w:szCs w:val="24"/>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Effect of Change</w:t>
            </w:r>
          </w:p>
        </w:tc>
        <w:tc>
          <w:tcPr>
            <w:tcW w:w="180" w:type="dxa"/>
            <w:vAlign w:val="bottom"/>
          </w:tcPr>
          <w:p>
            <w:pPr>
              <w:spacing w:after="0"/>
              <w:rPr>
                <w:sz w:val="24"/>
                <w:szCs w:val="24"/>
                <w:color w:val="auto"/>
              </w:rPr>
            </w:pP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As Adjusted</w:t>
            </w:r>
          </w:p>
        </w:tc>
        <w:tc>
          <w:tcPr>
            <w:tcW w:w="0" w:type="dxa"/>
            <w:vAlign w:val="bottom"/>
          </w:tcPr>
          <w:p>
            <w:pPr>
              <w:spacing w:after="0"/>
              <w:rPr>
                <w:sz w:val="1"/>
                <w:szCs w:val="1"/>
                <w:color w:val="auto"/>
              </w:rPr>
            </w:pPr>
          </w:p>
        </w:tc>
      </w:tr>
      <w:tr>
        <w:trPr>
          <w:trHeight w:val="214"/>
        </w:trPr>
        <w:tc>
          <w:tcPr>
            <w:tcW w:w="6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 deficiency reserve expense (benefit)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(94,240)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(93,517)</w:t>
            </w:r>
          </w:p>
        </w:tc>
        <w:tc>
          <w:tcPr>
            <w:tcW w:w="0" w:type="dxa"/>
            <w:vAlign w:val="bottom"/>
          </w:tcPr>
          <w:p>
            <w:pPr>
              <w:spacing w:after="0"/>
              <w:rPr>
                <w:sz w:val="1"/>
                <w:szCs w:val="1"/>
                <w:color w:val="auto"/>
              </w:rPr>
            </w:pP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3,847,611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3,848,334</w:t>
            </w:r>
          </w:p>
        </w:tc>
        <w:tc>
          <w:tcPr>
            <w:tcW w:w="0" w:type="dxa"/>
            <w:vAlign w:val="bottom"/>
          </w:tcPr>
          <w:p>
            <w:pPr>
              <w:spacing w:after="0"/>
              <w:rPr>
                <w:sz w:val="1"/>
                <w:szCs w:val="1"/>
                <w:color w:val="auto"/>
              </w:rPr>
            </w:pP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(370,924)</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(371,647)</w:t>
            </w:r>
          </w:p>
        </w:tc>
        <w:tc>
          <w:tcPr>
            <w:tcW w:w="0" w:type="dxa"/>
            <w:vAlign w:val="bottom"/>
          </w:tcPr>
          <w:p>
            <w:pPr>
              <w:spacing w:after="0"/>
              <w:rPr>
                <w:sz w:val="1"/>
                <w:szCs w:val="1"/>
                <w:color w:val="auto"/>
              </w:rPr>
            </w:pP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(338,844)</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(339,567)</w:t>
            </w:r>
          </w:p>
        </w:tc>
        <w:tc>
          <w:tcPr>
            <w:tcW w:w="0" w:type="dxa"/>
            <w:vAlign w:val="bottom"/>
          </w:tcPr>
          <w:p>
            <w:pPr>
              <w:spacing w:after="0"/>
              <w:rPr>
                <w:sz w:val="1"/>
                <w:szCs w:val="1"/>
                <w:color w:val="auto"/>
              </w:rPr>
            </w:pPr>
          </w:p>
        </w:tc>
      </w:tr>
      <w:tr>
        <w:trPr>
          <w:trHeight w:val="260"/>
        </w:trPr>
        <w:tc>
          <w:tcPr>
            <w:tcW w:w="692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 share data: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Class A and B common stockholders - 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was no impact on the audited Consolidated Statements of Cash Flows.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Premiums earned, net is recognized as income in the period members are entitled to receive services, risk adjustment revenue, and other ancillary income. Premiums received in advance of the service period are reported as deferred revenue on the Consolidated Balance Sheets and recognized within Premiums earned, net once earned. Premiums anticipated to be received within twelve months based on the documented diagnostic criteria of the Company's members are estimated and included in revenue for the period including the member months for which the payment is designated by CMS.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method of accounting and variable interest entities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17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When the Company's carrying value in an equity method investee company is reduced to zero, no further losses are recorded in the Company's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accounts for business acquisitions under ASC 805, Business Combinations. The total purchase consideration for an acquisition is measured as the fair value of the assets given, equity instruments issued and liabilities assumed at the acquisition date. Costs that are directly attributable to the acquisition are expensed as incurred. Identifiable assets (including intangible assets) and liabilities assumed (including contingent liabilities) in an acquisition are measured initially at their fair values at the acquisition date. The Company recognizes goodwill to the extent that the fair value of the total purchase consideration is in excess of the net fair value of the identifiable assets acquired and the liabilities assumed. The Company includes the results of operations of the acquired business in the consolidated financial statements beginning on the acquisition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The Company has two reporting segments: Insurance and Non-Insurance.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guarantees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Certain of the Company's arrangements with third-party providers require it to guarantee the performance of its care network to CMS. As a result of the Company's participation in the ACO REACH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460-Guarantees.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88" w:name="page89"/>
    <w:bookmarkEnd w:id="88"/>
    <w:p>
      <w:pPr>
        <w:jc w:val="both"/>
        <w:spacing w:after="0" w:line="261" w:lineRule="auto"/>
        <w:rPr>
          <w:sz w:val="20"/>
          <w:szCs w:val="20"/>
          <w:color w:val="auto"/>
        </w:rPr>
      </w:pPr>
      <w:r>
        <w:rPr>
          <w:rFonts w:ascii="Times New Roman" w:cs="Times New Roman" w:eastAsia="Times New Roman" w:hAnsi="Times New Roman"/>
          <w:sz w:val="17"/>
          <w:szCs w:val="17"/>
          <w:color w:val="auto"/>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With respect to each performance year in which the ACO is a participant, the final consideration due to the ACO from CMS ("shared savings") or the consideration due to CMS from the ACO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 The ACO has entered into an agreement with CMS and a third-party to cover the financial threshold determined by CMS. Within Surety bonds and deposits on the Consolidated Balance Sheets, the Company includes amounts held in escrow- related to the financial guarantee as required with CMS, which is considered restricted cash in nature which is shown on the Company's audited Consolidated Statements of Cash Flow.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2023 and 2022, the Company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investments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Short-term investments consist of investments that the Company expects to convert into cash within one year of the balance sheet date, including time deposits and debt securities, which have original maturities greater than 90 days. Short-term investments are measured at their amortized cost. The carrying values of these instruments approximate their respective fair value due to the short-term maturity of these investments.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securities, available-for-sale</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Investment securities, which consist entirely of debt securities with fixed or determinable payments and fixed maturity dates, that the Company purchases that are not classified as held-to-maturity, are classified as available-for-sale financial assets. The Company's available-for-sale investments are U.S. Treasury fixed maturity securities, corporate debt, commercial paper, certificate of deposit, and agency bonds.</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Available-for-sale investments are measured at fair value, and unrealized gains and losses, if any, are recorded in other comprehensive income, net of applicable income taxes, until realized from a sale or an expected credit loss is recognized.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securities, held-to-maturity</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Investment securities, which consist entirely of debt securities with fixed or determinable payments and fixed maturity dates, where the Company has a positive intent and ability to hold to maturity, are classified as held-to-maturity financial assets. The Company's held-to-maturity investments are comprised of U.S. Treasury fixed maturity securities. The held-to-maturity investments are measured at amortized cost using the effective interest method less impairment. Unrealized holding gains or losses are not recognized.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i w:val="1"/>
          <w:iCs w:val="1"/>
          <w:color w:val="auto"/>
        </w:rPr>
        <w:t>Impairment of investment securities</w:t>
      </w:r>
    </w:p>
    <w:p>
      <w:pPr>
        <w:spacing w:after="0" w:line="2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Effective January 1, 2021, the Company adopted the provisions of ASC 326 and modified its accounting policy for the assessment of available-for-sale and held-to-maturity securities for impairment, as further described below. Prior to January 1, 2021, the Company applied the other-than-temporary impairment model for available-for-sale securities in an unrealized loss position which did not result in impairments for 2020 or 2019. Beginning on January 1, 2021, the Company adopted ASC 326, which retained many similarities from the previous other-than-temporary impairment model but eliminated the consideration of the length of time over which the fair value had been less than cost. Additionally, under ASC 326, the expected losses on securities are recognized through an allowance for credit losses rather than as a reduction in the amortized cost of the security.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identifies securities that are in an unrealized loss position and could potentially have an impairment.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risks. The Company considers relevant facts and circumstances in evaluating the impairment of a security. Relevant facts and circumstances considered include (1) the extent to which the fair value has been below cost or amortized cost, (2) adverse conditions specifically related to the financial condition of the issuer or to the industry, (3) geographic area of the issuer, or the underlying collateral of a security including the current and future impact of any specific events, (4) the payment structure of the security, (5) changes in credit rating of the security by the rating agencies, and (6) the volatility of the fair value changes. There are a number of significant risks and uncertainties inherent in the process of monitoring impairments.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financial statements could be provided to the Company's management to determine the fair value estimates and impairments, and (4) the risk that new information obtained by the Company, or changes in other facts and circumstances, could lead the Company to change its intent to hold the security to maturity or until it recovers in value. Any of these situations could result in a charge to operations in a future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available-for-sale securities whose fair value is less than their amortized cost that the Company does not intend to sell or is not required to sell, management evaluates the expected cash flows to be received as compared to amortized cost and determines if an expected credit loss has occurred. If an expected credit loss occurs, only the amount of the impairment related to the expected credit loss is recognized in income with the remainder, if any, of the loss recognized in other comprehensive income.</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To the extent the Company has the intent to sell the security or it is more likely than not that the Company will be required to sell the security before recovery of the amortized cost basis, management recognizes an impairment loss in income in an amount equal to the full difference between the amortized cost basis and the fair value.</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Company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2023, 2022, and 2021, there was no impairment loss reported.</w:t>
      </w:r>
    </w:p>
    <w:p>
      <w:pPr>
        <w:spacing w:after="0" w:line="17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Held-to-maturity securities are evaluated for potential credit loss on a collective basis. The estimate of credit losses considers historical credit loss information that is adjusted for current conditions and reasonable and supportable forecasts.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expected credit losses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assesses outstanding receivables at each period for credit risk. The majority of receivables are from CMS, a United States government entity that presents very limited credit risk.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consists of income from operating subleases, miscellaneous revenue, investment income, commissions, and realized gains and losses.</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Investment income includes interest, dividends received or accrued on investments, and realized gains or losses. Investment income is reported as earned and is presented net of related investment expenses and expected credit losses. Realized gains or losses are recognized based on the specific identification method. Purchases and sales are recorded on a trade-date basis.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To determine the fair value of its investments, the Company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Company would use in pricing the Company's assets or liabilities based on independently derived and observable market data. Unobservable inputs are inputs that cannot be sourced from a broad active market in which assets or liabilities identical or similar to those of the Company are traded.</w:t>
      </w:r>
    </w:p>
    <w:p>
      <w:pPr>
        <w:spacing w:after="0" w:line="16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fair value hierarchy includes three levels of inputs based on the degree to which the exit price is independently observable or determinable that may be used to measure fair value as described below:</w:t>
      </w:r>
    </w:p>
    <w:p>
      <w:pPr>
        <w:spacing w:after="0" w:line="14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 Valuations are based on quoted (unadjusted) market prices in active markets for identical assets or liabilities. Since valuations are based on quoted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prices 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3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Valuations are based on observable inputs other than Level 1 prices such as quoted prices in active markets for similar assets or liabilities, quoted prices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identical or similar assets or liabilities in markets that are not active, or other inputs that are observable or can be corroborated by observable market data for substantially the full term of the assets or liabilities;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Valuations are based on techniques that use significant inputs that are unobservable and reflect management's best estimate of what market participants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use when pricing the asset or liability, including assumptions about risk. The valuation of Level 3 assets and liabilities requires the greatest degree of judgment. These measurements may be made under circumstances in which there is little, if any, market activity for the asset or liability. The Company's assessment of the significance of a particular input to the fair value measurement in its entirety requires judgment. In making the assessment, the Company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The Company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principally of Cash and cash equivalents. Cash and cash equivalents are held with financial institutions of high quality. Balances may exceed the amount of insurance provided on such balances.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91" w:name="page92"/>
    <w:bookmarkEnd w:id="91"/>
    <w:p>
      <w:pPr>
        <w:jc w:val="both"/>
        <w:spacing w:after="0" w:line="267" w:lineRule="auto"/>
        <w:rPr>
          <w:sz w:val="20"/>
          <w:szCs w:val="20"/>
          <w:color w:val="auto"/>
        </w:rPr>
      </w:pPr>
      <w:r>
        <w:rPr>
          <w:rFonts w:ascii="Times New Roman" w:cs="Times New Roman" w:eastAsia="Times New Roman" w:hAnsi="Times New Roman"/>
          <w:sz w:val="17"/>
          <w:szCs w:val="17"/>
          <w:color w:val="auto"/>
        </w:rPr>
        <w:t>The ceding of insurance does not legally discharge the Company from its primary liability for the full amount of the policy coverage, and therefore the Company will be required to pay the loss and bear collection risk if the reinsurer fails to meet its obligations under the reinsurance agreement. To minimize exposure to significant losses from reinsurance insolvencies, the Company evaluates the financial condition of its reinsurers and monitors concentrations of credit risk with its reinsurers.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 development costs - cloud computing arrangements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Consolidated Balance Sheets within Prepaid expenses, and are generally amortized over the fixed, non-cancelable term of the associated hosting arrangement on a straight-line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acquisition costs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Acquisition costs directly related to the successful acquisition of new business, which are primarily made up of commissions costs, are deferred and subsequently amortized. Deferred acquisition costs are recorded within Other assets, current on the Consolidated Balance Sheets and are amortized over the estimated life of the related contracts. The amortization of deferred acquisition costs is recorded within General and administrative expenses within the audited Consolidated Statement of Operations and Comprehensive Loss. For the year ended December 31, 2023 and 2022, there were no deferred acquisition costs as a result of the acceleration of amortization for deferred acquisition costs due to the recognition of a premium deficiency reserve. For the years ended December 31, 2023, 2022, and 2021 charges related to deferred acquisition costs of $6.8 million, $16.3 million, and $10.7 million respectively, were recognized within General and administrative expenses.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Property and equipment, net is reported at cost less accumulated depreciation. Depreciation is recorded using the straight-line method over the estimated useful lives of the respective assets, which are generally three to 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within Other income (loss).</w:t>
      </w:r>
    </w:p>
    <w:p>
      <w:pPr>
        <w:spacing w:after="0" w:line="200" w:lineRule="exact"/>
        <w:rPr>
          <w:sz w:val="20"/>
          <w:szCs w:val="20"/>
          <w:color w:val="auto"/>
        </w:rPr>
      </w:pPr>
    </w:p>
    <w:p>
      <w:pPr>
        <w:spacing w:after="0" w:line="20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other intangible assets</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$11.7 million impairment of goodwill during the year ended December 31, 2023 and no impairment of goodwill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92" w:name="page93"/>
    <w:bookmarkEnd w:id="92"/>
    <w:p>
      <w:pPr>
        <w:jc w:val="both"/>
        <w:spacing w:after="0" w:line="259" w:lineRule="auto"/>
        <w:rPr>
          <w:sz w:val="20"/>
          <w:szCs w:val="20"/>
          <w:color w:val="auto"/>
        </w:rPr>
      </w:pPr>
      <w:r>
        <w:rPr>
          <w:rFonts w:ascii="Times New Roman" w:cs="Times New Roman" w:eastAsia="Times New Roman" w:hAnsi="Times New Roman"/>
          <w:sz w:val="17"/>
          <w:szCs w:val="17"/>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Company may elect to bypass a qualitative assessment, or if a qualitative assessment indicates it is more likely than not that the estimated carrying value exceeds the fair value, the Company will test for impairment using a quantitative process. If the Company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Company and the resulting cash flows. For the year ended December 31, 2023 the Company impaired $4.2 million related to intangible assets with indefinite useful lives. For the years ended December 31, 2022 and 2021, there was no impairment.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Reinsurance</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normal course of business, the Company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expected credit losses of Reinsurance recoverable is evaluated based upon a number of factors. Such factors include the amounts outstanding, history of losses, ratings of reinsurers, disputes, any collateral or letters of credit held and other relevant factors. The Company had no material credit allowances for Reinsurance recoverable at December 31, 2023 and 2022. Amounts recoverable from reinsurers are estimated in a manner consistent with the liability associated with the reinsured business and consistent with the terms of the underlying contracts. Although reinsurance agreements contractually obligate reinsurers to reimburse the Company for their share of losses, they do not discharge the primary liability of the Company. The Company remains liable for unpaid claims and claims adjustment expenses associated with ceded insured risks if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Unpaid claims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Unpaid claims and unpaid claims adjustment expenses include reported claims and incurred but not yet reported ("IBNR") claims, as well as the estimated expense of processing these claims. Management develops an estimate for IBNR using actuarial methodologies and assumptions, primarily based upon historical claim experience.</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Liabilities for both reported claims and IBNR not yet processed through the Company's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Company's reserving practice is to consistently recognize an actuarial best estimate inclusive of a provision for moderately adverse conditions. This provision is reported as part of incurred claims.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Medical claims incurred</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recognizes the cost of medical claims in the period in which services are provided, including an estimate of the cost of medical claims IBNR. This methodology is applied for both the Company's Insurance and Non-Insurance operations. Medical claim expense reported within the audited Consolidated Statements of Operations and Comprehensive Loss includes direct medical expenses.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93" w:name="page94"/>
    <w:bookmarkEnd w:id="93"/>
    <w:p>
      <w:pPr>
        <w:jc w:val="both"/>
        <w:spacing w:after="0" w:line="262" w:lineRule="auto"/>
        <w:rPr>
          <w:sz w:val="20"/>
          <w:szCs w:val="20"/>
          <w:color w:val="auto"/>
        </w:rPr>
      </w:pPr>
      <w:r>
        <w:rPr>
          <w:rFonts w:ascii="Times New Roman" w:cs="Times New Roman" w:eastAsia="Times New Roman" w:hAnsi="Times New Roman"/>
          <w:sz w:val="17"/>
          <w:szCs w:val="17"/>
          <w:color w:val="auto"/>
        </w:rPr>
        <w:t>Direct medical expenses include amounts paid or payable to hospitals, physicians, pharmacy benefit managers, providers of ancillary services, mandatory supplemental benefits, and is inclusive of the medical expense related to the Company's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within Healthcare receivables within the Consolidated Balance Sheets. Overpayments to providers are recognized as a contra medical expense and reported within Other receivables within the Consolidated Balance Sheets.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Premium deficiency reserve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liability for premium deficiency reserves is an actuarial estimate for anticipated losses on the Company's MA and MA Part D ("MAPD") business.</w:t>
      </w:r>
    </w:p>
    <w:p>
      <w:pPr>
        <w:spacing w:after="0" w:line="2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Management reassesses the profitability of contracts for providing insurance coverage to members when operating results or forecasts indicate probable future losses. Management establishes a premium deficiency reserve in current operations to the extent that the sum of expected future costs, claim adjustment expenses, investment income, and maintenance costs exceeds related future premiums under contracts with consideration of investment income.</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For purposes of calculating premium deficiency reserves, management groups contracts in a manner consistent with the method of acquiring, servicing, and measuring the profitability of such contracts.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Losses recognized as a premium deficiency are recorded in the period in which such losses were identified and reflected within the audited Consolidated Statements of Operations and Comprehensive Loss. Losses recognized as a premium deficiency result in a beneficial effect in subsequent periods as operating losses under these contracts are charged to the liability previously established.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and securities payable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issuance costs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Costs incurred in connection with Company's debt financings are capitalized and amortized to Interest expense over the life of the related debt using the effective interest method. Debt issuance costs are presented as a direct deduction from the carrying amount of the related debt liability, consistent with the presentation of debt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Premiums earned, net</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within other liabilities on the Consolidated Balance Sheets and recognized as revenue when earned.</w:t>
      </w:r>
    </w:p>
    <w:p>
      <w:pPr>
        <w:spacing w:after="0" w:line="16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Premiums anticipated to be received within twelve months based on the documented diagnostic criteria of the Company's enrollees are estimated and included in revenue for the period including the member months for which the payment is designated by CMS.</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CMS uses a risk-adjustment model which adjusts premiums paid to MA contracts, based on risk scores that are compared with the overall average risk scores for the relevant state and market pool. Generally, if a risk score is below the average risk score the Company is required to make a risk adjustment payment into the risk pool, and if a risk score is above the average risk score the Company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Company's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within the Company's audited Consolidated Statements of Operations and Comprehensive Loss, based upon available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Retrospective premiums involve the evaluation of past claims experience for the purpose of determining the actual cost of providing insurance for the customer.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evaluation is performed once every year and retrospective premiums are recognized in the year earned.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i w:val="1"/>
          <w:iCs w:val="1"/>
          <w:color w:val="auto"/>
        </w:rPr>
        <w:t>MAPD revenue</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Payments received from CMS and members from Clover's participation in the MAPD program are determined from the Company's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Company or require the Company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Payments from CMS for reinsurance and low-income cost subsidies are based on assumptions submitted with the annual bid. A reconciliation and related settlement of CMS' prospective subsidies against actual prescription drug costs paid is made after the end of the year. Consumer discounts of 50.0% on brand name prescription drugs for participants in the coverage gap are funded by CMS and pharmaceutical manufacturers. The Company accounts for these subsidies and discounts within other assets in the Consolidated Balance Sheets and as an operating activity in the audited Consolidated Statements of Cash Flows. The Company does not recognize premiums revenue or claim expenses for these subsidies or discounts.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does not recognize leases with a lease term of one year or less on its Consolidated Balance Sheets. Leases with a term greater than one year are recognized on the balance sheet as right-of-use ("ROU") assets and lease liabilities. The Company has sublease arrangements and recognizes sublease income from leasing excess space. Sublease income is recognized on a straight-line basis over the sublease term. At December 31, 2023 and 2022, the Company did not have any financing leases.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At December 31, 2023 and 2022, the Company did not include optional extension periods in the measurement of its leases as they were not reasonably certain of exercise. The Company monitors its plans to renew its material leases on a quarterly basis.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Where the rates implicit in the Company's leases are not readily determinable, the Company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Company is estimated using a synthetic credit rating analysis since the Company does not currently have a rating agency-based credit rating.</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non-lease components together as a single lease component for all underlying assets and allocate all of the contract consideration to the lease component only.</w:t>
      </w:r>
    </w:p>
    <w:p>
      <w:pPr>
        <w:spacing w:after="0" w:line="1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determining the classification of a lease as operating or finance,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Company applies the bright line thresholds referenced in the lease guidance of 75.0% to represent "a major part" and 90.0% to represent "substantially all" as allowed in ASC 842 in evaluating leases for appropriate classification. These are applied consistently to the Company's entire portfolio of leases.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3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Company accounts for all stock-based payment awards granted to employees and non-employees as stock-based compensation expense at fair value. The Company's stock-based payments include Options, RSUs, and grants of common stock, including common stock subject to vesting. The measurement date for employee awards is the grant date, and stock-based compensation costs are recognized as expense over the employees' requisite service periods, which are the vesting periods, on a straight-line basis. Nonemployee share-based payment equity awards are measured at the grant-date fair value of the equity instruments, similar to employee share-based payment equity awards. Stock-based compensation costs for non-employees are recognized as expense over the vesting period on a straight-line basis. Stock-based compensation expense is classified within the accompanying audited Consolidated Statements of Operations and Comprehensive Loss within Salaries and benefits. The Company recognizes stock-based compensation expense for the portion of awards that have vested. Forfeitures are recorded as they occur.</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each Option grant is estimated on the date of grant using the Black-Scholes option-pricing model. The expected term of each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income</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Comprehensive income is a measurement of certain changes within Stockholders' equity that results from transactions and other economic events other than transactions with the stockholders. The cumulative amount of these changes is reported on the Consolidated Balance Sheets.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liabilities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income taxes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Company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At December 31, 2023 and 2022, sufficient doubt existed over the Company's ability to generate sufficient taxable income to realize its deferred income tax assets, and accordingly, the Company provided a full valuation allowance against its deferred tax assets.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Company did not have any material uncertain tax positions during the years ended December 31, 2023 and 2022. The Company classifies interest and penalties associated with uncertain tax positions in its provision for income taxes. The Company did not incur or record any interest and penalties related to uncertain tax positions at or during the years ended December 31, 2023 and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potentially dilutive common shares. For purposes of this calculation, outstanding Options, convertible preferred stock and warrants to purchase shares of convertible preferred stock are considered potential dilutive common shares.</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convertible preferred stock contractually entitled the holders of such shares to participate in dividends but did not contractually require the holders of such shares to participate in losses of the Company. Accordingly, in periods in which the Company reported a net loss attributable to common stockholders, such losses were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2023, 2022, and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pronouncements</w:t>
      </w: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There have been no new accounting pronouncements adopted during the year ended December 31, 2023 that are expected to materially impact the Company's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pronouncements effective in future periods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July 2023, the FASB issued ASU 2023-03, </w:t>
      </w:r>
      <w:r>
        <w:rPr>
          <w:rFonts w:ascii="Times New Roman" w:cs="Times New Roman" w:eastAsia="Times New Roman" w:hAnsi="Times New Roman"/>
          <w:sz w:val="17"/>
          <w:szCs w:val="17"/>
          <w:i w:val="1"/>
          <w:iCs w:val="1"/>
          <w:color w:val="auto"/>
        </w:rPr>
        <w:t>Presentation of Financial Statements (Topic 205)</w:t>
      </w:r>
      <w:r>
        <w:rPr>
          <w:rFonts w:ascii="Times New Roman" w:cs="Times New Roman" w:eastAsia="Times New Roman" w:hAnsi="Times New Roman"/>
          <w:sz w:val="17"/>
          <w:szCs w:val="17"/>
          <w:color w:val="auto"/>
        </w:rPr>
        <w:t xml:space="preserve">, Income Statement—Reporting </w:t>
      </w:r>
      <w:r>
        <w:rPr>
          <w:rFonts w:ascii="Times New Roman" w:cs="Times New Roman" w:eastAsia="Times New Roman" w:hAnsi="Times New Roman"/>
          <w:sz w:val="17"/>
          <w:szCs w:val="17"/>
          <w:i w:val="1"/>
          <w:iCs w:val="1"/>
          <w:color w:val="auto"/>
        </w:rPr>
        <w:t>Comprehensive Income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Distinguishing Liabilities from Equity (Topic 480)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Equity (Topic 505)</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Compensation—Stock Compensation (Topic 718); </w:t>
      </w:r>
      <w:r>
        <w:rPr>
          <w:rFonts w:ascii="Times New Roman" w:cs="Times New Roman" w:eastAsia="Times New Roman" w:hAnsi="Times New Roman"/>
          <w:sz w:val="17"/>
          <w:szCs w:val="17"/>
          <w:color w:val="auto"/>
        </w:rPr>
        <w:t>Amendments to SEC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Paragraphs Pursuant to SEC Staff Accounting Bulletin No. 120, SEC Staff Announcement at the March 24, 2022 EITF Meeting, and Staff Accounting Bulletin Topic 6.B, Accounting Series Release 280—General Revision of Regulation S-X: Income or Loss Applicable to Common Stock” (“ASU 2023-03”). This ASU amends or supersedes various SEC paragraphs within the applicable codification to conform to past SEC staff announcements. This ASU does not provide any new guidance. ASU 2023-03 will become effective for the Company once the addition to the FASB Codification is made available. The Company is currently evaluating the impact of the update on the Company’s consolidated financial statements and related disclosures.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The amendments in this update aim to improve reportable segment disclosures by requiring enhanced disclosures around significant segment expenses that are regularly provided to the chief operating decision maker. Additionally, ASU 2023-07 requires that all existing annual disclosures about segment profit or loss must be provided on an interim basis and clarifies that single 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financial statements. Early adoption is permitted. The Company is currently evaluating the impact of ASU 2023-07 on its consolidated financial statements and related disclosures.</w:t>
      </w:r>
    </w:p>
    <w:p>
      <w:pPr>
        <w:spacing w:after="0" w:line="1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amendments in this update aim to provide more transparency regarding tax disclosures mainly related to the rate reconciliation and income taxes paid information. The Company is currently evaluating the impact of ASU 2023-09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color w:val="auto"/>
        </w:rPr>
        <w:t>3. Investment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amortized cost and fair values of investments at December 31, 2023 and December 31, 2022, respectively:</w:t>
      </w:r>
    </w:p>
    <w:p>
      <w:pPr>
        <w:sectPr>
          <w:pgSz w:w="11900" w:h="16838" w:orient="portrait"/>
          <w:cols w:equalWidth="0" w:num="1">
            <w:col w:w="11240"/>
          </w:cols>
          <w:pgMar w:left="320" w:top="950"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37420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Investment securities, held-to-maturity</w:t>
      </w:r>
    </w:p>
    <w:p>
      <w:pPr>
        <w:spacing w:after="0" w:line="51" w:lineRule="exact"/>
        <w:rPr>
          <w:sz w:val="20"/>
          <w:szCs w:val="20"/>
          <w:color w:val="auto"/>
        </w:rPr>
      </w:pPr>
    </w:p>
    <w:p>
      <w:pPr>
        <w:ind w:left="20" w:right="1040" w:firstLine="156"/>
        <w:spacing w:after="0" w:line="302" w:lineRule="auto"/>
        <w:rPr>
          <w:sz w:val="20"/>
          <w:szCs w:val="20"/>
          <w:color w:val="auto"/>
        </w:rPr>
      </w:pPr>
      <w:r>
        <w:rPr>
          <w:rFonts w:ascii="Times New Roman" w:cs="Times New Roman" w:eastAsia="Times New Roman" w:hAnsi="Times New Roman"/>
          <w:sz w:val="17"/>
          <w:szCs w:val="17"/>
          <w:color w:val="auto"/>
        </w:rPr>
        <w:t>U.S. government and government agencies and authorities Investment securities, available-for-sale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U.S. government and government agencies and authorities</w:t>
      </w:r>
    </w:p>
    <w:p>
      <w:pPr>
        <w:spacing w:after="0" w:line="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 debt securities</w:t>
      </w:r>
    </w:p>
    <w:p>
      <w:pPr>
        <w:spacing w:after="0" w:line="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37420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Investment securities, held-to-maturity</w:t>
      </w:r>
    </w:p>
    <w:p>
      <w:pPr>
        <w:spacing w:after="0" w:line="51" w:lineRule="exact"/>
        <w:rPr>
          <w:sz w:val="20"/>
          <w:szCs w:val="20"/>
          <w:color w:val="auto"/>
        </w:rPr>
      </w:pPr>
    </w:p>
    <w:p>
      <w:pPr>
        <w:ind w:left="20" w:right="1040" w:firstLine="156"/>
        <w:spacing w:after="0" w:line="302" w:lineRule="auto"/>
        <w:rPr>
          <w:sz w:val="20"/>
          <w:szCs w:val="20"/>
          <w:color w:val="auto"/>
        </w:rPr>
      </w:pPr>
      <w:r>
        <w:rPr>
          <w:rFonts w:ascii="Times New Roman" w:cs="Times New Roman" w:eastAsia="Times New Roman" w:hAnsi="Times New Roman"/>
          <w:sz w:val="17"/>
          <w:szCs w:val="17"/>
          <w:color w:val="auto"/>
        </w:rPr>
        <w:t>U.S. government and government agencies and authorities Investment securities, available-for-sale</w:t>
      </w:r>
    </w:p>
    <w:p>
      <w:pPr>
        <w:spacing w:after="0" w:line="1" w:lineRule="exact"/>
        <w:rPr>
          <w:sz w:val="20"/>
          <w:szCs w:val="20"/>
          <w:color w:val="auto"/>
        </w:rPr>
      </w:pPr>
    </w:p>
    <w:p>
      <w:pPr>
        <w:ind w:left="180" w:right="1040"/>
        <w:spacing w:after="0" w:line="326" w:lineRule="auto"/>
        <w:rPr>
          <w:sz w:val="20"/>
          <w:szCs w:val="20"/>
          <w:color w:val="auto"/>
        </w:rPr>
      </w:pPr>
      <w:r>
        <w:rPr>
          <w:rFonts w:ascii="Times New Roman" w:cs="Times New Roman" w:eastAsia="Times New Roman" w:hAnsi="Times New Roman"/>
          <w:sz w:val="17"/>
          <w:szCs w:val="17"/>
          <w:color w:val="auto"/>
        </w:rPr>
        <w:t>U.S. government and government agencies and authorities Corporate debt</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Total held-to-maturity and available-for-sale investment securities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unrealized gains</w:t>
            </w: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unrealized losses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9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7,695</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24"/>
                <w:szCs w:val="24"/>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7,470</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47"/>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126,071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123,714</w:t>
            </w:r>
          </w:p>
        </w:tc>
      </w:tr>
      <w:tr>
        <w:trPr>
          <w:trHeight w:val="247"/>
        </w:trPr>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95,343</w:t>
            </w:r>
          </w:p>
        </w:tc>
      </w:tr>
      <w:tr>
        <w:trPr>
          <w:trHeight w:val="247"/>
        </w:trPr>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230,975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228,380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16"/>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unrealized gains</w:t>
            </w: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unrealized losses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9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4"/>
                <w:szCs w:val="24"/>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47"/>
        </w:trPr>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228,467</w:t>
            </w:r>
          </w:p>
        </w:tc>
      </w:tr>
      <w:tr>
        <w:trPr>
          <w:trHeight w:val="247"/>
        </w:trPr>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98,399</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336,997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(9,528)</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327,517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-2867660</wp:posOffset>
            </wp:positionV>
            <wp:extent cx="7137400" cy="156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-2554605</wp:posOffset>
            </wp:positionV>
            <wp:extent cx="7137400" cy="156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-2240915</wp:posOffset>
            </wp:positionV>
            <wp:extent cx="7137400" cy="156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-1927860</wp:posOffset>
            </wp:positionV>
            <wp:extent cx="7137400" cy="181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7400" cy="18161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-980440</wp:posOffset>
            </wp:positionV>
            <wp:extent cx="7137400" cy="156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-666750</wp:posOffset>
            </wp:positionV>
            <wp:extent cx="7137400" cy="156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-353695</wp:posOffset>
            </wp:positionV>
            <wp:extent cx="7137400" cy="156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50"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amortized cost and fair value of debt securities at December 31, 2023, by contractual maturity:</w:t>
      </w:r>
    </w:p>
    <w:p>
      <w:pPr>
        <w:sectPr>
          <w:pgSz w:w="11900" w:h="16838" w:orient="portrait"/>
          <w:cols w:equalWidth="0" w:num="1">
            <w:col w:w="11240"/>
          </w:cols>
          <w:pgMar w:left="320" w:top="950" w:right="339" w:bottom="1440" w:gutter="0" w:footer="0" w:header="0"/>
          <w:type w:val="continuous"/>
        </w:sect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37420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within one year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after five years through ten years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Due after ten years</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0" w:type="dxa"/>
            <w:vAlign w:val="bottom"/>
          </w:tcPr>
          <w:p>
            <w:pPr>
              <w:spacing w:after="0"/>
              <w:rPr>
                <w:sz w:val="18"/>
                <w:szCs w:val="18"/>
                <w:color w:val="auto"/>
              </w:rPr>
            </w:pPr>
          </w:p>
        </w:tc>
        <w:tc>
          <w:tcPr>
            <w:tcW w:w="256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120" w:type="dxa"/>
            <w:vAlign w:val="bottom"/>
          </w:tcPr>
          <w:p>
            <w:pPr>
              <w:spacing w:after="0"/>
              <w:rPr>
                <w:sz w:val="18"/>
                <w:szCs w:val="18"/>
                <w:color w:val="auto"/>
              </w:rPr>
            </w:pPr>
          </w:p>
        </w:tc>
        <w:tc>
          <w:tcPr>
            <w:tcW w:w="2460" w:type="dxa"/>
            <w:vAlign w:val="bottom"/>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Available-for-sale</w:t>
            </w:r>
          </w:p>
        </w:tc>
      </w:tr>
      <w:tr>
        <w:trPr>
          <w:trHeight w:val="214"/>
        </w:trPr>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4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6,902</w:t>
            </w:r>
          </w:p>
        </w:tc>
        <w:tc>
          <w:tcPr>
            <w:tcW w:w="8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6,778</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101,412</w:t>
            </w:r>
          </w:p>
        </w:tc>
        <w:tc>
          <w:tcPr>
            <w:tcW w:w="100" w:type="dxa"/>
            <w:vAlign w:val="bottom"/>
          </w:tcPr>
          <w:p>
            <w:pPr>
              <w:spacing w:after="0"/>
              <w:rPr>
                <w:sz w:val="21"/>
                <w:szCs w:val="21"/>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100,702</w:t>
            </w:r>
          </w:p>
        </w:tc>
      </w:tr>
      <w:tr>
        <w:trPr>
          <w:trHeight w:val="267"/>
        </w:trPr>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120,208</w:t>
            </w:r>
          </w:p>
        </w:tc>
      </w:tr>
      <w:tr>
        <w:trPr>
          <w:trHeight w:val="226"/>
        </w:trPr>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9"/>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7,695</w:t>
            </w:r>
          </w:p>
        </w:tc>
        <w:tc>
          <w:tcPr>
            <w:tcW w:w="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223,280</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220,910</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-823595</wp:posOffset>
            </wp:positionV>
            <wp:extent cx="7137400" cy="156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-510540</wp:posOffset>
            </wp:positionV>
            <wp:extent cx="7137400" cy="156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-197485</wp:posOffset>
            </wp:positionV>
            <wp:extent cx="7137400" cy="181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7400" cy="181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50" w:right="339" w:bottom="1440" w:gutter="0" w:footer="0" w:header="0"/>
          <w:type w:val="continuous"/>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type w:val="continuous"/>
        </w:sectPr>
      </w:pPr>
    </w:p>
    <w:bookmarkStart w:id="98" w:name="page99"/>
    <w:bookmarkEnd w:id="98"/>
    <w:p>
      <w:pPr>
        <w:spacing w:after="0" w:line="292" w:lineRule="auto"/>
        <w:rPr>
          <w:sz w:val="20"/>
          <w:szCs w:val="20"/>
          <w:color w:val="auto"/>
        </w:rPr>
      </w:pPr>
      <w:r>
        <w:rPr>
          <w:rFonts w:ascii="Times New Roman" w:cs="Times New Roman" w:eastAsia="Times New Roman" w:hAnsi="Times New Roman"/>
          <w:sz w:val="17"/>
          <w:szCs w:val="17"/>
          <w:color w:val="auto"/>
        </w:rPr>
        <w:t>For the years ended December 31, 2023 and 2022, respectively, net investment income, which is included within Other income within the audited Consolidated Statements of Operations and Comprehensive Loss, was derived from the following sources:</w:t>
      </w:r>
    </w:p>
    <w:p>
      <w:pPr>
        <w:sectPr>
          <w:pgSz w:w="11900" w:h="16838" w:orient="portrait"/>
          <w:cols w:equalWidth="0" w:num="1">
            <w:col w:w="11240"/>
          </w:cols>
          <w:pgMar w:left="320" w:top="9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investments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Investment securities</w:t>
      </w:r>
    </w:p>
    <w:p>
      <w:pPr>
        <w:spacing w:after="0" w:line="90" w:lineRule="exact"/>
        <w:rPr>
          <w:sz w:val="20"/>
          <w:szCs w:val="20"/>
          <w:color w:val="auto"/>
        </w:rPr>
      </w:pPr>
    </w:p>
    <w:p>
      <w:pPr>
        <w:jc w:val="right"/>
        <w:ind w:right="4720"/>
        <w:spacing w:after="0"/>
        <w:rPr>
          <w:sz w:val="20"/>
          <w:szCs w:val="20"/>
          <w:color w:val="auto"/>
        </w:rPr>
      </w:pPr>
      <w:r>
        <w:rPr>
          <w:rFonts w:ascii="Times New Roman" w:cs="Times New Roman" w:eastAsia="Times New Roman" w:hAnsi="Times New Roman"/>
          <w:sz w:val="17"/>
          <w:szCs w:val="17"/>
          <w:color w:val="auto"/>
        </w:rPr>
        <w:t>Investment income, net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2"/>
        </w:trPr>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3,619</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67"/>
        </w:trPr>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26"/>
        </w:trPr>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6"/>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9"/>
        </w:trPr>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-666750</wp:posOffset>
            </wp:positionV>
            <wp:extent cx="7137400" cy="156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-353695</wp:posOffset>
            </wp:positionV>
            <wp:extent cx="7137400" cy="156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952" w:right="339" w:bottom="1440" w:gutter="0" w:footer="0" w:header="0"/>
          <w:type w:val="continuous"/>
        </w:sectPr>
      </w:pPr>
    </w:p>
    <w:p>
      <w:pPr>
        <w:spacing w:after="0" w:line="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Gross unrealized losses and fair values aggregated by investment category and length of time that individual securities have been in a continuous unrealized loss position were as follows at December 31, 2023, and December 31, 2022,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8"/>
                <w:szCs w:val="18"/>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gridSpan w:val="3"/>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8"/>
              </w:rPr>
              <w:t>Unrealized loss</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agencies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 authorities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74,212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(3,291)</w:t>
            </w:r>
          </w:p>
        </w:tc>
        <w:tc>
          <w:tcPr>
            <w:tcW w:w="0" w:type="dxa"/>
            <w:vAlign w:val="bottom"/>
          </w:tcPr>
          <w:p>
            <w:pPr>
              <w:spacing w:after="0"/>
              <w:rPr>
                <w:sz w:val="1"/>
                <w:szCs w:val="1"/>
                <w:color w:val="auto"/>
              </w:rPr>
            </w:pPr>
          </w:p>
        </w:tc>
      </w:tr>
      <w:tr>
        <w:trPr>
          <w:trHeight w:val="247"/>
        </w:trPr>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61,007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5,017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39"/>
        </w:trPr>
        <w:tc>
          <w:tcPr>
            <w:tcW w:w="3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73,591</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66,645</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140,236</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Number of positions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54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24"/>
                <w:szCs w:val="24"/>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24"/>
                <w:szCs w:val="24"/>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8"/>
              </w:rPr>
              <w:t>Unrealized loss</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8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Unrealized loss</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(in thousands, except number of positions)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agencies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and authorities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(9,106)</w:t>
            </w:r>
          </w:p>
        </w:tc>
        <w:tc>
          <w:tcPr>
            <w:tcW w:w="0" w:type="dxa"/>
            <w:vAlign w:val="bottom"/>
          </w:tcPr>
          <w:p>
            <w:pPr>
              <w:spacing w:after="0"/>
              <w:rPr>
                <w:sz w:val="1"/>
                <w:szCs w:val="1"/>
                <w:color w:val="auto"/>
              </w:rPr>
            </w:pPr>
          </w:p>
        </w:tc>
      </w:tr>
      <w:tr>
        <w:trPr>
          <w:trHeight w:val="24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0" w:type="dxa"/>
            <w:vAlign w:val="bottom"/>
          </w:tcPr>
          <w:p>
            <w:pPr>
              <w:spacing w:after="0"/>
              <w:rPr>
                <w:sz w:val="1"/>
                <w:szCs w:val="1"/>
                <w:color w:val="auto"/>
              </w:rPr>
            </w:pPr>
          </w:p>
        </w:tc>
      </w:tr>
      <w:tr>
        <w:trPr>
          <w:trHeight w:val="239"/>
        </w:trPr>
        <w:tc>
          <w:tcPr>
            <w:tcW w:w="32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142,553</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147,757</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290,310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Number of positions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record any credit allowances for debt securities that were in an unrealized loss position at December 31, 2023 and December 31, 2022.</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At December 31, 2023,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December 31, 2023, were assessed, based on, among other things:</w:t>
      </w:r>
    </w:p>
    <w:p>
      <w:pPr>
        <w:spacing w:after="0" w:line="88" w:lineRule="exact"/>
        <w:rPr>
          <w:sz w:val="20"/>
          <w:szCs w:val="20"/>
          <w:color w:val="auto"/>
        </w:rPr>
      </w:pPr>
    </w:p>
    <w:p>
      <w:pPr>
        <w:ind w:left="620" w:hanging="305"/>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relative magnitude to which fair values of these securities have been below their amortized cost was not indicative of an impairment loss;</w:t>
      </w:r>
    </w:p>
    <w:p>
      <w:pPr>
        <w:spacing w:after="0" w:line="124" w:lineRule="exact"/>
        <w:rPr>
          <w:rFonts w:ascii="Times New Roman" w:cs="Times New Roman" w:eastAsia="Times New Roman" w:hAnsi="Times New Roman"/>
          <w:sz w:val="21"/>
          <w:szCs w:val="21"/>
          <w:color w:val="auto"/>
        </w:rPr>
      </w:pPr>
    </w:p>
    <w:p>
      <w:pPr>
        <w:ind w:left="620" w:hanging="305"/>
        <w:spacing w:after="0" w:line="238" w:lineRule="auto"/>
        <w:tabs>
          <w:tab w:leader="none" w:pos="61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absence of compelling evidence that would cause the Company to call into question the financial condition or near-term prospects of the issuer of the applicable security; and</w:t>
      </w:r>
    </w:p>
    <w:p>
      <w:pPr>
        <w:spacing w:after="0" w:line="109" w:lineRule="exact"/>
        <w:rPr>
          <w:rFonts w:ascii="Times New Roman" w:cs="Times New Roman" w:eastAsia="Times New Roman" w:hAnsi="Times New Roman"/>
          <w:sz w:val="21"/>
          <w:szCs w:val="21"/>
          <w:color w:val="auto"/>
        </w:rPr>
      </w:pPr>
    </w:p>
    <w:p>
      <w:pPr>
        <w:ind w:left="620" w:hanging="305"/>
        <w:spacing w:after="0"/>
        <w:tabs>
          <w:tab w:leader="none" w:pos="6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Company's ability and intent to hold the applicable security for a period of time sufficient to allow for any anticipated recovery.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99" w:name="page100"/>
    <w:bookmarkEnd w:id="99"/>
    <w:p>
      <w:pPr>
        <w:jc w:val="both"/>
        <w:spacing w:after="0" w:line="273" w:lineRule="auto"/>
        <w:rPr>
          <w:sz w:val="20"/>
          <w:szCs w:val="20"/>
          <w:color w:val="auto"/>
        </w:rPr>
      </w:pPr>
      <w:r>
        <w:rPr>
          <w:rFonts w:ascii="Times New Roman" w:cs="Times New Roman" w:eastAsia="Times New Roman" w:hAnsi="Times New Roman"/>
          <w:sz w:val="17"/>
          <w:szCs w:val="17"/>
          <w:color w:val="auto"/>
        </w:rPr>
        <w:t>Proceeds from sales and maturities of investment securities, inclusive of Short-term investments, and related gross realized gains (losses) which are included within Other income within the audited Consolidated Statements of Operations and Comprehensive Loss, were as follows for the year ended December 31, 2023 and 2022, respectively:</w:t>
      </w:r>
    </w:p>
    <w:p>
      <w:pPr>
        <w:sectPr>
          <w:pgSz w:w="11900" w:h="16838" w:orient="portrait"/>
          <w:cols w:equalWidth="0" w:num="1">
            <w:col w:w="11240"/>
          </w:cols>
          <w:pgMar w:left="320" w:top="9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Proceeds from sales of investment securities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Proceeds from maturities of investment securities</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Gross realized gains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Gross realized losses</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realized gains (losses)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3"/>
        </w:trPr>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4"/>
        </w:trPr>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60,436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13,348</w:t>
            </w: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126,862</w:t>
            </w:r>
          </w:p>
        </w:tc>
      </w:tr>
      <w:tr>
        <w:trPr>
          <w:trHeight w:val="273"/>
        </w:trPr>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255,728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472,098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314,666</w:t>
            </w:r>
          </w:p>
        </w:tc>
      </w:tr>
      <w:tr>
        <w:trPr>
          <w:trHeight w:val="363"/>
        </w:trPr>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7"/>
        </w:trPr>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6"/>
        </w:trPr>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4"/>
        </w:trPr>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-4645025</wp:posOffset>
            </wp:positionH>
            <wp:positionV relativeFrom="paragraph">
              <wp:posOffset>-897890</wp:posOffset>
            </wp:positionV>
            <wp:extent cx="7137400" cy="156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-584835</wp:posOffset>
            </wp:positionV>
            <wp:extent cx="7137400" cy="908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7400" cy="9080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-337185</wp:posOffset>
            </wp:positionV>
            <wp:extent cx="7137400" cy="156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7400"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952" w:right="339" w:bottom="1440" w:gutter="0" w:footer="0" w:header="0"/>
          <w:type w:val="continuous"/>
        </w:sectPr>
      </w:pPr>
    </w:p>
    <w:p>
      <w:pPr>
        <w:spacing w:after="0" w:line="8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At December 31, 2023 and December 31, 2022, the Company had $14.7 million and $14.3 million, respectively, in deposits with various states and regulatory bodies that are included as part of the Company's investment balances.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Measurements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a summary of fair value measurements for financial instruments at December 31, 2023 and 2022, respectively:</w:t>
      </w:r>
    </w:p>
    <w:p>
      <w:pPr>
        <w:spacing w:after="0" w:line="257"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b w:val="1"/>
          <w:bCs w:val="1"/>
          <w:color w:val="auto"/>
        </w:rPr>
        <w:t>Total fair</w:t>
      </w:r>
    </w:p>
    <w:p>
      <w:pPr>
        <w:spacing w:after="0" w:line="21" w:lineRule="exact"/>
        <w:rPr>
          <w:sz w:val="20"/>
          <w:szCs w:val="20"/>
          <w:color w:val="auto"/>
        </w:rPr>
      </w:pPr>
    </w:p>
    <w:p>
      <w:pPr>
        <w:ind w:left="20"/>
        <w:spacing w:after="0"/>
        <w:tabs>
          <w:tab w:leader="none" w:pos="6320" w:val="left"/>
          <w:tab w:leader="none" w:pos="7660" w:val="left"/>
          <w:tab w:leader="none" w:pos="9000" w:val="left"/>
          <w:tab w:leader="none" w:pos="10400" w:val="left"/>
        </w:tabs>
        <w:rPr>
          <w:sz w:val="20"/>
          <w:szCs w:val="20"/>
          <w:color w:val="auto"/>
        </w:rPr>
      </w:pPr>
      <w:r>
        <w:rPr>
          <w:rFonts w:ascii="Times New Roman" w:cs="Times New Roman" w:eastAsia="Times New Roman" w:hAnsi="Times New Roman"/>
          <w:sz w:val="17"/>
          <w:szCs w:val="17"/>
          <w:b w:val="1"/>
          <w:bCs w:val="1"/>
          <w:color w:val="auto"/>
        </w:rPr>
        <w:t>December 31, 2023</w:t>
      </w:r>
      <w:r>
        <w:rPr>
          <w:sz w:val="20"/>
          <w:szCs w:val="20"/>
          <w:color w:val="auto"/>
        </w:rPr>
        <w:tab/>
      </w:r>
      <w:r>
        <w:rPr>
          <w:rFonts w:ascii="Times New Roman" w:cs="Times New Roman" w:eastAsia="Times New Roman" w:hAnsi="Times New Roman"/>
          <w:sz w:val="17"/>
          <w:szCs w:val="17"/>
          <w:b w:val="1"/>
          <w:bCs w:val="1"/>
          <w:color w:val="auto"/>
        </w:rPr>
        <w:t>Level 1</w:t>
      </w:r>
      <w:r>
        <w:rPr>
          <w:sz w:val="20"/>
          <w:szCs w:val="20"/>
          <w:color w:val="auto"/>
        </w:rPr>
        <w:tab/>
      </w:r>
      <w:r>
        <w:rPr>
          <w:rFonts w:ascii="Times New Roman" w:cs="Times New Roman" w:eastAsia="Times New Roman" w:hAnsi="Times New Roman"/>
          <w:sz w:val="17"/>
          <w:szCs w:val="17"/>
          <w:b w:val="1"/>
          <w:bCs w:val="1"/>
          <w:color w:val="auto"/>
        </w:rPr>
        <w:t>Level 2</w:t>
      </w:r>
      <w:r>
        <w:rPr>
          <w:sz w:val="20"/>
          <w:szCs w:val="20"/>
          <w:color w:val="auto"/>
        </w:rPr>
        <w:tab/>
      </w:r>
      <w:r>
        <w:rPr>
          <w:rFonts w:ascii="Times New Roman" w:cs="Times New Roman" w:eastAsia="Times New Roman" w:hAnsi="Times New Roman"/>
          <w:sz w:val="17"/>
          <w:szCs w:val="17"/>
          <w:b w:val="1"/>
          <w:bCs w:val="1"/>
          <w:color w:val="auto"/>
        </w:rPr>
        <w:t>Level 3</w:t>
      </w:r>
      <w:r>
        <w:rPr>
          <w:sz w:val="20"/>
          <w:szCs w:val="20"/>
          <w:color w:val="auto"/>
        </w:rPr>
        <w:tab/>
      </w:r>
      <w:r>
        <w:rPr>
          <w:rFonts w:ascii="Times New Roman" w:cs="Times New Roman" w:eastAsia="Times New Roman" w:hAnsi="Times New Roman"/>
          <w:sz w:val="17"/>
          <w:szCs w:val="17"/>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137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(in thousands)</w:t>
      </w:r>
    </w:p>
    <w:p>
      <w:pPr>
        <w:sectPr>
          <w:pgSz w:w="11900" w:h="16838" w:orient="portrait"/>
          <w:cols w:equalWidth="0" w:num="1">
            <w:col w:w="11240"/>
          </w:cols>
          <w:pgMar w:left="320" w:top="952" w:right="33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U.S. government and government agencies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Warrants receivable</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assets at fair value</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36429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46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123,714</w:t>
            </w:r>
          </w:p>
        </w:tc>
        <w:tc>
          <w:tcPr>
            <w:tcW w:w="80" w:type="dxa"/>
            <w:vAlign w:val="bottom"/>
          </w:tcPr>
          <w:p>
            <w:pPr>
              <w:spacing w:after="0"/>
              <w:rPr>
                <w:sz w:val="19"/>
                <w:szCs w:val="19"/>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123,714</w:t>
            </w:r>
          </w:p>
        </w:tc>
      </w:tr>
      <w:tr>
        <w:trPr>
          <w:trHeight w:val="273"/>
        </w:trPr>
        <w:tc>
          <w:tcPr>
            <w:tcW w:w="46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95,343</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95,343</w:t>
            </w:r>
          </w:p>
        </w:tc>
      </w:tr>
      <w:tr>
        <w:trPr>
          <w:trHeight w:val="241"/>
        </w:trPr>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w:t>
            </w:r>
          </w:p>
        </w:tc>
      </w:tr>
      <w:tr>
        <w:trPr>
          <w:trHeight w:val="252"/>
        </w:trPr>
        <w:tc>
          <w:tcPr>
            <w:tcW w:w="4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r>
      <w:tr>
        <w:trPr>
          <w:trHeight w:val="214"/>
        </w:trPr>
        <w:tc>
          <w:tcPr>
            <w:tcW w:w="4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1,853</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219,057</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221,724</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-807085</wp:posOffset>
            </wp:positionV>
            <wp:extent cx="7137400" cy="156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-494030</wp:posOffset>
            </wp:positionV>
            <wp:extent cx="7137400" cy="156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-180975</wp:posOffset>
            </wp:positionV>
            <wp:extent cx="7137400" cy="165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7400" cy="165100"/>
                    </a:xfrm>
                    <a:prstGeom prst="rect">
                      <a:avLst/>
                    </a:prstGeom>
                    <a:noFill/>
                  </pic:spPr>
                </pic:pic>
              </a:graphicData>
            </a:graphic>
          </wp:anchor>
        </w:drawing>
      </w:r>
    </w:p>
    <w:p>
      <w:pPr>
        <w:spacing w:after="0" w:line="28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Total fair</w:t>
      </w:r>
    </w:p>
    <w:p>
      <w:pPr>
        <w:spacing w:after="0" w:line="21" w:lineRule="exact"/>
        <w:rPr>
          <w:sz w:val="20"/>
          <w:szCs w:val="20"/>
          <w:color w:val="auto"/>
        </w:rPr>
      </w:pPr>
    </w:p>
    <w:p>
      <w:pPr>
        <w:ind w:left="420"/>
        <w:spacing w:after="0"/>
        <w:tabs>
          <w:tab w:leader="none" w:pos="1720" w:val="left"/>
          <w:tab w:leader="none" w:pos="3040" w:val="left"/>
          <w:tab w:leader="none" w:pos="4440" w:val="left"/>
        </w:tabs>
        <w:rPr>
          <w:sz w:val="20"/>
          <w:szCs w:val="20"/>
          <w:color w:val="auto"/>
        </w:rPr>
      </w:pPr>
      <w:r>
        <w:rPr>
          <w:rFonts w:ascii="Times New Roman" w:cs="Times New Roman" w:eastAsia="Times New Roman" w:hAnsi="Times New Roman"/>
          <w:sz w:val="17"/>
          <w:szCs w:val="17"/>
          <w:b w:val="1"/>
          <w:bCs w:val="1"/>
          <w:color w:val="auto"/>
        </w:rPr>
        <w:t>Level 1</w:t>
      </w:r>
      <w:r>
        <w:rPr>
          <w:sz w:val="20"/>
          <w:szCs w:val="20"/>
          <w:color w:val="auto"/>
        </w:rPr>
        <w:tab/>
      </w:r>
      <w:r>
        <w:rPr>
          <w:rFonts w:ascii="Times New Roman" w:cs="Times New Roman" w:eastAsia="Times New Roman" w:hAnsi="Times New Roman"/>
          <w:sz w:val="17"/>
          <w:szCs w:val="17"/>
          <w:b w:val="1"/>
          <w:bCs w:val="1"/>
          <w:color w:val="auto"/>
        </w:rPr>
        <w:t>Level 2</w:t>
      </w:r>
      <w:r>
        <w:rPr>
          <w:sz w:val="20"/>
          <w:szCs w:val="20"/>
          <w:color w:val="auto"/>
        </w:rPr>
        <w:tab/>
      </w:r>
      <w:r>
        <w:rPr>
          <w:rFonts w:ascii="Times New Roman" w:cs="Times New Roman" w:eastAsia="Times New Roman" w:hAnsi="Times New Roman"/>
          <w:sz w:val="17"/>
          <w:szCs w:val="17"/>
          <w:b w:val="1"/>
          <w:bCs w:val="1"/>
          <w:color w:val="auto"/>
        </w:rPr>
        <w:t>Level 3</w:t>
      </w:r>
      <w:r>
        <w:rPr>
          <w:sz w:val="20"/>
          <w:szCs w:val="20"/>
          <w:color w:val="auto"/>
        </w:rPr>
        <w:tab/>
      </w:r>
      <w:r>
        <w:rPr>
          <w:rFonts w:ascii="Times New Roman" w:cs="Times New Roman" w:eastAsia="Times New Roman" w:hAnsi="Times New Roman"/>
          <w:sz w:val="16"/>
          <w:szCs w:val="16"/>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23495</wp:posOffset>
            </wp:positionV>
            <wp:extent cx="32886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88665" cy="8255"/>
                    </a:xfrm>
                    <a:prstGeom prst="rect">
                      <a:avLst/>
                    </a:prstGeom>
                    <a:noFill/>
                  </pic:spPr>
                </pic:pic>
              </a:graphicData>
            </a:graphic>
          </wp:anchor>
        </w:drawing>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5" w:lineRule="exact"/>
        <w:rPr>
          <w:sz w:val="20"/>
          <w:szCs w:val="20"/>
          <w:color w:val="auto"/>
        </w:rPr>
      </w:pPr>
    </w:p>
    <w:p>
      <w:pPr>
        <w:sectPr>
          <w:pgSz w:w="11900" w:h="16838" w:orient="portrait"/>
          <w:cols w:equalWidth="0" w:num="2">
            <w:col w:w="5260" w:space="720"/>
            <w:col w:w="5260"/>
          </w:cols>
          <w:pgMar w:left="320" w:top="952"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and government agencies</w:t>
            </w: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228,467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228,467</w:t>
            </w:r>
          </w:p>
        </w:tc>
      </w:tr>
      <w:tr>
        <w:trPr>
          <w:trHeight w:val="247"/>
        </w:trPr>
        <w:tc>
          <w:tcPr>
            <w:tcW w:w="6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540" w:type="dxa"/>
            <w:vAlign w:val="bottom"/>
          </w:tcPr>
          <w:p>
            <w:pPr>
              <w:spacing w:after="0"/>
              <w:rPr>
                <w:sz w:val="21"/>
                <w:szCs w:val="21"/>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98,399</w:t>
            </w:r>
          </w:p>
        </w:tc>
      </w:tr>
      <w:tr>
        <w:trPr>
          <w:trHeight w:val="24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receivable</w:t>
            </w:r>
          </w:p>
        </w:tc>
        <w:tc>
          <w:tcPr>
            <w:tcW w:w="5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4"/>
        </w:trPr>
        <w:tc>
          <w:tcPr>
            <w:tcW w:w="6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5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326,866</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327,766</w:t>
            </w:r>
          </w:p>
        </w:tc>
      </w:tr>
      <w:tr>
        <w:trPr>
          <w:trHeight w:val="20"/>
        </w:trPr>
        <w:tc>
          <w:tcPr>
            <w:tcW w:w="6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balances of Clover's Level 3 financial assets and liabilities during the years ended December 31, 2023 and 2022, and 2021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Convertible</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8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8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payable</w:t>
            </w: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receivable</w:t>
            </w:r>
          </w:p>
        </w:tc>
        <w:tc>
          <w:tcPr>
            <w:tcW w:w="280" w:type="dxa"/>
            <w:vAlign w:val="bottom"/>
          </w:tcPr>
          <w:p>
            <w:pPr>
              <w:spacing w:after="0"/>
              <w:rPr>
                <w:sz w:val="19"/>
                <w:szCs w:val="19"/>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949,553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97,782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1,092,145</w:t>
            </w:r>
          </w:p>
        </w:tc>
        <w:tc>
          <w:tcPr>
            <w:tcW w:w="0" w:type="dxa"/>
            <w:vAlign w:val="bottom"/>
          </w:tcPr>
          <w:p>
            <w:pPr>
              <w:spacing w:after="0"/>
              <w:rPr>
                <w:sz w:val="1"/>
                <w:szCs w:val="1"/>
                <w:color w:val="auto"/>
              </w:rPr>
            </w:pPr>
          </w:p>
        </w:tc>
      </w:tr>
      <w:tr>
        <w:trPr>
          <w:trHeight w:val="226"/>
        </w:trPr>
        <w:tc>
          <w:tcPr>
            <w:tcW w:w="4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Settlements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(949,553)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(1,092,145)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5"/>
        </w:trPr>
        <w:tc>
          <w:tcPr>
            <w:tcW w:w="4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Balance, December 31,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Receipts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Total unrealized losses (gains)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65"/>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52" w:right="3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100" w:name="page101"/>
    <w:bookmarkEnd w:id="100"/>
    <w:p>
      <w:pPr>
        <w:jc w:val="both"/>
        <w:spacing w:after="0" w:line="292" w:lineRule="auto"/>
        <w:rPr>
          <w:sz w:val="20"/>
          <w:szCs w:val="20"/>
          <w:color w:val="auto"/>
        </w:rPr>
      </w:pPr>
      <w:r>
        <w:rPr>
          <w:rFonts w:ascii="Times New Roman" w:cs="Times New Roman" w:eastAsia="Times New Roman" w:hAnsi="Times New Roman"/>
          <w:sz w:val="17"/>
          <w:szCs w:val="17"/>
          <w:color w:val="auto"/>
        </w:rPr>
        <w:t>On November 14, 2022, the Company recognized contingent consideration of $3.0 million, for which the carrying value is approximately the same as the fair value, and was included as part of the consideration transferred for the 2022 Business Combination.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in or out of Level 3 financial assets or liabilities for the years ended December 31, 2023 or December 31,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Public, and Private Placement Warrants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5, 2020, the Company entered into the Merger Agreement with SCH and simultaneously amended the warrants to be automatically exercisable for common stock in connection with the 2021 Business Combination. Pursuant to the Merger Agreement, the Loan Facility warrants and the September 2015 warrants automatically converted into 3,484,154 shares of Legacy Clover common stock and, after giving effect to the Exchange Ratio, converted into 7,205,490 shares of Class B Common Stock upon the closing of the 2021 Business Combination. As a result of the 2021 Business Combination, the Company assumed, at January 7, 2021, public warrants to purchase an aggregate of 27,599,938 shares of the Company's Class A Common Stock and private placement warrants to purchase an aggregate of 10,933,333 shares of the Company's Class A Common Stock. Each whole warrant entitled the registered holder to purchase one whole share of Class A Common Stock at a price of $11.50 per share, at any time commencing on April 24, 2021.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December 31, 2022, the Company had exercisable private warrants which were embedded in several agreements as derivatives. These private warrants were accounted for as assets in accordance with ASC 815-40 and are presented within Other assets, non-current on the Consolidated Balance Sheets. The warrant assets are measured at fair value at inception and on a recurring basis until redeemed, with changes in fair value presented within Change in fair value of warrants within the audited Consolidated Statements of Operations and Comprehensive Loss. These private warrants were classified within Level 3 due to the subjectivity and use of estimates in the calculation of their fair value. These warrants at initial measurement date, December 31, 2022, were assessed to have a fair value of $0.9 million, with no other activity for the year ended December 31, 2022. The company reassesses the fair values of the warrants based on updated estimates and for the year ended December 31, 2023 we recognized $0.1 million of unrealized losses.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Liability Measurement</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Warrants were accounted for as liabilities in accordance with ASC 815-40 and were presented within Warrants payable on the Consolidated Balance Sheets. The warrant liabilities were measured at fair value at inception and measured on a recurring basis, with changes in fair value presented within Change in fair value of warrants within the audited Consolidated Statements of Operations and Comprehensive Loss. The Company determined that the public warrants assumed in connection with the 2021 Business Combination were classified within Level 1 of the fair value hierarchy as the fair value was equal to the publicly traded price of the public warrants, and the private placement warrants, also assumed in connection with the 2021 Business Combination, were classified within Level 2 of the fair value hierarchy as the fair value was estimated using the price of the public warrants. On July 22, 2021, the Company issued a press release stating that it would redeem all of its public and private placement warrants. In connection with the redemption, effective August 24, 2021, the public warrants were delisted and classified within Level 2 of the fair value hierarchy as the fair value of the public warrants was based on proportional changes in the price of the Company's common stock. The end of the redemption period was September 9, 2021, at which time the Company redeemed all unexercised public and private placement warrants at a price of $0.10 per warrant. Following the redemption, no public or private placement warrants were outstanding.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the fair value of warrants payable: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Public and</w:t>
            </w:r>
          </w:p>
        </w:tc>
        <w:tc>
          <w:tcPr>
            <w:tcW w:w="0" w:type="dxa"/>
            <w:vAlign w:val="bottom"/>
          </w:tcPr>
          <w:p>
            <w:pPr>
              <w:spacing w:after="0"/>
              <w:rPr>
                <w:sz w:val="1"/>
                <w:szCs w:val="1"/>
                <w:color w:val="auto"/>
              </w:rPr>
            </w:pPr>
          </w:p>
        </w:tc>
      </w:tr>
      <w:tr>
        <w:trPr>
          <w:trHeight w:val="174"/>
        </w:trPr>
        <w:tc>
          <w:tcPr>
            <w:tcW w:w="44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55"/>
              <w:spacing w:after="0" w:line="174" w:lineRule="exact"/>
              <w:rPr>
                <w:sz w:val="20"/>
                <w:szCs w:val="20"/>
                <w:color w:val="auto"/>
              </w:rPr>
            </w:pPr>
            <w:r>
              <w:rPr>
                <w:rFonts w:ascii="Times New Roman" w:cs="Times New Roman" w:eastAsia="Times New Roman" w:hAnsi="Times New Roman"/>
                <w:sz w:val="17"/>
                <w:szCs w:val="17"/>
                <w:b w:val="1"/>
                <w:bCs w:val="1"/>
                <w:color w:val="auto"/>
              </w:rPr>
              <w:t>Private</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5"/>
              <w:spacing w:after="0" w:line="176" w:lineRule="exact"/>
              <w:rPr>
                <w:sz w:val="20"/>
                <w:szCs w:val="20"/>
                <w:color w:val="auto"/>
              </w:rPr>
            </w:pPr>
            <w:r>
              <w:rPr>
                <w:rFonts w:ascii="Times New Roman" w:cs="Times New Roman" w:eastAsia="Times New Roman" w:hAnsi="Times New Roman"/>
                <w:sz w:val="17"/>
                <w:szCs w:val="17"/>
                <w:b w:val="1"/>
                <w:bCs w:val="1"/>
                <w:color w:val="auto"/>
              </w:rPr>
              <w:t>Placement</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auto"/>
            </w:tcBorders>
            <w:vMerge w:val="continue"/>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3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Initial measurement, January 7, 2021</w:t>
            </w:r>
          </w:p>
        </w:tc>
        <w:tc>
          <w:tcPr>
            <w:tcW w:w="5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147,582</w:t>
            </w:r>
          </w:p>
        </w:tc>
        <w:tc>
          <w:tcPr>
            <w:tcW w:w="0" w:type="dxa"/>
            <w:vAlign w:val="bottom"/>
          </w:tcPr>
          <w:p>
            <w:pPr>
              <w:spacing w:after="0"/>
              <w:rPr>
                <w:sz w:val="1"/>
                <w:szCs w:val="1"/>
                <w:color w:val="auto"/>
              </w:rPr>
            </w:pPr>
          </w:p>
        </w:tc>
      </w:tr>
      <w:tr>
        <w:trPr>
          <w:trHeight w:val="221"/>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Mark-to-market adjustment</w:t>
            </w:r>
          </w:p>
        </w:tc>
        <w:tc>
          <w:tcPr>
            <w:tcW w:w="5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(66,214)</w:t>
            </w:r>
          </w:p>
        </w:tc>
        <w:tc>
          <w:tcPr>
            <w:tcW w:w="0" w:type="dxa"/>
            <w:vAlign w:val="bottom"/>
          </w:tcPr>
          <w:p>
            <w:pPr>
              <w:spacing w:after="0"/>
              <w:rPr>
                <w:sz w:val="1"/>
                <w:szCs w:val="1"/>
                <w:color w:val="auto"/>
              </w:rPr>
            </w:pPr>
          </w:p>
        </w:tc>
      </w:tr>
      <w:tr>
        <w:trPr>
          <w:trHeight w:val="221"/>
        </w:trPr>
        <w:tc>
          <w:tcPr>
            <w:tcW w:w="4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Warrants payable balance, Warrants exercised</w:t>
            </w: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(81,283)</w:t>
            </w:r>
          </w:p>
        </w:tc>
        <w:tc>
          <w:tcPr>
            <w:tcW w:w="0" w:type="dxa"/>
            <w:vAlign w:val="bottom"/>
          </w:tcPr>
          <w:p>
            <w:pPr>
              <w:spacing w:after="0"/>
              <w:rPr>
                <w:sz w:val="1"/>
                <w:szCs w:val="1"/>
                <w:color w:val="auto"/>
              </w:rPr>
            </w:pPr>
          </w:p>
        </w:tc>
      </w:tr>
      <w:tr>
        <w:trPr>
          <w:trHeight w:val="221"/>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Warrants payable balance, Warrant redemption</w:t>
            </w:r>
          </w:p>
        </w:tc>
        <w:tc>
          <w:tcPr>
            <w:tcW w:w="5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 payable balance, December 31, 2021</w:t>
            </w: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460" w:type="dxa"/>
            <w:vAlign w:val="bottom"/>
            <w:vMerge w:val="restart"/>
          </w:tcPr>
          <w:p>
            <w:pPr>
              <w:jc w:val="right"/>
              <w:ind w:right="4053"/>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444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40" w:type="dxa"/>
            <w:vAlign w:val="bottom"/>
            <w:tcBorders>
              <w:bottom w:val="single" w:sz="8" w:color="9A9A9A"/>
            </w:tcBorders>
          </w:tcPr>
          <w:p>
            <w:pPr>
              <w:spacing w:after="0"/>
              <w:rPr>
                <w:sz w:val="9"/>
                <w:szCs w:val="9"/>
                <w:color w:val="auto"/>
              </w:rPr>
            </w:pPr>
          </w:p>
        </w:tc>
        <w:tc>
          <w:tcPr>
            <w:tcW w:w="5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5. Healthcare Receivables</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within Healthcare receivables are Medicare Part D settlement receivables, member premium receivables, and other CMS receivables. The Company reported $64.2 million and $70.6 million within Healthcare receivables at December 31, 2023, and December 31, 2022,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Related Party Transactions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agreements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and Sequoia Healthcare Management, LLC, which both provide services to CarePoint Health. Expenses and fees incurred related to Clover's contracts with CarePoint Health, recorded within Net medical claims incurred, were $13.0 million, $12.6 million, and $12.7 million for the years ended December 31, 2023, 2022, and 2021 respectively. Additionally, $1.4 million and $1.6 million were payable to CarePoint Health at December 31, 2023, and December 31, 2022, respectively.</w:t>
      </w:r>
    </w:p>
    <w:p>
      <w:pPr>
        <w:spacing w:after="0" w:line="39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has contracted with Rogue Trading, LLC ("Rogue"), a marketing services provider. The Company's Chief Executive Officer and a Director, Andrew Toy, is related to the Chief Executive Officer of Rogue. There were no expenses and fees related to these contracts for the years ended December 31, 2023 and 2022. Expenses and fees incurred related to these contracts were $0.3 million for the year ended December 31, 2021.</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Expenses and fees incurred related to this agreement were $0.8 million, $0.3 million, and $0.2 million for the years ended December 31, 2023, 2022, and 2021 respectively. Vivek Garipalli, the Company's Executive Chairman and significant stockholder of the Company, is an indirect owner of Medical Records Exchange, LLC.</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Since July 2, 2021, the Company has contracted with Thyme Care, Inc. ("Thyme Care"), an oncology care management company, through which Thyme Care was engaged to provide cancer care management services to the Company's Insurance members in New Jersey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$0.5 million at December 31, 2023, and is recognized within Other assets, non-current, on the Consolidated Balance Sheet. In accordance with ASC 321, any changes in fair value associated with these shares are recognized within the audited Consolidated Statements of Operations and Comprehensive Loss. Mr. Garipalli is a member of the board of directors of Thyme Care and holds an equity interest of less than five percent (5%) of that entity. Expenses and fees incurred related to this agreement were $2.3 million and $1.6 million for the years ended December 31, 2023 and 2022, respectively. Additionally, $0.2 million and $0.3 million were payable to Thyme Care at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Property and Equipment, Net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41"/>
        </w:trPr>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80"/>
        </w:trPr>
        <w:tc>
          <w:tcPr>
            <w:tcW w:w="8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4"/>
        </w:trPr>
        <w:tc>
          <w:tcPr>
            <w:tcW w:w="8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2"/>
        </w:trPr>
        <w:tc>
          <w:tcPr>
            <w:tcW w:w="8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r>
      <w:tr>
        <w:trPr>
          <w:trHeight w:val="22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software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r>
      <w:tr>
        <w:trPr>
          <w:trHeight w:val="221"/>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w:t>
            </w:r>
          </w:p>
        </w:tc>
      </w:tr>
      <w:tr>
        <w:trPr>
          <w:trHeight w:val="22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furniture and fixtures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1"/>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w:t>
            </w:r>
          </w:p>
        </w:tc>
      </w:tr>
      <w:tr>
        <w:trPr>
          <w:trHeight w:val="221"/>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(2,311)</w:t>
            </w:r>
          </w:p>
        </w:tc>
      </w:tr>
      <w:tr>
        <w:trPr>
          <w:trHeight w:val="214"/>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5,753</w:t>
            </w:r>
          </w:p>
        </w:tc>
      </w:tr>
    </w:tbl>
    <w:p>
      <w:pPr>
        <w:spacing w:after="0" w:line="3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Depreciation expense recorded by the Company was approximately $0.4 million, $0.4 million, and $0.3 million for the years ended December 31, 2023, 2022, and 2021, respectively. Amortization expense recorded by the Company was approximately $1.0 million, $0.8 million, and $0.2 million for the years ended December 31, 2023, 2022, and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Goodwill and Other Intangibles</w:t>
      </w:r>
    </w:p>
    <w:p>
      <w:pPr>
        <w:spacing w:after="0" w:line="248"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7"/>
          <w:szCs w:val="17"/>
          <w:color w:val="auto"/>
        </w:rPr>
        <w:t>Changes in the carrying amount of goodwill for the Company's reportable segments for the years ended December 31, 2023 and 2022, respectively,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Corporate/Other</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6"/>
        </w:trPr>
        <w:tc>
          <w:tcPr>
            <w:tcW w:w="2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 2022</w:t>
            </w: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0" w:type="dxa"/>
            <w:vAlign w:val="bottom"/>
          </w:tcPr>
          <w:p>
            <w:pPr>
              <w:spacing w:after="0"/>
              <w:rPr>
                <w:sz w:val="1"/>
                <w:szCs w:val="1"/>
                <w:color w:val="auto"/>
              </w:rPr>
            </w:pPr>
          </w:p>
        </w:tc>
      </w:tr>
      <w:tr>
        <w:trPr>
          <w:trHeight w:val="221"/>
        </w:trPr>
        <w:tc>
          <w:tcPr>
            <w:tcW w:w="1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Acquisitions</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10,506</w:t>
            </w:r>
          </w:p>
        </w:tc>
        <w:tc>
          <w:tcPr>
            <w:tcW w:w="0" w:type="dxa"/>
            <w:vAlign w:val="bottom"/>
          </w:tcPr>
          <w:p>
            <w:pPr>
              <w:spacing w:after="0"/>
              <w:rPr>
                <w:sz w:val="1"/>
                <w:szCs w:val="1"/>
                <w:color w:val="auto"/>
              </w:rPr>
            </w:pPr>
          </w:p>
        </w:tc>
      </w:tr>
      <w:tr>
        <w:trPr>
          <w:trHeight w:val="214"/>
        </w:trPr>
        <w:tc>
          <w:tcPr>
            <w:tcW w:w="2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w:t>
            </w:r>
          </w:p>
        </w:tc>
        <w:tc>
          <w:tcPr>
            <w:tcW w:w="0" w:type="dxa"/>
            <w:vAlign w:val="bottom"/>
          </w:tcPr>
          <w:p>
            <w:pPr>
              <w:spacing w:after="0"/>
              <w:rPr>
                <w:sz w:val="1"/>
                <w:szCs w:val="1"/>
                <w:color w:val="auto"/>
              </w:rPr>
            </w:pPr>
          </w:p>
        </w:tc>
      </w:tr>
      <w:tr>
        <w:trPr>
          <w:trHeight w:val="221"/>
        </w:trPr>
        <w:tc>
          <w:tcPr>
            <w:tcW w:w="1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Impairment</w:t>
            </w: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(11,749)</w:t>
            </w:r>
          </w:p>
        </w:tc>
        <w:tc>
          <w:tcPr>
            <w:tcW w:w="0" w:type="dxa"/>
            <w:vAlign w:val="bottom"/>
          </w:tcPr>
          <w:p>
            <w:pPr>
              <w:spacing w:after="0"/>
              <w:rPr>
                <w:sz w:val="1"/>
                <w:szCs w:val="1"/>
                <w:color w:val="auto"/>
              </w:rPr>
            </w:pPr>
          </w:p>
        </w:tc>
      </w:tr>
      <w:tr>
        <w:trPr>
          <w:trHeight w:val="265"/>
        </w:trPr>
        <w:tc>
          <w:tcPr>
            <w:tcW w:w="2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gridSpan w:val="9"/>
            <w:vMerge w:val="restart"/>
          </w:tcPr>
          <w:p>
            <w:pPr>
              <w:spacing w:after="0"/>
              <w:rPr>
                <w:sz w:val="20"/>
                <w:szCs w:val="20"/>
                <w:color w:val="auto"/>
              </w:rPr>
            </w:pPr>
            <w:r>
              <w:rPr>
                <w:rFonts w:ascii="Times New Roman" w:cs="Times New Roman" w:eastAsia="Times New Roman" w:hAnsi="Times New Roman"/>
                <w:sz w:val="17"/>
                <w:szCs w:val="17"/>
                <w:color w:val="auto"/>
              </w:rPr>
              <w:t>The following table presents details of the Company's other intangible assets at December 31, 2023 and 2022, respectively: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8600" w:type="dxa"/>
            <w:vAlign w:val="bottom"/>
            <w:gridSpan w:val="9"/>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06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10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20" w:type="dxa"/>
            <w:vAlign w:val="bottom"/>
          </w:tcPr>
          <w:p>
            <w:pPr>
              <w:jc w:val="right"/>
              <w:ind w:right="293"/>
              <w:spacing w:after="0" w:line="16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1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Impairment</w:t>
            </w:r>
          </w:p>
        </w:tc>
        <w:tc>
          <w:tcPr>
            <w:tcW w:w="11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80" w:type="dxa"/>
            <w:vAlign w:val="bottom"/>
          </w:tcPr>
          <w:p>
            <w:pPr>
              <w:spacing w:after="0"/>
              <w:rPr>
                <w:sz w:val="14"/>
                <w:szCs w:val="14"/>
                <w:color w:val="auto"/>
              </w:rPr>
            </w:pPr>
          </w:p>
        </w:tc>
        <w:tc>
          <w:tcPr>
            <w:tcW w:w="110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Cost</w:t>
            </w:r>
          </w:p>
        </w:tc>
        <w:tc>
          <w:tcPr>
            <w:tcW w:w="160" w:type="dxa"/>
            <w:vAlign w:val="bottom"/>
          </w:tcPr>
          <w:p>
            <w:pPr>
              <w:spacing w:after="0"/>
              <w:rPr>
                <w:sz w:val="14"/>
                <w:szCs w:val="14"/>
                <w:color w:val="auto"/>
              </w:rPr>
            </w:pPr>
          </w:p>
        </w:tc>
        <w:tc>
          <w:tcPr>
            <w:tcW w:w="1240" w:type="dxa"/>
            <w:vAlign w:val="bottom"/>
            <w:gridSpan w:val="2"/>
          </w:tcPr>
          <w:p>
            <w:pPr>
              <w:jc w:val="right"/>
              <w:ind w:right="200"/>
              <w:spacing w:after="0" w:line="16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14"/>
                <w:szCs w:val="14"/>
                <w:color w:val="auto"/>
              </w:rPr>
            </w:pPr>
          </w:p>
        </w:tc>
        <w:tc>
          <w:tcPr>
            <w:tcW w:w="110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228"/>
        </w:trPr>
        <w:tc>
          <w:tcPr>
            <w:tcW w:w="1540" w:type="dxa"/>
            <w:vAlign w:val="bottom"/>
          </w:tcPr>
          <w:p>
            <w:pPr>
              <w:spacing w:after="0"/>
              <w:rPr>
                <w:sz w:val="19"/>
                <w:szCs w:val="19"/>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Average life</w:t>
            </w:r>
          </w:p>
        </w:tc>
        <w:tc>
          <w:tcPr>
            <w:tcW w:w="1100" w:type="dxa"/>
            <w:vAlign w:val="bottom"/>
            <w:vMerge w:val="continue"/>
          </w:tcPr>
          <w:p>
            <w:pPr>
              <w:spacing w:after="0"/>
              <w:rPr>
                <w:sz w:val="19"/>
                <w:szCs w:val="19"/>
                <w:color w:val="auto"/>
              </w:rPr>
            </w:pPr>
          </w:p>
        </w:tc>
        <w:tc>
          <w:tcPr>
            <w:tcW w:w="15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100" w:type="dxa"/>
            <w:vAlign w:val="bottom"/>
            <w:vMerge w:val="continue"/>
          </w:tcPr>
          <w:p>
            <w:pPr>
              <w:spacing w:after="0"/>
              <w:rPr>
                <w:sz w:val="19"/>
                <w:szCs w:val="19"/>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40" w:type="dxa"/>
            <w:vAlign w:val="bottom"/>
          </w:tcPr>
          <w:p>
            <w:pPr>
              <w:spacing w:after="0"/>
              <w:rPr>
                <w:sz w:val="19"/>
                <w:szCs w:val="19"/>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0" w:type="dxa"/>
            <w:vAlign w:val="bottom"/>
          </w:tcPr>
          <w:p>
            <w:pPr>
              <w:spacing w:after="0"/>
              <w:rPr>
                <w:sz w:val="1"/>
                <w:szCs w:val="1"/>
                <w:color w:val="auto"/>
              </w:rPr>
            </w:pPr>
          </w:p>
        </w:tc>
      </w:tr>
      <w:tr>
        <w:trPr>
          <w:trHeight w:val="182"/>
        </w:trPr>
        <w:tc>
          <w:tcPr>
            <w:tcW w:w="15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Other intangible</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Licenses</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Indefinite</w:t>
            </w:r>
          </w:p>
        </w:tc>
        <w:tc>
          <w:tcPr>
            <w:tcW w:w="11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2,990</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2,990</w:t>
            </w: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w:t>
            </w: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7"/>
                <w:szCs w:val="17"/>
                <w:color w:val="auto"/>
              </w:rPr>
              <w:t>Developed</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Technology</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5,400</w:t>
            </w:r>
          </w:p>
        </w:tc>
        <w:tc>
          <w:tcPr>
            <w:tcW w:w="15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1,219</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4,181</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5,400</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for other intangible assets was approximately $1.2 million and $0.1 million for the years ended December 31, 2023 and 2022,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the Company recognized impairment of $4.2 million which is described in further detail below.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color w:val="auto"/>
        </w:rPr>
        <w:t>The Company does not estimate any amortization expense in the five succeeding fiscal years.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 and Intangible Asset Impairment</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During the three months ended December 31, 2023, there was a change in strategy identified in relation to the Company's goodwill and intangible assets within its Corporate/Other segment. This change in strategy was determined to be a triggering event. This triggering event indicated that it should test the related goodwill balance and long-lived assets for impairment in its Corporate/Other segment.</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For goodwill, the Company updated its quantitative impairment assessment for its reporting units, Juxly and MSPNJ, within Corporate/Other segment goodwill based on the most recent data and Company strategy. In performing its quantitative impairment assessment, the fair value of the Company's reporting units was estimated by using a discounted cash flow ("DCF") analysis. The reporting unit goodwill was established in connection with the acquisition of Medical Services Professionals of New Jersey, LLC (“MSPNJ”) and Principium Health, LLC (“Principium”) on February 28, 2019 and Juxly, LLC on November 14, 2022. Based on its quantitative impairment assessment, the Company determined that the fair value of its reporting units within Corporate/Other segment were less than their carrying value. The analysis resulted in a goodwill impairment charge of $11.7 million in the fourth quarter ended December 31, 2023, representing all of the remaining goodwill within the Corporate/Other segment, which is recorded within the Goodwill and intangible assets impairment line item in the audited Consolidated Statement of Operations and Comprehensive Loss for the year ended December 31, 2023.</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For indefinite lived intangible assets, the Company tested each asset group within its Corporate/Other segment by first performing a recoverability test, comparing projected discounted cash flows from the use and eventual disposition of each asset group to its carrying value. This test indicated that the undiscounted cash flows were not sufficient to recover the carrying value of certain asset groups. The Company then compared the carrying value of the individual long-lived assets within those asset groups against their fair value in order to determine if impairment existed. Determining the fair value of those asset groups involves the use of significant estimates and assumptions, including projections of revenues and expenses and related cash flows based on assumed long-term growth rates and demand trends, and estimated discount rates based on the asset group's weighted average return on assets, as derived from various methods. As a result, the Company recorded a total impairment charge for intangible assets acquired as part of the Juxly acquisition of approximately $4.2 million for the year ended December 31, 2023. For the year ended December 31, 2022, there were no circumstances that indicate that the carrying amount within goodwill and intangible assets deemed to have an indefinite or definite useful life may not be recoverable. No impairment was recorded during the years ended December 31, 2022 and 2021.</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Unpaid Claims</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Activity within the liability for Unpaid claims, including claims adjustment expenses, for the years ended December 31, 2023 and 2022, respectively, is summarized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4"/>
        </w:trPr>
        <w:tc>
          <w:tcPr>
            <w:tcW w:w="8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2"/>
        </w:trPr>
        <w:tc>
          <w:tcPr>
            <w:tcW w:w="8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r>
      <w:tr>
        <w:trPr>
          <w:trHeight w:val="226"/>
        </w:trPr>
        <w:tc>
          <w:tcPr>
            <w:tcW w:w="86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Gross and net balance, beginning of period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136,317</w:t>
            </w:r>
          </w:p>
        </w:tc>
      </w:tr>
      <w:tr>
        <w:trPr>
          <w:trHeight w:val="221"/>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Incurred related to:</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year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996,158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1,023,355</w:t>
            </w:r>
          </w:p>
        </w:tc>
      </w:tr>
      <w:tr>
        <w:trPr>
          <w:trHeight w:val="221"/>
        </w:trPr>
        <w:tc>
          <w:tcPr>
            <w:tcW w:w="8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Prior years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(39,324)</w:t>
            </w:r>
          </w:p>
        </w:tc>
      </w:tr>
      <w:tr>
        <w:trPr>
          <w:trHeight w:val="21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incurred</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987,158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984,031</w:t>
            </w:r>
          </w:p>
        </w:tc>
      </w:tr>
      <w:tr>
        <w:trPr>
          <w:trHeight w:val="221"/>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Paid related to:</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year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865,930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892,495</w:t>
            </w:r>
          </w:p>
        </w:tc>
      </w:tr>
      <w:tr>
        <w:trPr>
          <w:trHeight w:val="221"/>
        </w:trPr>
        <w:tc>
          <w:tcPr>
            <w:tcW w:w="8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Prior years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90,458</w:t>
            </w:r>
          </w:p>
        </w:tc>
      </w:tr>
      <w:tr>
        <w:trPr>
          <w:trHeight w:val="21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paid</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987,453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982,953</w:t>
            </w:r>
          </w:p>
        </w:tc>
      </w:tr>
      <w:tr>
        <w:trPr>
          <w:trHeight w:val="214"/>
        </w:trPr>
        <w:tc>
          <w:tcPr>
            <w:tcW w:w="866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Gross and net balance, end of period </w:t>
            </w:r>
            <w:r>
              <w:rPr>
                <w:rFonts w:ascii="Times New Roman" w:cs="Times New Roman" w:eastAsia="Times New Roman" w:hAnsi="Times New Roman"/>
                <w:sz w:val="22"/>
                <w:szCs w:val="22"/>
                <w:color w:val="auto"/>
                <w:vertAlign w:val="superscript"/>
              </w:rPr>
              <w:t>(1)(2)</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137,100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137,395</w:t>
            </w: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-328930</wp:posOffset>
            </wp:positionV>
            <wp:extent cx="577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-897890</wp:posOffset>
            </wp:positionV>
            <wp:extent cx="577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-1457960</wp:posOffset>
            </wp:positionV>
            <wp:extent cx="577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3" w:lineRule="exact"/>
        <w:rPr>
          <w:sz w:val="20"/>
          <w:szCs w:val="20"/>
          <w:color w:val="auto"/>
        </w:rPr>
      </w:pPr>
    </w:p>
    <w:p>
      <w:pPr>
        <w:ind w:left="200" w:hanging="196"/>
        <w:spacing w:after="0"/>
        <w:tabs>
          <w:tab w:leader="none" w:pos="20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amounts due to related parties.</w:t>
      </w:r>
    </w:p>
    <w:p>
      <w:pPr>
        <w:spacing w:after="0" w:line="52" w:lineRule="exact"/>
        <w:rPr>
          <w:rFonts w:ascii="Times New Roman" w:cs="Times New Roman" w:eastAsia="Times New Roman" w:hAnsi="Times New Roman"/>
          <w:sz w:val="18"/>
          <w:szCs w:val="18"/>
          <w:color w:val="auto"/>
          <w:vertAlign w:val="superscript"/>
        </w:rPr>
      </w:pPr>
    </w:p>
    <w:p>
      <w:pPr>
        <w:ind w:left="160" w:right="140" w:hanging="156"/>
        <w:spacing w:after="0" w:line="219" w:lineRule="auto"/>
        <w:tabs>
          <w:tab w:leader="none" w:pos="199"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Differs from the total Unpaid claims amount reported on the Consolidated Balance Sheets due to the fact the figure here excludes unpaid claims for the Company's Non-Insurance operations of $2.9 million and $6.1 million at December 31, 2023 and 2022,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64135</wp:posOffset>
            </wp:positionV>
            <wp:extent cx="716280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4" w:name="page105"/>
    <w:bookmarkEnd w:id="104"/>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Unpaid Claims for Insurance Operations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Unpaid claims for Insurance operations were $137.1 million at December 31, 2023. During the year ended December 31, 2023, $121.5 million was paid for incurred claims attributable to insured events of prior years. A favorable development of $9.0 million was recognized during the year ended December 31, 2023, resulting from the Company's actual experience with claims developing differently as compared to the Company's estimates at December 31, 2022. A favorable development of $39.3 million was recognized during the year ended December 31, 2022, resulting from the Company's actual experience with claims developing differently as compared to the Company's estimates at December 31, 2021. Original estimates are increased or decreased, as additional information becomes known regarding individual claims. The ratio of current year medical claims paid as a percentage of current year Net medical claims incurred was 86.9% for the year ended December 31, 2023, and 87.2% for the year ended December 31, 2022. This ratio serves as an indicator of claims processing speed, indicating that claims were processed at a slower rate during the year ended December 31, 2023, than during the year ended December 31, 2022.</w:t>
      </w:r>
    </w:p>
    <w:p>
      <w:pPr>
        <w:spacing w:after="0" w:line="7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tables provide information regarding incurred and paid claims development for medical claims, as well as cumulative claim frequency and the total of incurred but not reported liabilities at December 31, 2023, respectively:</w:t>
      </w:r>
    </w:p>
    <w:p>
      <w:pPr>
        <w:spacing w:after="0" w:line="205" w:lineRule="exact"/>
        <w:rPr>
          <w:sz w:val="20"/>
          <w:szCs w:val="20"/>
          <w:color w:val="auto"/>
        </w:rPr>
      </w:pPr>
    </w:p>
    <w:p>
      <w:pPr>
        <w:jc w:val="center"/>
        <w:ind w:left="1960"/>
        <w:spacing w:after="0"/>
        <w:rPr>
          <w:sz w:val="20"/>
          <w:szCs w:val="20"/>
          <w:color w:val="auto"/>
        </w:rPr>
      </w:pPr>
      <w:r>
        <w:rPr>
          <w:rFonts w:ascii="Times New Roman" w:cs="Times New Roman" w:eastAsia="Times New Roman" w:hAnsi="Times New Roman"/>
          <w:sz w:val="17"/>
          <w:szCs w:val="17"/>
          <w:b w:val="1"/>
          <w:bCs w:val="1"/>
          <w:color w:val="auto"/>
        </w:rPr>
        <w:t>Cumulative incurred claims for the</w:t>
      </w:r>
    </w:p>
    <w:p>
      <w:pPr>
        <w:jc w:val="center"/>
        <w:ind w:left="196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15240</wp:posOffset>
            </wp:positionV>
            <wp:extent cx="24892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8920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Incurred year</w:t>
            </w:r>
          </w:p>
        </w:tc>
        <w:tc>
          <w:tcPr>
            <w:tcW w:w="240" w:type="dxa"/>
            <w:vAlign w:val="bottom"/>
          </w:tcPr>
          <w:p>
            <w:pPr>
              <w:spacing w:after="0"/>
              <w:rPr>
                <w:sz w:val="17"/>
                <w:szCs w:val="17"/>
                <w:color w:val="auto"/>
              </w:rPr>
            </w:pPr>
          </w:p>
        </w:tc>
        <w:tc>
          <w:tcPr>
            <w:tcW w:w="100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restart"/>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restart"/>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IBNR</w:t>
            </w:r>
            <w:r>
              <w:rPr>
                <w:rFonts w:ascii="Times New Roman" w:cs="Times New Roman" w:eastAsia="Times New Roman" w:hAnsi="Times New Roman"/>
                <w:sz w:val="22"/>
                <w:szCs w:val="22"/>
                <w:b w:val="1"/>
                <w:bCs w:val="1"/>
                <w:color w:val="auto"/>
                <w:vertAlign w:val="superscript"/>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0" w:type="dxa"/>
            <w:vAlign w:val="bottom"/>
          </w:tcPr>
          <w:p>
            <w:pPr>
              <w:spacing w:after="0"/>
              <w:rPr>
                <w:sz w:val="1"/>
                <w:szCs w:val="1"/>
                <w:color w:val="auto"/>
              </w:rPr>
            </w:pPr>
          </w:p>
        </w:tc>
      </w:tr>
      <w:tr>
        <w:trPr>
          <w:trHeight w:val="234"/>
        </w:trPr>
        <w:tc>
          <w:tcPr>
            <w:tcW w:w="46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reported claims</w:t>
            </w:r>
          </w:p>
        </w:tc>
        <w:tc>
          <w:tcPr>
            <w:tcW w:w="0" w:type="dxa"/>
            <w:vAlign w:val="bottom"/>
          </w:tcPr>
          <w:p>
            <w:pPr>
              <w:spacing w:after="0"/>
              <w:rPr>
                <w:sz w:val="1"/>
                <w:szCs w:val="1"/>
                <w:color w:val="auto"/>
              </w:rPr>
            </w:pPr>
          </w:p>
        </w:tc>
      </w:tr>
      <w:tr>
        <w:trPr>
          <w:trHeight w:val="182"/>
        </w:trPr>
        <w:tc>
          <w:tcPr>
            <w:tcW w:w="456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ones)</w:t>
            </w:r>
          </w:p>
        </w:tc>
        <w:tc>
          <w:tcPr>
            <w:tcW w:w="0" w:type="dxa"/>
            <w:vAlign w:val="bottom"/>
          </w:tcPr>
          <w:p>
            <w:pPr>
              <w:spacing w:after="0"/>
              <w:rPr>
                <w:sz w:val="1"/>
                <w:szCs w:val="1"/>
                <w:color w:val="auto"/>
              </w:rPr>
            </w:pPr>
          </w:p>
        </w:tc>
      </w:tr>
      <w:tr>
        <w:trPr>
          <w:trHeight w:val="45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 and prior</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2,138,604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2,099,334</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1,938,863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7,491,528</w:t>
            </w:r>
          </w:p>
        </w:tc>
        <w:tc>
          <w:tcPr>
            <w:tcW w:w="0" w:type="dxa"/>
            <w:vAlign w:val="bottom"/>
          </w:tcPr>
          <w:p>
            <w:pPr>
              <w:spacing w:after="0"/>
              <w:rPr>
                <w:sz w:val="1"/>
                <w:szCs w:val="1"/>
                <w:color w:val="auto"/>
              </w:rPr>
            </w:pPr>
          </w:p>
        </w:tc>
      </w:tr>
      <w:tr>
        <w:trPr>
          <w:trHeight w:val="260"/>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1,023,355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910,776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4,652</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3,358,454</w:t>
            </w:r>
          </w:p>
        </w:tc>
        <w:tc>
          <w:tcPr>
            <w:tcW w:w="0" w:type="dxa"/>
            <w:vAlign w:val="bottom"/>
          </w:tcPr>
          <w:p>
            <w:pPr>
              <w:spacing w:after="0"/>
              <w:rPr>
                <w:sz w:val="1"/>
                <w:szCs w:val="1"/>
                <w:color w:val="auto"/>
              </w:rPr>
            </w:pPr>
          </w:p>
        </w:tc>
      </w:tr>
      <w:tr>
        <w:trPr>
          <w:trHeight w:val="22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996,158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3,141,069</w:t>
            </w:r>
          </w:p>
        </w:tc>
        <w:tc>
          <w:tcPr>
            <w:tcW w:w="0" w:type="dxa"/>
            <w:vAlign w:val="bottom"/>
          </w:tcPr>
          <w:p>
            <w:pPr>
              <w:spacing w:after="0"/>
              <w:rPr>
                <w:sz w:val="1"/>
                <w:szCs w:val="1"/>
                <w:color w:val="auto"/>
              </w:rPr>
            </w:pPr>
          </w:p>
        </w:tc>
      </w:tr>
      <w:tr>
        <w:trPr>
          <w:trHeight w:val="214"/>
        </w:trPr>
        <w:tc>
          <w:tcPr>
            <w:tcW w:w="4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2,138,604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3,122,689</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3,845,797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137,100</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13,991,051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160" w:right="580" w:hanging="156"/>
        <w:spacing w:after="0" w:line="219" w:lineRule="auto"/>
        <w:tabs>
          <w:tab w:leader="none" w:pos="199"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Differs from the total unpaid claims amount reported on the Consolidated Balance Sheets due to the fact the figure here excludes unpaid claims for the Company's ACO of $2.9 million as of December 31,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7"/>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Cumulative net paid claims through December 31,</w:t>
            </w:r>
          </w:p>
        </w:tc>
      </w:tr>
      <w:tr>
        <w:trPr>
          <w:trHeight w:val="460"/>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Paid year</w:t>
            </w:r>
          </w:p>
        </w:tc>
        <w:tc>
          <w:tcPr>
            <w:tcW w:w="100" w:type="dxa"/>
            <w:vAlign w:val="bottom"/>
          </w:tcPr>
          <w:p>
            <w:pPr>
              <w:spacing w:after="0"/>
              <w:rPr>
                <w:sz w:val="24"/>
                <w:szCs w:val="24"/>
                <w:color w:val="auto"/>
              </w:rPr>
            </w:pP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76"/>
        </w:trPr>
        <w:tc>
          <w:tcPr>
            <w:tcW w:w="7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4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Incurred year</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
        </w:trPr>
        <w:tc>
          <w:tcPr>
            <w:tcW w:w="7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467"/>
        </w:trPr>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2021 and prior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2,002,287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2,092,800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1,936,643</w:t>
            </w:r>
          </w:p>
        </w:tc>
      </w:tr>
      <w:tr>
        <w:trPr>
          <w:trHeight w:val="260"/>
        </w:trPr>
        <w:tc>
          <w:tcPr>
            <w:tcW w:w="72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892,495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906,124</w:t>
            </w:r>
          </w:p>
        </w:tc>
      </w:tr>
      <w:tr>
        <w:trPr>
          <w:trHeight w:val="221"/>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865,930</w:t>
            </w:r>
          </w:p>
        </w:tc>
      </w:tr>
      <w:tr>
        <w:trPr>
          <w:trHeight w:val="214"/>
        </w:trPr>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2,002,287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2,985,295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3,708,697</w:t>
            </w:r>
          </w:p>
        </w:tc>
      </w:tr>
      <w:tr>
        <w:trPr>
          <w:trHeight w:val="20"/>
        </w:trPr>
        <w:tc>
          <w:tcPr>
            <w:tcW w:w="7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Unaudited supplemental information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05" w:name="page106"/>
    <w:bookmarkEnd w:id="105"/>
    <w:p>
      <w:pPr>
        <w:spacing w:after="0" w:line="292" w:lineRule="auto"/>
        <w:rPr>
          <w:sz w:val="20"/>
          <w:szCs w:val="20"/>
          <w:color w:val="auto"/>
        </w:rPr>
      </w:pPr>
      <w:r>
        <w:rPr>
          <w:rFonts w:ascii="Times New Roman" w:cs="Times New Roman" w:eastAsia="Times New Roman" w:hAnsi="Times New Roman"/>
          <w:sz w:val="17"/>
          <w:szCs w:val="17"/>
          <w:color w:val="auto"/>
        </w:rPr>
        <w:t>The reconciliation of net incurred and paid claims development tables to unpaid claims and claims adjustment expenses for medical claims on the Consolidated Balance Sheets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182"/>
        </w:trPr>
        <w:tc>
          <w:tcPr>
            <w:tcW w:w="9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incurred claims, net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3,845,797</w:t>
            </w:r>
          </w:p>
        </w:tc>
      </w:tr>
      <w:tr>
        <w:trPr>
          <w:trHeight w:val="221"/>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cumulative paid claims, net</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3,708,697</w:t>
            </w:r>
          </w:p>
        </w:tc>
      </w:tr>
      <w:tr>
        <w:trPr>
          <w:trHeight w:val="214"/>
        </w:trPr>
        <w:tc>
          <w:tcPr>
            <w:tcW w:w="900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7"/>
                <w:szCs w:val="17"/>
                <w:color w:val="auto"/>
              </w:rPr>
              <w:t>Net unpaid claims, including claims adjustment expenses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137,100</w:t>
            </w:r>
          </w:p>
        </w:tc>
      </w:tr>
    </w:tbl>
    <w:p>
      <w:pPr>
        <w:spacing w:after="0" w:line="68" w:lineRule="exact"/>
        <w:rPr>
          <w:sz w:val="20"/>
          <w:szCs w:val="20"/>
          <w:color w:val="auto"/>
        </w:rPr>
      </w:pPr>
    </w:p>
    <w:p>
      <w:pPr>
        <w:ind w:left="160" w:right="240" w:hanging="156"/>
        <w:spacing w:after="0" w:line="213" w:lineRule="auto"/>
        <w:tabs>
          <w:tab w:leader="none" w:pos="163"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The following balance reflects the unpaid claims for Medicare Advantage only. The ACO and other medical unpaid claims should be included in order to reconcile to the total unpaid claims on the Consolidated Balance Sheets.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Reinsurance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Medicare Advantage Reinsurance Agreement</w:t>
      </w:r>
    </w:p>
    <w:p>
      <w:pPr>
        <w:spacing w:after="0" w:line="24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On January 1, 2021, the Company renewed a specific excess loss reinsurance agreement to reinsure its MA plan liabilities in excess of approximately $0.4 million, $0.6 million, and $0.6 million per covered person per agreement terms for the years ended December 31, 2023, 2022, and 2021, respectively.</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effects of the reinsurance agreements on the accompanying consolidated financial statements for the years ended December 31, 2023, 2022, and 2021, respectively,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6"/>
          </w:tcPr>
          <w:p>
            <w:pPr>
              <w:jc w:val="center"/>
              <w:ind w:left="51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80" w:type="dxa"/>
            <w:vAlign w:val="bottom"/>
          </w:tcPr>
          <w:p>
            <w:pPr>
              <w:spacing w:after="0"/>
              <w:rPr>
                <w:sz w:val="19"/>
                <w:szCs w:val="19"/>
                <w:color w:val="auto"/>
              </w:rPr>
            </w:pPr>
          </w:p>
        </w:tc>
      </w:tr>
      <w:tr>
        <w:trPr>
          <w:trHeight w:val="26"/>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7"/>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6"/>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2"/>
        </w:trPr>
        <w:tc>
          <w:tcPr>
            <w:tcW w:w="7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7320" w:type="dxa"/>
            <w:vAlign w:val="bottom"/>
            <w:shd w:val="clear" w:color="auto" w:fill="CCEEFF"/>
          </w:tcPr>
          <w:p>
            <w:pPr>
              <w:jc w:val="right"/>
              <w:ind w:right="5553"/>
              <w:spacing w:after="0"/>
              <w:rPr>
                <w:sz w:val="20"/>
                <w:szCs w:val="20"/>
                <w:color w:val="auto"/>
              </w:rPr>
            </w:pPr>
            <w:r>
              <w:rPr>
                <w:rFonts w:ascii="Times New Roman" w:cs="Times New Roman" w:eastAsia="Times New Roman" w:hAnsi="Times New Roman"/>
                <w:sz w:val="17"/>
                <w:szCs w:val="17"/>
                <w:color w:val="auto"/>
              </w:rPr>
              <w:t>Premiums earned, gross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1,236,213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1,085,339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799,903</w:t>
            </w:r>
          </w:p>
        </w:tc>
      </w:tr>
      <w:tr>
        <w:trPr>
          <w:trHeight w:val="221"/>
        </w:trPr>
        <w:tc>
          <w:tcPr>
            <w:tcW w:w="7320" w:type="dxa"/>
            <w:vAlign w:val="bottom"/>
            <w:tcBorders>
              <w:bottom w:val="single" w:sz="8" w:color="CCEEFF"/>
            </w:tcBorders>
          </w:tcPr>
          <w:p>
            <w:pPr>
              <w:jc w:val="right"/>
              <w:ind w:right="5513"/>
              <w:spacing w:after="0"/>
              <w:rPr>
                <w:sz w:val="20"/>
                <w:szCs w:val="20"/>
                <w:color w:val="auto"/>
              </w:rPr>
            </w:pPr>
            <w:r>
              <w:rPr>
                <w:rFonts w:ascii="Times New Roman" w:cs="Times New Roman" w:eastAsia="Times New Roman" w:hAnsi="Times New Roman"/>
                <w:sz w:val="17"/>
                <w:szCs w:val="17"/>
                <w:color w:val="auto"/>
              </w:rPr>
              <w:t>Premiums earned, ceded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39"/>
        </w:trPr>
        <w:tc>
          <w:tcPr>
            <w:tcW w:w="7320" w:type="dxa"/>
            <w:vAlign w:val="bottom"/>
            <w:tcBorders>
              <w:bottom w:val="single" w:sz="8" w:color="CCEEFF"/>
            </w:tcBorders>
            <w:shd w:val="clear" w:color="auto" w:fill="CCEEFF"/>
          </w:tcPr>
          <w:p>
            <w:pPr>
              <w:jc w:val="right"/>
              <w:ind w:right="5513"/>
              <w:spacing w:after="0"/>
              <w:rPr>
                <w:sz w:val="20"/>
                <w:szCs w:val="20"/>
                <w:color w:val="auto"/>
              </w:rPr>
            </w:pPr>
            <w:r>
              <w:rPr>
                <w:rFonts w:ascii="Times New Roman" w:cs="Times New Roman" w:eastAsia="Times New Roman" w:hAnsi="Times New Roman"/>
                <w:sz w:val="17"/>
                <w:szCs w:val="17"/>
                <w:color w:val="auto"/>
              </w:rPr>
              <w:t>Net premiums earned</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1,235,769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799,414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20" w:type="dxa"/>
            <w:vAlign w:val="bottom"/>
          </w:tcPr>
          <w:p>
            <w:pPr>
              <w:spacing w:after="0"/>
              <w:rPr>
                <w:sz w:val="19"/>
                <w:szCs w:val="19"/>
                <w:color w:val="auto"/>
              </w:rPr>
            </w:pPr>
          </w:p>
        </w:tc>
      </w:tr>
      <w:tr>
        <w:trPr>
          <w:trHeight w:val="26"/>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7"/>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6"/>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2"/>
        </w:trPr>
        <w:tc>
          <w:tcPr>
            <w:tcW w:w="7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Claims incurred, gross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987,654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985,197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839,136</w:t>
            </w:r>
          </w:p>
        </w:tc>
      </w:tr>
      <w:tr>
        <w:trPr>
          <w:trHeight w:val="221"/>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Claims incurred, ceded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3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claims incurred</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987,158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984,031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838,134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26"/>
        </w:trPr>
        <w:tc>
          <w:tcPr>
            <w:tcW w:w="8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Reinsurance recoverable for the MA plan at December 31, 2023 and 2022, respectively, were comprised of the following:</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5"/>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6"/>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7"/>
        </w:trPr>
        <w:tc>
          <w:tcPr>
            <w:tcW w:w="7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6"/>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2"/>
        </w:trPr>
        <w:tc>
          <w:tcPr>
            <w:tcW w:w="7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Reinsurance recoverable on paid claims, gross and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21"/>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Reinsurance recoverable on unpaid claims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Reinsurance premium payable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 net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0"/>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Accountable Care Organization Reinsurance Arrangement</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Within the ACO arrangement there is an option for each ACO participant to elect participation in a reinsurance arrangement, which is not a separate contract and is included in the current ACO arrangement. The stop loss (charges) premiums and recoupments are incurred in accordance with the regulations set forth in the participation agreement in direct relation to the direct contracting program and will reduce the exposure of high dollar claims to the Company. The premiums (recoupments) are recognized as revenue (contra-revenue), respectively, within Non-Insurance revenue on the Statement of Operations as there is a right to the recoupments as the point of attachment in the stop loss agreement.</w:t>
      </w:r>
    </w:p>
    <w:p>
      <w:pPr>
        <w:sectPr>
          <w:pgSz w:w="11900" w:h="16838" w:orient="portrait"/>
          <w:cols w:equalWidth="0" w:num="1">
            <w:col w:w="11240"/>
          </w:cols>
          <w:pgMar w:left="320" w:top="9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106" w:name="page107"/>
    <w:bookmarkEnd w:id="106"/>
    <w:p>
      <w:pPr>
        <w:jc w:val="both"/>
        <w:spacing w:after="0" w:line="292" w:lineRule="auto"/>
        <w:rPr>
          <w:sz w:val="20"/>
          <w:szCs w:val="20"/>
          <w:color w:val="auto"/>
        </w:rPr>
      </w:pPr>
      <w:r>
        <w:rPr>
          <w:rFonts w:ascii="Times New Roman" w:cs="Times New Roman" w:eastAsia="Times New Roman" w:hAnsi="Times New Roman"/>
          <w:sz w:val="17"/>
          <w:szCs w:val="17"/>
          <w:color w:val="auto"/>
        </w:rPr>
        <w:t>The effects of the ACO reinsurance arrangements on the accompanying consolidated financial statements for the years ended December 31, 2023 and 2022, respectively,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7"/>
        </w:trPr>
        <w:tc>
          <w:tcPr>
            <w:tcW w:w="8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Pr>
          <w:p>
            <w:pPr>
              <w:spacing w:after="0"/>
              <w:rPr>
                <w:sz w:val="19"/>
                <w:szCs w:val="19"/>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6"/>
        </w:trPr>
        <w:tc>
          <w:tcPr>
            <w:tcW w:w="8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2"/>
        </w:trPr>
        <w:tc>
          <w:tcPr>
            <w:tcW w:w="8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20" w:type="dxa"/>
            <w:vAlign w:val="bottom"/>
          </w:tcPr>
          <w:p>
            <w:pPr>
              <w:spacing w:after="0"/>
              <w:rPr>
                <w:sz w:val="15"/>
                <w:szCs w:val="15"/>
                <w:color w:val="auto"/>
              </w:rPr>
            </w:pPr>
          </w:p>
        </w:tc>
      </w:tr>
      <w:tr>
        <w:trPr>
          <w:trHeight w:val="22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Non-Insurance revenue, gross and net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773,177</w:t>
            </w:r>
          </w:p>
        </w:tc>
        <w:tc>
          <w:tcPr>
            <w:tcW w:w="5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2,380,135</w:t>
            </w:r>
          </w:p>
        </w:tc>
      </w:tr>
      <w:tr>
        <w:trPr>
          <w:trHeight w:val="221"/>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Claims incurred, gross and net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771,798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2,460,879</w:t>
            </w:r>
          </w:p>
        </w:tc>
      </w:tr>
      <w:tr>
        <w:trPr>
          <w:trHeight w:val="22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Reinsurance recoverable, gross and net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10,926</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52,955</w:t>
            </w:r>
          </w:p>
        </w:tc>
      </w:tr>
    </w:tbl>
    <w:p>
      <w:pPr>
        <w:spacing w:after="0" w:line="2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Reinsurance recoverable represents the portion of paid claims and unpaid claims that are covered by reinsurance. Amounts recoverable from reinsurers are estimated in a manner consistent with the methods used to determine unpaid claims as detailed in Note 2 (Summary of Significant Accounting Policies).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Life Policies and Annuity Contracts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Approximately $5.1 million and $5.4 million of life insurance reserves at both December 31, 2023 and 2022,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Company's experience and industry data. Interest rate assumptions used in establishing such reserves range from less than 1.0% to 4.5%. Under the arrangement, SFLIC is required to hold in trust an amount that covers all of the outstanding liabilities as of the reporting date.</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Approximately $0.9 million and $0.9 million of annuity reserves at both December 31, 2023 and 2022, respectively, related to annuity contracts originally issued by Ullico, are 100% ceded to Sagicor Life Insurance Company, a Texas domestic company, in full transfer of risk related to these contracts. The annuity reserves are computed principally using assumptions based on the Company's experience and industry data. Interest rate assumptions used in establishing such reserves range from less than 1.0% to 5.8%. Ceded life insurance and annuity reserves are included within other assets and gross life insurance and annuity reserves are included within other liabilities on the Consolidated Balance Sheets, respectively.</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Company of its potential liability to the ultimate insured. However, given the transfer of underwriting risk, such potential liability is limited to the credit exposure which exists should the reinsurer be unable to meet its obligations under these reinsurance agreements. The Company evaluates its reinsurers on a regular basis including their ratings and financial conditions.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Derivative Liabilities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connection with the $373.8 million of convertible securities issued in 2019, the Company determined that certain of the conversion and redemption features were embedded derivatives and were bifurcated from the host instrument and accounted for as embedded derivative instruments. In connection with the convertible securities, the Company recognized a capital contribution of $44.8 million during the year ended December 31, 2021. This capital contribution of $44.8 million was recorded as an increase in additional paid in capital as the notes were issued to affiliates of the Company. Upon the completion of the 2021 Business Combination with SCH on January 7, 2021, the derivative balance was extinguished at January 7, 2021. See Note 4 (Fair Value Measurements) for additional information.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Letter of Credit</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April 19, 2018, the Company entered into a secured letter of credit agreement (the "Letter") required for its subsidiary for an aggregate amount of up to $2.5 million. The Letter is with a commercial lender and it renews on an annual basis. The Letter bears interest at a rate of 0.75%. On April 19, 2023, the Letter expired, and at the time of expiration there was an unused balance of $2.5 million which was released to the Company. There was an unused balance of $2.5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2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leases office space in New Jersey, Tennessee, Georgia, and Hong Kong under non-cancelable operating leases. At December 31, 2023, the remaining terms of the operating leases were between one month and 63 months, and certain lease agreements contain provisions for future rent increases. For each lease the Company recorded a right-of-use (ROU) asset and lease liability at the earlier of the ASC 842 effective date or lease commencement date. The Company utilizes the straight-line method of recognizing lease expense. However, the Company is required to pay certain variable executory costs including common area maintenance, real estate taxes, and insurance that are expensed as incurred. These variable costs are excluded from the measurement of leases. Certain of the Company's leases include options to renew, with renewal terms that can extend the lease term. The exercise of lease renewal options is at the Company's sole discretion. The ability to terminate a lease is determined by the applicable lease terms and conditions. The Company is not reasonably certain that it will exercise the renewal or termination options. Therefore, these options are not recognized as part of the ROU asset and lease liability.</w:t>
      </w:r>
    </w:p>
    <w:p>
      <w:pPr>
        <w:spacing w:after="0" w:line="1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Company subleases certain of its leases to third parties for which it receives rental income to manage occupancy costs. These subleases are classified as operating leases.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Summary of Lease Costs Recognized Under ASC 842:</w:t>
      </w:r>
    </w:p>
    <w:p>
      <w:pPr>
        <w:spacing w:after="0" w:line="2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following table contains a summary of the lease costs recognized under ASC 842 and other information pertaining to the Company's operating leases for the years ended December 31, 2023, 2022, and 2021,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6"/>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1,346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2,651</w:t>
            </w:r>
          </w:p>
        </w:tc>
        <w:tc>
          <w:tcPr>
            <w:tcW w:w="100" w:type="dxa"/>
            <w:vAlign w:val="bottom"/>
            <w:shd w:val="clear" w:color="auto" w:fill="CCEEFF"/>
          </w:tcPr>
          <w:p>
            <w:pPr>
              <w:spacing w:after="0"/>
              <w:rPr>
                <w:sz w:val="19"/>
                <w:szCs w:val="19"/>
                <w:color w:val="auto"/>
              </w:rPr>
            </w:pP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4,515</w:t>
            </w:r>
          </w:p>
        </w:tc>
        <w:tc>
          <w:tcPr>
            <w:tcW w:w="0" w:type="dxa"/>
            <w:vAlign w:val="bottom"/>
          </w:tcPr>
          <w:p>
            <w:pPr>
              <w:spacing w:after="0"/>
              <w:rPr>
                <w:sz w:val="1"/>
                <w:szCs w:val="1"/>
                <w:color w:val="auto"/>
              </w:rPr>
            </w:pPr>
          </w:p>
        </w:tc>
      </w:tr>
      <w:tr>
        <w:trPr>
          <w:trHeight w:val="221"/>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300" w:type="dxa"/>
            <w:vAlign w:val="bottom"/>
          </w:tcPr>
          <w:p>
            <w:pPr>
              <w:spacing w:after="0"/>
              <w:rPr>
                <w:sz w:val="19"/>
                <w:szCs w:val="19"/>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515</w:t>
            </w:r>
          </w:p>
        </w:tc>
        <w:tc>
          <w:tcPr>
            <w:tcW w:w="0" w:type="dxa"/>
            <w:vAlign w:val="bottom"/>
          </w:tcPr>
          <w:p>
            <w:pPr>
              <w:spacing w:after="0"/>
              <w:rPr>
                <w:sz w:val="1"/>
                <w:szCs w:val="1"/>
                <w:color w:val="auto"/>
              </w:rPr>
            </w:pPr>
          </w:p>
        </w:tc>
      </w:tr>
      <w:tr>
        <w:trPr>
          <w:trHeight w:val="221"/>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21"/>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(1,124)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(2,727)</w:t>
            </w:r>
          </w:p>
        </w:tc>
        <w:tc>
          <w:tcPr>
            <w:tcW w:w="0" w:type="dxa"/>
            <w:vAlign w:val="bottom"/>
          </w:tcPr>
          <w:p>
            <w:pPr>
              <w:spacing w:after="0"/>
              <w:rPr>
                <w:sz w:val="1"/>
                <w:szCs w:val="1"/>
                <w:color w:val="auto"/>
              </w:rPr>
            </w:pPr>
          </w:p>
        </w:tc>
      </w:tr>
      <w:tr>
        <w:trPr>
          <w:trHeight w:val="239"/>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1,141</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1,583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2,348</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information</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1,907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3,340</w:t>
            </w:r>
          </w:p>
        </w:tc>
        <w:tc>
          <w:tcPr>
            <w:tcW w:w="100" w:type="dxa"/>
            <w:vAlign w:val="bottom"/>
            <w:shd w:val="clear" w:color="auto" w:fill="CCEEFF"/>
          </w:tcPr>
          <w:p>
            <w:pPr>
              <w:spacing w:after="0"/>
              <w:rPr>
                <w:sz w:val="19"/>
                <w:szCs w:val="19"/>
                <w:color w:val="auto"/>
              </w:rPr>
            </w:pPr>
          </w:p>
        </w:tc>
        <w:tc>
          <w:tcPr>
            <w:tcW w:w="34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rPr>
              <w:t>5,248</w:t>
            </w:r>
          </w:p>
        </w:tc>
        <w:tc>
          <w:tcPr>
            <w:tcW w:w="0" w:type="dxa"/>
            <w:vAlign w:val="bottom"/>
          </w:tcPr>
          <w:p>
            <w:pPr>
              <w:spacing w:after="0"/>
              <w:rPr>
                <w:sz w:val="1"/>
                <w:szCs w:val="1"/>
                <w:color w:val="auto"/>
              </w:rPr>
            </w:pPr>
          </w:p>
        </w:tc>
      </w:tr>
      <w:tr>
        <w:trPr>
          <w:trHeight w:val="221"/>
        </w:trPr>
        <w:tc>
          <w:tcPr>
            <w:tcW w:w="7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300" w:type="dxa"/>
            <w:vAlign w:val="bottom"/>
          </w:tcPr>
          <w:p>
            <w:pPr>
              <w:spacing w:after="0"/>
              <w:rPr>
                <w:sz w:val="19"/>
                <w:szCs w:val="19"/>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4.5 years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 years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years</w:t>
            </w:r>
          </w:p>
        </w:tc>
        <w:tc>
          <w:tcPr>
            <w:tcW w:w="0" w:type="dxa"/>
            <w:vAlign w:val="bottom"/>
          </w:tcPr>
          <w:p>
            <w:pPr>
              <w:spacing w:after="0"/>
              <w:rPr>
                <w:sz w:val="1"/>
                <w:szCs w:val="1"/>
                <w:color w:val="auto"/>
              </w:rPr>
            </w:pPr>
          </w:p>
        </w:tc>
      </w:tr>
      <w:tr>
        <w:trPr>
          <w:trHeight w:val="221"/>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10.31 %</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10.65 %</w:t>
            </w:r>
          </w:p>
        </w:tc>
        <w:tc>
          <w:tcPr>
            <w:tcW w:w="100" w:type="dxa"/>
            <w:vAlign w:val="bottom"/>
            <w:shd w:val="clear" w:color="auto" w:fill="CCEEFF"/>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10.36 %</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future lease payments for non-cancelable Operating lease liabilities at December 31,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5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64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0" w:type="dxa"/>
            <w:vAlign w:val="bottom"/>
          </w:tcPr>
          <w:p>
            <w:pPr>
              <w:spacing w:after="0"/>
              <w:rPr>
                <w:sz w:val="1"/>
                <w:szCs w:val="1"/>
                <w:color w:val="auto"/>
              </w:rPr>
            </w:pPr>
          </w:p>
        </w:tc>
      </w:tr>
      <w:tr>
        <w:trPr>
          <w:trHeight w:val="221"/>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1,265</w:t>
            </w:r>
          </w:p>
        </w:tc>
        <w:tc>
          <w:tcPr>
            <w:tcW w:w="0" w:type="dxa"/>
            <w:vAlign w:val="bottom"/>
          </w:tcPr>
          <w:p>
            <w:pPr>
              <w:spacing w:after="0"/>
              <w:rPr>
                <w:sz w:val="1"/>
                <w:szCs w:val="1"/>
                <w:color w:val="auto"/>
              </w:rPr>
            </w:pPr>
          </w:p>
        </w:tc>
      </w:tr>
      <w:tr>
        <w:trPr>
          <w:trHeight w:val="22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w:t>
            </w:r>
          </w:p>
        </w:tc>
        <w:tc>
          <w:tcPr>
            <w:tcW w:w="0" w:type="dxa"/>
            <w:vAlign w:val="bottom"/>
          </w:tcPr>
          <w:p>
            <w:pPr>
              <w:spacing w:after="0"/>
              <w:rPr>
                <w:sz w:val="1"/>
                <w:szCs w:val="1"/>
                <w:color w:val="auto"/>
              </w:rPr>
            </w:pPr>
          </w:p>
        </w:tc>
      </w:tr>
      <w:tr>
        <w:trPr>
          <w:trHeight w:val="221"/>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0" w:type="dxa"/>
            <w:vAlign w:val="bottom"/>
          </w:tcPr>
          <w:p>
            <w:pPr>
              <w:spacing w:after="0"/>
              <w:rPr>
                <w:sz w:val="1"/>
                <w:szCs w:val="1"/>
                <w:color w:val="auto"/>
              </w:rPr>
            </w:pPr>
          </w:p>
        </w:tc>
      </w:tr>
      <w:tr>
        <w:trPr>
          <w:trHeight w:val="22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21"/>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6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6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5,650</w:t>
            </w:r>
          </w:p>
        </w:tc>
        <w:tc>
          <w:tcPr>
            <w:tcW w:w="0" w:type="dxa"/>
            <w:vAlign w:val="bottom"/>
          </w:tcPr>
          <w:p>
            <w:pPr>
              <w:spacing w:after="0"/>
              <w:rPr>
                <w:sz w:val="1"/>
                <w:szCs w:val="1"/>
                <w:color w:val="auto"/>
              </w:rPr>
            </w:pPr>
          </w:p>
        </w:tc>
      </w:tr>
      <w:tr>
        <w:trPr>
          <w:trHeight w:val="221"/>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6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39"/>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6280" w:type="dxa"/>
            <w:vAlign w:val="bottom"/>
            <w:tcBorders>
              <w:top w:val="single" w:sz="8" w:color="CCEEFF"/>
              <w:bottom w:val="single" w:sz="8" w:color="CCEEFF"/>
            </w:tcBorders>
            <w:vMerge w:val="restart"/>
          </w:tcPr>
          <w:p>
            <w:pPr>
              <w:jc w:val="right"/>
              <w:ind w:right="3953"/>
              <w:spacing w:after="0"/>
              <w:rPr>
                <w:sz w:val="20"/>
                <w:szCs w:val="20"/>
                <w:color w:val="auto"/>
              </w:rPr>
            </w:pPr>
            <w:r>
              <w:rPr>
                <w:rFonts w:ascii="Times New Roman" w:cs="Times New Roman" w:eastAsia="Times New Roman" w:hAnsi="Times New Roman"/>
                <w:sz w:val="17"/>
                <w:szCs w:val="17"/>
                <w:color w:val="auto"/>
              </w:rPr>
              <w:t>107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52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20" w:type="dxa"/>
            <w:vAlign w:val="bottom"/>
            <w:tcBorders>
              <w:bottom w:val="single" w:sz="8" w:color="9A9A9A"/>
            </w:tcBorders>
          </w:tcPr>
          <w:p>
            <w:pPr>
              <w:spacing w:after="0"/>
              <w:rPr>
                <w:sz w:val="9"/>
                <w:szCs w:val="9"/>
                <w:color w:val="auto"/>
              </w:rPr>
            </w:pPr>
          </w:p>
        </w:tc>
        <w:tc>
          <w:tcPr>
            <w:tcW w:w="6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14. Stockholders' Equity and Convertible Preferred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was authorized to issue up to 2,500,000,000 shares of Class A common stock at December 31, 2023 and 2022, and up to 500,000,000 shares of Class B common stock at December 31, 2023 and 2022. At December 31, 2023 and 2022, there were 401,183,882 and 383,998,718 shares of Class A common stock issued and outstanding, respectively. There were 87,867,732 and 94,394,852 shares of Class B common stock issued and outstanding at December 31, 2023 and 2022, respectively. Class B common stock has 10 votes per share, and Class A common stock has one vote per share. The Company had 7,912,750 and 2,072,752 shares held in treasury at December 31, 2023 and 2022, respectively. These amounts represent shares withheld to cover taxes upon vesting of employee stock-based awards.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At December 31, 2023, the Company was authorized to issue 25,000,000 shares of preferred stock having a par value of $0.0001 per share, and the Company's Board has the authority to determine the rights, preferences, privileges, and restrictions, including voting rights, of those shares. At December 31, 2023, there were no shares of preferred stock issued and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Variable Interest Entity and Equity Method of Accounting</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On January 23, 2023, Character Biosciences, completed a second private capital transaction in which it raised additional capital from the issuance of additional shares of its preferred stock. Upon completion of this transaction, the Company's ownership percentage in Character Biosciences decreased to 23.92%.</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non-current on the Consolidated Balance Sheets. For the year ended December 31, 2022, the Company recognized a gain on investment of $9.2 million which is included within Loss (gain) on investment on the audited Consolidated Statements of Operations and Comprehensive Loss.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gain on investment on the audited Consolidated Statements of Operations and Comprehensive Loss.</w:t>
      </w:r>
    </w:p>
    <w:p>
      <w:pPr>
        <w:spacing w:after="0" w:line="17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In accordance with ASC 323, the Company recognized the proportionate share of Character Bioscience's net loss up to the investment carrying amount. As a result the Company recognized a shared loss of $4.7 million for the year ended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Employee Benefit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Retirement Savings Plan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$1.8 million, $1.6 million, and $1.2 million for the years ended December 31, 2023, 2022, and 2021 respectively, and are included within Salaries and benefits on the audited Consolidated Statements of Operations and Comprehensive Loss. The Company's cash match is invested pursuant to the participant's contribution direction. Employer contributions are immediately 100.0%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On March 9, 2022, the Board adopted the Company's 2022 Inducement Award Plan (the "Inducement Plan" and, collectively with the 2020 Plan, the 2020 MIP, and the 2014 Plan, the "Plans") without stockholder approval in accordance with Nasdaq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maximum number of shares of the Company's common stock reserved for issuance over the term of the Plans, shares outstanding under the Plans, and shares remaining under the Plans at December 31, 2023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0" w:type="dxa"/>
            <w:vAlign w:val="bottom"/>
          </w:tcPr>
          <w:p>
            <w:pPr>
              <w:spacing w:after="0"/>
              <w:rPr>
                <w:sz w:val="1"/>
                <w:szCs w:val="1"/>
                <w:color w:val="auto"/>
              </w:rPr>
            </w:pPr>
          </w:p>
        </w:tc>
      </w:tr>
      <w:tr>
        <w:trPr>
          <w:trHeight w:val="174"/>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34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7"/>
                <w:szCs w:val="17"/>
                <w:b w:val="1"/>
                <w:bCs w:val="1"/>
                <w:color w:val="auto"/>
              </w:rPr>
              <w:t>Authorized</w:t>
            </w:r>
          </w:p>
        </w:tc>
        <w:tc>
          <w:tcPr>
            <w:tcW w:w="134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124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228"/>
        </w:trPr>
        <w:tc>
          <w:tcPr>
            <w:tcW w:w="7320" w:type="dxa"/>
            <w:vAlign w:val="bottom"/>
            <w:gridSpan w:val="2"/>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Plans</w:t>
            </w:r>
          </w:p>
        </w:tc>
        <w:tc>
          <w:tcPr>
            <w:tcW w:w="0" w:type="dxa"/>
            <w:vAlign w:val="bottom"/>
          </w:tcPr>
          <w:p>
            <w:pPr>
              <w:spacing w:after="0"/>
              <w:rPr>
                <w:sz w:val="1"/>
                <w:szCs w:val="1"/>
                <w:color w:val="auto"/>
              </w:rPr>
            </w:pPr>
          </w:p>
        </w:tc>
      </w:tr>
      <w:tr>
        <w:trPr>
          <w:trHeight w:val="214"/>
        </w:trPr>
        <w:tc>
          <w:tcPr>
            <w:tcW w:w="7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2014 Plan</w:t>
            </w:r>
          </w:p>
        </w:tc>
        <w:tc>
          <w:tcPr>
            <w:tcW w:w="8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54,402,264</w:t>
            </w:r>
          </w:p>
        </w:tc>
        <w:tc>
          <w:tcPr>
            <w:tcW w:w="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24,041,781</w:t>
            </w: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1"/>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2020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58,521,709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47,481,258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2020 MIP</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33,426,983</w:t>
            </w: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26,741,587</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Inducement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5,043,120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2,131,783</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four or five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10" w:name="page111"/>
    <w:bookmarkEnd w:id="110"/>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recorded stock-based compensation expense for stock options, RSUs, and PRSUs granted under the Plans, and discounts offered in connection with the Company's 2020 Employee Stock Purchase Plan ("ESPP") of $140.9 million, $164.3 million, and $163.7 million during the years ended December 31, 2023, 2022, and 2021 respectively, and such expenses are presented within Salaries and benefits in the accompanying audited Consolidated Statements of Operations and Comprehensive Loss.</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Compensation cost presented within Salaries and benefits within the accompanying audited Consolidated Statements of Operations and Comprehensive Loss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center"/>
              <w:ind w:left="51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14"/>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7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7,998</w:t>
            </w:r>
          </w:p>
        </w:tc>
      </w:tr>
      <w:tr>
        <w:trPr>
          <w:trHeight w:val="221"/>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65,514</w:t>
            </w:r>
          </w:p>
        </w:tc>
      </w:tr>
      <w:tr>
        <w:trPr>
          <w:trHeight w:val="22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89,930</w:t>
            </w:r>
          </w:p>
        </w:tc>
      </w:tr>
      <w:tr>
        <w:trPr>
          <w:trHeight w:val="221"/>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39"/>
        </w:trPr>
        <w:tc>
          <w:tcPr>
            <w:tcW w:w="7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140,931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163,723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-24130</wp:posOffset>
            </wp:positionV>
            <wp:extent cx="5778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785" cy="16510"/>
                    </a:xfrm>
                    <a:prstGeom prst="rect">
                      <a:avLst/>
                    </a:prstGeom>
                    <a:noFill/>
                  </pic:spPr>
                </pic:pic>
              </a:graphicData>
            </a:graphic>
          </wp:anchor>
        </w:drawing>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2023, there was approximately $436.7 million of unrecognized stock-based compensation expense related to unvested stock options, unvested RSUs, unvested PRSUs, and the ESPP, estimated to be recognized over a period of four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did not grant stock options during fiscal years 2023 and 2022. The weighted-average grant date fair value of stock options granted during the year ended December 31, 2021 was $3.36 per share. The assumptions that the Company used in the Black-Scholes option-pricing model to determine the grant-date fair value of stock options granted for the year ended December 31, 2021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w:t>
            </w:r>
          </w:p>
        </w:tc>
        <w:tc>
          <w:tcPr>
            <w:tcW w:w="0" w:type="dxa"/>
            <w:vAlign w:val="bottom"/>
          </w:tcPr>
          <w:p>
            <w:pPr>
              <w:spacing w:after="0"/>
              <w:rPr>
                <w:sz w:val="1"/>
                <w:szCs w:val="1"/>
                <w:color w:val="auto"/>
              </w:rPr>
            </w:pPr>
          </w:p>
        </w:tc>
      </w:tr>
      <w:tr>
        <w:trPr>
          <w:trHeight w:val="228"/>
        </w:trPr>
        <w:tc>
          <w:tcPr>
            <w:tcW w:w="8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31,</w:t>
            </w:r>
          </w:p>
        </w:tc>
        <w:tc>
          <w:tcPr>
            <w:tcW w:w="0" w:type="dxa"/>
            <w:vAlign w:val="bottom"/>
          </w:tcPr>
          <w:p>
            <w:pPr>
              <w:spacing w:after="0"/>
              <w:rPr>
                <w:sz w:val="1"/>
                <w:szCs w:val="1"/>
                <w:color w:val="auto"/>
              </w:rPr>
            </w:pPr>
          </w:p>
        </w:tc>
      </w:tr>
      <w:tr>
        <w:trPr>
          <w:trHeight w:val="214"/>
        </w:trPr>
        <w:tc>
          <w:tcPr>
            <w:tcW w:w="86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14"/>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risk-free interest rate</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c>
          <w:tcPr>
            <w:tcW w:w="0" w:type="dxa"/>
            <w:vAlign w:val="bottom"/>
          </w:tcPr>
          <w:p>
            <w:pPr>
              <w:spacing w:after="0"/>
              <w:rPr>
                <w:sz w:val="1"/>
                <w:szCs w:val="1"/>
                <w:color w:val="auto"/>
              </w:rPr>
            </w:pPr>
          </w:p>
        </w:tc>
      </w:tr>
      <w:tr>
        <w:trPr>
          <w:trHeight w:val="221"/>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0" w:type="dxa"/>
            <w:vAlign w:val="bottom"/>
          </w:tcPr>
          <w:p>
            <w:pPr>
              <w:spacing w:after="0"/>
              <w:rPr>
                <w:sz w:val="1"/>
                <w:szCs w:val="1"/>
                <w:color w:val="auto"/>
              </w:rPr>
            </w:pPr>
          </w:p>
        </w:tc>
      </w:tr>
      <w:tr>
        <w:trPr>
          <w:trHeight w:val="22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37.74 %</w:t>
            </w:r>
          </w:p>
        </w:tc>
        <w:tc>
          <w:tcPr>
            <w:tcW w:w="0" w:type="dxa"/>
            <w:vAlign w:val="bottom"/>
          </w:tcPr>
          <w:p>
            <w:pPr>
              <w:spacing w:after="0"/>
              <w:rPr>
                <w:sz w:val="1"/>
                <w:szCs w:val="1"/>
                <w:color w:val="auto"/>
              </w:rPr>
            </w:pPr>
          </w:p>
        </w:tc>
      </w:tr>
      <w:tr>
        <w:trPr>
          <w:trHeight w:val="226"/>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01"/>
        </w:trPr>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option activity under the 2020 Plan during the years ended December 31, 2023, was as follows: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660" w:type="dxa"/>
            <w:vAlign w:val="bottom"/>
          </w:tcPr>
          <w:p>
            <w:pPr>
              <w:spacing w:after="0"/>
              <w:rPr>
                <w:sz w:val="24"/>
                <w:szCs w:val="24"/>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0" w:type="dxa"/>
            <w:vAlign w:val="bottom"/>
          </w:tcPr>
          <w:p>
            <w:pPr>
              <w:spacing w:after="0"/>
              <w:rPr>
                <w:sz w:val="24"/>
                <w:szCs w:val="24"/>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69"/>
        </w:trPr>
        <w:tc>
          <w:tcPr>
            <w:tcW w:w="86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b w:val="1"/>
                <w:bCs w:val="1"/>
                <w:color w:val="auto"/>
              </w:rPr>
              <w:t>average exercise</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40" w:type="dxa"/>
            <w:vAlign w:val="bottom"/>
          </w:tcPr>
          <w:p>
            <w:pPr>
              <w:spacing w:after="0"/>
              <w:rPr>
                <w:sz w:val="20"/>
                <w:szCs w:val="20"/>
                <w:color w:val="auto"/>
              </w:rPr>
            </w:pPr>
          </w:p>
        </w:tc>
        <w:tc>
          <w:tcPr>
            <w:tcW w:w="110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price</w:t>
            </w:r>
          </w:p>
        </w:tc>
        <w:tc>
          <w:tcPr>
            <w:tcW w:w="0" w:type="dxa"/>
            <w:vAlign w:val="bottom"/>
          </w:tcPr>
          <w:p>
            <w:pPr>
              <w:spacing w:after="0"/>
              <w:rPr>
                <w:sz w:val="1"/>
                <w:szCs w:val="1"/>
                <w:color w:val="auto"/>
              </w:rPr>
            </w:pPr>
          </w:p>
        </w:tc>
      </w:tr>
      <w:tr>
        <w:trPr>
          <w:trHeight w:val="214"/>
        </w:trPr>
        <w:tc>
          <w:tcPr>
            <w:tcW w:w="86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January 1, 2023</w:t>
            </w:r>
          </w:p>
        </w:tc>
        <w:tc>
          <w:tcPr>
            <w:tcW w:w="12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1,364,822</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21"/>
        </w:trPr>
        <w:tc>
          <w:tcPr>
            <w:tcW w:w="8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7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6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(411,922)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39"/>
        </w:trPr>
        <w:tc>
          <w:tcPr>
            <w:tcW w:w="8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December 31, 2023</w:t>
            </w: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952,900</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0"/>
        </w:trPr>
        <w:tc>
          <w:tcPr>
            <w:tcW w:w="8660" w:type="dxa"/>
            <w:vAlign w:val="bottom"/>
            <w:tcBorders>
              <w:top w:val="single" w:sz="8" w:color="CFF0FC"/>
              <w:bottom w:val="single" w:sz="8" w:color="CFF0FC"/>
            </w:tcBorders>
            <w:vMerge w:val="restart"/>
          </w:tcPr>
          <w:p>
            <w:pPr>
              <w:ind w:left="5500"/>
              <w:spacing w:after="0"/>
              <w:rPr>
                <w:sz w:val="20"/>
                <w:szCs w:val="20"/>
                <w:color w:val="auto"/>
              </w:rPr>
            </w:pPr>
            <w:r>
              <w:rPr>
                <w:rFonts w:ascii="Times New Roman" w:cs="Times New Roman" w:eastAsia="Times New Roman" w:hAnsi="Times New Roman"/>
                <w:sz w:val="17"/>
                <w:szCs w:val="17"/>
                <w:color w:val="auto"/>
              </w:rPr>
              <w:t>110</w:t>
            </w:r>
          </w:p>
        </w:tc>
        <w:tc>
          <w:tcPr>
            <w:tcW w:w="78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8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6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-560070</wp:posOffset>
            </wp:positionV>
            <wp:extent cx="5778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-716280</wp:posOffset>
            </wp:positionV>
            <wp:extent cx="577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26"/>
        </w:trPr>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stock option activity under the 2014 Plan during the years ended December 31, 2023, was as follows: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8660" w:type="dxa"/>
            <w:vAlign w:val="bottom"/>
          </w:tcPr>
          <w:p>
            <w:pPr>
              <w:spacing w:after="0"/>
              <w:rPr>
                <w:sz w:val="24"/>
                <w:szCs w:val="2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80" w:type="dxa"/>
            <w:vAlign w:val="bottom"/>
          </w:tcPr>
          <w:p>
            <w:pPr>
              <w:spacing w:after="0"/>
              <w:rPr>
                <w:sz w:val="24"/>
                <w:szCs w:val="24"/>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69"/>
        </w:trPr>
        <w:tc>
          <w:tcPr>
            <w:tcW w:w="86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b w:val="1"/>
                <w:bCs w:val="1"/>
                <w:color w:val="auto"/>
              </w:rPr>
              <w:t>average exercise</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80" w:type="dxa"/>
            <w:vAlign w:val="bottom"/>
          </w:tcPr>
          <w:p>
            <w:pPr>
              <w:spacing w:after="0"/>
              <w:rPr>
                <w:sz w:val="20"/>
                <w:szCs w:val="20"/>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price</w:t>
            </w:r>
          </w:p>
        </w:tc>
        <w:tc>
          <w:tcPr>
            <w:tcW w:w="0" w:type="dxa"/>
            <w:vAlign w:val="bottom"/>
          </w:tcPr>
          <w:p>
            <w:pPr>
              <w:spacing w:after="0"/>
              <w:rPr>
                <w:sz w:val="1"/>
                <w:szCs w:val="1"/>
                <w:color w:val="auto"/>
              </w:rPr>
            </w:pPr>
          </w:p>
        </w:tc>
      </w:tr>
      <w:tr>
        <w:trPr>
          <w:trHeight w:val="214"/>
        </w:trPr>
        <w:tc>
          <w:tcPr>
            <w:tcW w:w="86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January 1, 2023</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25,631,686</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21"/>
        </w:trPr>
        <w:tc>
          <w:tcPr>
            <w:tcW w:w="8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(79,189)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0" w:type="dxa"/>
            <w:vAlign w:val="bottom"/>
          </w:tcPr>
          <w:p>
            <w:pPr>
              <w:spacing w:after="0"/>
              <w:rPr>
                <w:sz w:val="1"/>
                <w:szCs w:val="1"/>
                <w:color w:val="auto"/>
              </w:rPr>
            </w:pPr>
          </w:p>
        </w:tc>
      </w:tr>
      <w:tr>
        <w:trPr>
          <w:trHeight w:val="221"/>
        </w:trPr>
        <w:tc>
          <w:tcPr>
            <w:tcW w:w="86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(1,510,744)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239"/>
        </w:trPr>
        <w:tc>
          <w:tcPr>
            <w:tcW w:w="8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December 31, 2023</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24,041,753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
        </w:trPr>
        <w:tc>
          <w:tcPr>
            <w:tcW w:w="86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-24130</wp:posOffset>
            </wp:positionV>
            <wp:extent cx="5778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785" cy="16510"/>
                    </a:xfrm>
                    <a:prstGeom prst="rect">
                      <a:avLst/>
                    </a:prstGeom>
                    <a:noFill/>
                  </pic:spPr>
                </pic:pic>
              </a:graphicData>
            </a:graphic>
          </wp:anchor>
        </w:drawing>
        <w:drawing>
          <wp:anchor simplePos="0" relativeHeight="251657728" behindDoc="1" locked="0" layoutInCell="0" allowOverlap="1">
            <wp:simplePos x="0" y="0"/>
            <wp:positionH relativeFrom="column">
              <wp:posOffset>6290945</wp:posOffset>
            </wp:positionH>
            <wp:positionV relativeFrom="paragraph">
              <wp:posOffset>-180975</wp:posOffset>
            </wp:positionV>
            <wp:extent cx="577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86"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excess of the fair market value of the closing price of the Company’s Class A common stock at December 31, 2023 (or the last trading date of 2023) over-the exercise price of the stock options.</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At December 31, 2023, outstanding stock options, substantially all of which are expected to vest, had an aggregate value of less than $0.1 million, and a weighted-average remaining contractual term of four years. At December 31, 2023, there were 23,319,559 stock options exercisable under the Plans, with an aggregate intrinsic value of less than $0.1 million, a weighted-average exercise price of $2.86 per share, and a weighted-average remaining contractual term of 5.36 years. The total value of stock options exercised during the years ended December 31, 2023, 2022, and 2021 was $0.1 million, $11.3 million, and $39.3 million respectively. Cash received from stock option exercises during the years ended December 31, 2023, 2022, and 2021 was less than $0.1 million, $1.0 million, and $6.1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A summary of total RSU activity for the year ended December 31, 2023 is presented below:</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69"/>
        </w:trPr>
        <w:tc>
          <w:tcPr>
            <w:tcW w:w="866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4"/>
                <w:szCs w:val="14"/>
                <w:color w:val="auto"/>
              </w:rPr>
            </w:pPr>
          </w:p>
        </w:tc>
        <w:tc>
          <w:tcPr>
            <w:tcW w:w="1140" w:type="dxa"/>
            <w:vAlign w:val="bottom"/>
          </w:tcPr>
          <w:p>
            <w:pPr>
              <w:jc w:val="center"/>
              <w:ind w:right="13"/>
              <w:spacing w:after="0" w:line="169" w:lineRule="exact"/>
              <w:rPr>
                <w:sz w:val="20"/>
                <w:szCs w:val="20"/>
                <w:color w:val="auto"/>
              </w:rPr>
            </w:pPr>
            <w:r>
              <w:rPr>
                <w:rFonts w:ascii="Times New Roman" w:cs="Times New Roman" w:eastAsia="Times New Roman" w:hAnsi="Times New Roman"/>
                <w:sz w:val="17"/>
                <w:szCs w:val="17"/>
                <w:b w:val="1"/>
                <w:bCs w:val="1"/>
                <w:color w:val="auto"/>
              </w:rPr>
              <w:t>average grant</w:t>
            </w:r>
          </w:p>
        </w:tc>
        <w:tc>
          <w:tcPr>
            <w:tcW w:w="0" w:type="dxa"/>
            <w:vAlign w:val="bottom"/>
          </w:tcPr>
          <w:p>
            <w:pPr>
              <w:spacing w:after="0"/>
              <w:rPr>
                <w:sz w:val="1"/>
                <w:szCs w:val="1"/>
                <w:color w:val="auto"/>
              </w:rPr>
            </w:pPr>
          </w:p>
        </w:tc>
      </w:tr>
      <w:tr>
        <w:trPr>
          <w:trHeight w:val="169"/>
        </w:trPr>
        <w:tc>
          <w:tcPr>
            <w:tcW w:w="86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34"/>
        </w:trPr>
        <w:tc>
          <w:tcPr>
            <w:tcW w:w="8660" w:type="dxa"/>
            <w:vAlign w:val="bottom"/>
          </w:tcPr>
          <w:p>
            <w:pPr>
              <w:spacing w:after="0"/>
              <w:rPr>
                <w:sz w:val="20"/>
                <w:szCs w:val="20"/>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RSUs</w:t>
            </w:r>
          </w:p>
        </w:tc>
        <w:tc>
          <w:tcPr>
            <w:tcW w:w="100" w:type="dxa"/>
            <w:vAlign w:val="bottom"/>
          </w:tcPr>
          <w:p>
            <w:pPr>
              <w:spacing w:after="0"/>
              <w:rPr>
                <w:sz w:val="20"/>
                <w:szCs w:val="20"/>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0" w:type="dxa"/>
            <w:vAlign w:val="bottom"/>
          </w:tcPr>
          <w:p>
            <w:pPr>
              <w:spacing w:after="0"/>
              <w:rPr>
                <w:sz w:val="1"/>
                <w:szCs w:val="1"/>
                <w:color w:val="auto"/>
              </w:rPr>
            </w:pPr>
          </w:p>
        </w:tc>
      </w:tr>
      <w:tr>
        <w:trPr>
          <w:trHeight w:val="22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January 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49,617,199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0" w:type="dxa"/>
            <w:vAlign w:val="bottom"/>
          </w:tcPr>
          <w:p>
            <w:pPr>
              <w:spacing w:after="0"/>
              <w:rPr>
                <w:sz w:val="1"/>
                <w:szCs w:val="1"/>
                <w:color w:val="auto"/>
              </w:rPr>
            </w:pPr>
          </w:p>
        </w:tc>
      </w:tr>
      <w:tr>
        <w:trPr>
          <w:trHeight w:val="221"/>
        </w:trPr>
        <w:tc>
          <w:tcPr>
            <w:tcW w:w="8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 during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28,977,160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(15,054,999)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21"/>
        </w:trPr>
        <w:tc>
          <w:tcPr>
            <w:tcW w:w="8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(6,610,955)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39"/>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56,928,405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Restricted Stock Units</w:t>
      </w:r>
    </w:p>
    <w:p>
      <w:pPr>
        <w:spacing w:after="0" w:line="2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20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The assumptions that the Company used in the Monte Carlo model to determine the grant date fair value of Market PRSUs granted for the year ended December 31, 2021, were as follows: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Expected volatility </w:t>
            </w:r>
            <w:r>
              <w:rPr>
                <w:rFonts w:ascii="Times New Roman" w:cs="Times New Roman" w:eastAsia="Times New Roman" w:hAnsi="Times New Roman"/>
                <w:sz w:val="22"/>
                <w:szCs w:val="22"/>
                <w:color w:val="auto"/>
                <w:vertAlign w:val="superscript"/>
              </w:rPr>
              <w:t>(1)</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40.7 %</w:t>
            </w:r>
          </w:p>
        </w:tc>
      </w:tr>
      <w:tr>
        <w:trPr>
          <w:trHeight w:val="260"/>
        </w:trPr>
        <w:tc>
          <w:tcPr>
            <w:tcW w:w="9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Risk-free interest rate </w:t>
            </w:r>
            <w:r>
              <w:rPr>
                <w:rFonts w:ascii="Times New Roman" w:cs="Times New Roman" w:eastAsia="Times New Roman" w:hAnsi="Times New Roman"/>
                <w:sz w:val="22"/>
                <w:szCs w:val="22"/>
                <w:color w:val="auto"/>
                <w:vertAlign w:val="superscript"/>
              </w:rPr>
              <w:t>(2)</w:t>
            </w: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0.5</w:t>
            </w:r>
          </w:p>
        </w:tc>
      </w:tr>
      <w:tr>
        <w:trPr>
          <w:trHeight w:val="260"/>
        </w:trPr>
        <w:tc>
          <w:tcPr>
            <w:tcW w:w="9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 xml:space="preserve">Dividend yield </w:t>
            </w:r>
            <w:r>
              <w:rPr>
                <w:rFonts w:ascii="Times New Roman" w:cs="Times New Roman" w:eastAsia="Times New Roman" w:hAnsi="Times New Roman"/>
                <w:sz w:val="22"/>
                <w:szCs w:val="22"/>
                <w:color w:val="auto"/>
                <w:vertAlign w:val="superscript"/>
              </w:rPr>
              <w:t>(3)</w:t>
            </w: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bl>
    <w:p>
      <w:pPr>
        <w:spacing w:after="0" w:line="45" w:lineRule="exact"/>
        <w:rPr>
          <w:sz w:val="20"/>
          <w:szCs w:val="20"/>
          <w:color w:val="auto"/>
        </w:rPr>
      </w:pPr>
    </w:p>
    <w:p>
      <w:pPr>
        <w:ind w:left="140" w:hanging="136"/>
        <w:spacing w:after="0"/>
        <w:tabs>
          <w:tab w:leader="none" w:pos="140" w:val="left"/>
        </w:tabs>
        <w:numPr>
          <w:ilvl w:val="0"/>
          <w:numId w:val="3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Expected volatility is based on a blend of peer group company historical data adjusted for the Company's leverage.</w:t>
      </w:r>
    </w:p>
    <w:p>
      <w:pPr>
        <w:ind w:left="140" w:hanging="136"/>
        <w:spacing w:after="0"/>
        <w:tabs>
          <w:tab w:leader="none" w:pos="1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Risk-free interest rate based on U.S. Treasury yields with a term equal to the remaining Performance Period at the grant date.</w:t>
      </w:r>
    </w:p>
    <w:p>
      <w:pPr>
        <w:spacing w:after="0" w:line="4" w:lineRule="exact"/>
        <w:rPr>
          <w:rFonts w:ascii="Times New Roman" w:cs="Times New Roman" w:eastAsia="Times New Roman" w:hAnsi="Times New Roman"/>
          <w:sz w:val="9"/>
          <w:szCs w:val="9"/>
          <w:color w:val="auto"/>
        </w:rPr>
      </w:pPr>
    </w:p>
    <w:p>
      <w:pPr>
        <w:ind w:left="140" w:hanging="136"/>
        <w:spacing w:after="0"/>
        <w:tabs>
          <w:tab w:leader="none" w:pos="14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Dividend yield was assumed to be zero as the Company does not anticipate paying dividends.</w:t>
      </w:r>
    </w:p>
    <w:p>
      <w:pPr>
        <w:spacing w:after="0" w:line="2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At December 31, 2023, the market condition component of these PRSUs has not been met, so the awards have not been earned. This expense represents most of the PRSU expense recognized for the year ended December 31, 2023 related to stock-based compensation plans which is presented within Salaries and benefits in the accompanying audited Consolidated Statements of Operations and Comprehensive Loss. The Company has also determined the requisite service period for the PRSUs with multiple performance conditions to be the longest of the explicit, implicit, or derived service period for each tranche.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PRSU activity for the year ended December 31, 2023 is presented below:</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8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4"/>
        </w:trPr>
        <w:tc>
          <w:tcPr>
            <w:tcW w:w="8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5"/>
                <w:szCs w:val="15"/>
                <w:color w:val="auto"/>
              </w:rPr>
            </w:pPr>
          </w:p>
        </w:tc>
        <w:tc>
          <w:tcPr>
            <w:tcW w:w="1140" w:type="dxa"/>
            <w:vAlign w:val="bottom"/>
          </w:tcPr>
          <w:p>
            <w:pPr>
              <w:jc w:val="center"/>
              <w:ind w:right="13"/>
              <w:spacing w:after="0" w:line="174" w:lineRule="exact"/>
              <w:rPr>
                <w:sz w:val="20"/>
                <w:szCs w:val="20"/>
                <w:color w:val="auto"/>
              </w:rPr>
            </w:pPr>
            <w:r>
              <w:rPr>
                <w:rFonts w:ascii="Times New Roman" w:cs="Times New Roman" w:eastAsia="Times New Roman" w:hAnsi="Times New Roman"/>
                <w:sz w:val="17"/>
                <w:szCs w:val="17"/>
                <w:b w:val="1"/>
                <w:bCs w:val="1"/>
                <w:color w:val="auto"/>
              </w:rPr>
              <w:t>average grant</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date fair value</w:t>
            </w:r>
          </w:p>
        </w:tc>
        <w:tc>
          <w:tcPr>
            <w:tcW w:w="0" w:type="dxa"/>
            <w:vAlign w:val="bottom"/>
          </w:tcPr>
          <w:p>
            <w:pPr>
              <w:spacing w:after="0"/>
              <w:rPr>
                <w:sz w:val="1"/>
                <w:szCs w:val="1"/>
                <w:color w:val="auto"/>
              </w:rPr>
            </w:pPr>
          </w:p>
        </w:tc>
      </w:tr>
      <w:tr>
        <w:trPr>
          <w:trHeight w:val="221"/>
        </w:trPr>
        <w:tc>
          <w:tcPr>
            <w:tcW w:w="8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PRSUs</w:t>
            </w:r>
          </w:p>
        </w:tc>
        <w:tc>
          <w:tcPr>
            <w:tcW w:w="100" w:type="dxa"/>
            <w:vAlign w:val="bottom"/>
          </w:tcPr>
          <w:p>
            <w:pPr>
              <w:spacing w:after="0"/>
              <w:rPr>
                <w:sz w:val="19"/>
                <w:szCs w:val="19"/>
                <w:color w:val="auto"/>
              </w:rPr>
            </w:pPr>
          </w:p>
        </w:tc>
        <w:tc>
          <w:tcPr>
            <w:tcW w:w="114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0" w:type="dxa"/>
            <w:vAlign w:val="bottom"/>
          </w:tcPr>
          <w:p>
            <w:pPr>
              <w:spacing w:after="0"/>
              <w:rPr>
                <w:sz w:val="1"/>
                <w:szCs w:val="1"/>
                <w:color w:val="auto"/>
              </w:rPr>
            </w:pPr>
          </w:p>
        </w:tc>
      </w:tr>
      <w:tr>
        <w:trPr>
          <w:trHeight w:val="214"/>
        </w:trPr>
        <w:tc>
          <w:tcPr>
            <w:tcW w:w="8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January 1, 2023</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29,945,235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c>
          <w:tcPr>
            <w:tcW w:w="0" w:type="dxa"/>
            <w:vAlign w:val="bottom"/>
          </w:tcPr>
          <w:p>
            <w:pPr>
              <w:spacing w:after="0"/>
              <w:rPr>
                <w:sz w:val="1"/>
                <w:szCs w:val="1"/>
                <w:color w:val="auto"/>
              </w:rPr>
            </w:pPr>
          </w:p>
        </w:tc>
      </w:tr>
      <w:tr>
        <w:trPr>
          <w:trHeight w:val="221"/>
        </w:trPr>
        <w:tc>
          <w:tcPr>
            <w:tcW w:w="8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Granted during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3,200,913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0" w:type="dxa"/>
            <w:vAlign w:val="bottom"/>
          </w:tcPr>
          <w:p>
            <w:pPr>
              <w:spacing w:after="0"/>
              <w:rPr>
                <w:sz w:val="1"/>
                <w:szCs w:val="1"/>
                <w:color w:val="auto"/>
              </w:rPr>
            </w:pPr>
          </w:p>
        </w:tc>
      </w:tr>
      <w:tr>
        <w:trPr>
          <w:trHeight w:val="221"/>
        </w:trPr>
        <w:tc>
          <w:tcPr>
            <w:tcW w:w="8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(958,951)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21"/>
        </w:trPr>
        <w:tc>
          <w:tcPr>
            <w:tcW w:w="8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(55,665)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39"/>
        </w:trPr>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32,131,532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At December 31, 2023, there was $38.3 million of unrecognized share-based compensation expense related to PRSUs, which is expected to be recognized over a period of approximately four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2020 Employee Stock Purchase Plan</w:t>
      </w:r>
    </w:p>
    <w:p>
      <w:pPr>
        <w:spacing w:after="0" w:line="2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10,152,025 shares, and the maximum number of shares that may be purchased on any single purchase date by any one participant is 5,000 shares. At December 31, 2023, 9,066,694 shares of Class A common stock were available for issuance under the ESPP.</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ESPP includes an evergreen provision that sets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at January 7, 2021, on an as-converted basis.</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assumptions that the Company used in the Black-Scholes option-pricing model to determine the fair value of the purchase rights under the ESPP for the years ended December 31, 2023, 2022, and 2021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w:t>
            </w:r>
          </w:p>
        </w:tc>
        <w:tc>
          <w:tcPr>
            <w:tcW w:w="4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risk-free interest rate</w:t>
            </w:r>
          </w:p>
        </w:tc>
        <w:tc>
          <w:tcPr>
            <w:tcW w:w="4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467.0 %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21"/>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4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r>
      <w:tr>
        <w:trPr>
          <w:trHeight w:val="22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4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147.4 %</w:t>
            </w:r>
          </w:p>
        </w:tc>
      </w:tr>
      <w:tr>
        <w:trPr>
          <w:trHeight w:val="714"/>
        </w:trPr>
        <w:tc>
          <w:tcPr>
            <w:tcW w:w="4120" w:type="dxa"/>
            <w:vAlign w:val="bottom"/>
          </w:tcPr>
          <w:p>
            <w:pPr>
              <w:spacing w:after="0"/>
              <w:rPr>
                <w:sz w:val="24"/>
                <w:szCs w:val="24"/>
                <w:color w:val="auto"/>
              </w:rPr>
            </w:pPr>
          </w:p>
        </w:tc>
        <w:tc>
          <w:tcPr>
            <w:tcW w:w="4220" w:type="dxa"/>
            <w:vAlign w:val="bottom"/>
          </w:tcPr>
          <w:p>
            <w:pPr>
              <w:jc w:val="right"/>
              <w:ind w:right="2493"/>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0"/>
        </w:trPr>
        <w:tc>
          <w:tcPr>
            <w:tcW w:w="4120" w:type="dxa"/>
            <w:vAlign w:val="bottom"/>
            <w:tcBorders>
              <w:bottom w:val="single" w:sz="8" w:color="9A9A9A"/>
            </w:tcBorders>
          </w:tcPr>
          <w:p>
            <w:pPr>
              <w:spacing w:after="0"/>
              <w:rPr>
                <w:sz w:val="9"/>
                <w:szCs w:val="9"/>
                <w:color w:val="auto"/>
              </w:rPr>
            </w:pPr>
          </w:p>
        </w:tc>
        <w:tc>
          <w:tcPr>
            <w:tcW w:w="4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17. Income Taxes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5"/>
        </w:trPr>
        <w:tc>
          <w:tcPr>
            <w:tcW w:w="90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provision for income taxes consisted of the following for the years ended December 31, 2023, 2022, and 2021, respectively: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4"/>
        </w:trPr>
        <w:tc>
          <w:tcPr>
            <w:tcW w:w="73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80" w:type="dxa"/>
            <w:vAlign w:val="bottom"/>
            <w:tcBorders>
              <w:bottom w:val="single" w:sz="8" w:color="auto"/>
            </w:tcBorders>
          </w:tcPr>
          <w:p>
            <w:pPr>
              <w:spacing w:after="0"/>
              <w:rPr>
                <w:sz w:val="24"/>
                <w:szCs w:val="24"/>
                <w:color w:val="auto"/>
              </w:rPr>
            </w:pPr>
          </w:p>
        </w:tc>
      </w:tr>
      <w:tr>
        <w:trPr>
          <w:trHeight w:val="214"/>
        </w:trPr>
        <w:tc>
          <w:tcPr>
            <w:tcW w:w="7320" w:type="dxa"/>
            <w:vAlign w:val="bottom"/>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7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provision</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expense</w:t>
            </w:r>
          </w:p>
        </w:tc>
        <w:tc>
          <w:tcPr>
            <w:tcW w:w="90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7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90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provision for income taxes was different from the amount computed using the federal statutory rate of 21% for the years ended December 31, 2023, 2022, and 2021, respectively, due to the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center"/>
              <w:ind w:left="51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14"/>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82"/>
        </w:trPr>
        <w:tc>
          <w:tcPr>
            <w:tcW w:w="7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 at federal statutory rate (21%)</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(123,429)</w:t>
            </w:r>
          </w:p>
        </w:tc>
      </w:tr>
      <w:tr>
        <w:trPr>
          <w:trHeight w:val="221"/>
        </w:trPr>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Hong Kong Rate Differential</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on convertible securities discount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w:t>
            </w:r>
          </w:p>
        </w:tc>
      </w:tr>
      <w:tr>
        <w:trPr>
          <w:trHeight w:val="221"/>
        </w:trPr>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162(m) Limitation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Warrant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13,905</w:t>
            </w:r>
          </w:p>
        </w:tc>
      </w:tr>
      <w:tr>
        <w:trPr>
          <w:trHeight w:val="221"/>
        </w:trPr>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Meals and entertainment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1"/>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(5,665)</w:t>
            </w:r>
          </w:p>
        </w:tc>
      </w:tr>
      <w:tr>
        <w:trPr>
          <w:trHeight w:val="221"/>
        </w:trPr>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Prior year true-up</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r>
      <w:tr>
        <w:trPr>
          <w:trHeight w:val="221"/>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Valuation allowance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27,376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112,661</w:t>
            </w:r>
          </w:p>
        </w:tc>
      </w:tr>
      <w:tr>
        <w:trPr>
          <w:trHeight w:val="23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6"/>
        </w:trPr>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Principal components of net deferred tax balances at December 31, 2023 and 2022, respectively, were as follows: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54"/>
        </w:trPr>
        <w:tc>
          <w:tcPr>
            <w:tcW w:w="8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4"/>
        </w:trPr>
        <w:tc>
          <w:tcPr>
            <w:tcW w:w="8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2"/>
        </w:trPr>
        <w:tc>
          <w:tcPr>
            <w:tcW w:w="8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5"/>
                <w:szCs w:val="15"/>
                <w:color w:val="auto"/>
              </w:rPr>
            </w:pPr>
          </w:p>
        </w:tc>
      </w:tr>
      <w:tr>
        <w:trPr>
          <w:trHeight w:val="22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1"/>
        </w:trPr>
        <w:tc>
          <w:tcPr>
            <w:tcW w:w="8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carryforward (NOL)</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320,416</w:t>
            </w:r>
          </w:p>
        </w:tc>
        <w:tc>
          <w:tcPr>
            <w:tcW w:w="10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294,335</w:t>
            </w:r>
          </w:p>
        </w:tc>
      </w:tr>
      <w:tr>
        <w:trPr>
          <w:trHeight w:val="22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56,743</w:t>
            </w:r>
          </w:p>
        </w:tc>
      </w:tr>
      <w:tr>
        <w:trPr>
          <w:trHeight w:val="221"/>
        </w:trPr>
        <w:tc>
          <w:tcPr>
            <w:tcW w:w="8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Premium deficiency reserve</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3,442</w:t>
            </w:r>
          </w:p>
        </w:tc>
      </w:tr>
      <w:tr>
        <w:trPr>
          <w:trHeight w:val="22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Unpaid claim reserve discounting</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r>
      <w:tr>
        <w:trPr>
          <w:trHeight w:val="221"/>
        </w:trPr>
        <w:tc>
          <w:tcPr>
            <w:tcW w:w="8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w:t>
            </w:r>
          </w:p>
        </w:tc>
      </w:tr>
      <w:tr>
        <w:trPr>
          <w:trHeight w:val="22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Fixed assets and intangible assets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w:t>
            </w:r>
          </w:p>
        </w:tc>
      </w:tr>
      <w:tr>
        <w:trPr>
          <w:trHeight w:val="221"/>
        </w:trPr>
        <w:tc>
          <w:tcPr>
            <w:tcW w:w="8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Accruals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9,927</w:t>
            </w:r>
          </w:p>
        </w:tc>
      </w:tr>
      <w:tr>
        <w:trPr>
          <w:trHeight w:val="22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 &amp; Intangible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4,692</w:t>
            </w:r>
          </w:p>
        </w:tc>
      </w:tr>
      <w:tr>
        <w:trPr>
          <w:trHeight w:val="214"/>
        </w:trPr>
        <w:tc>
          <w:tcPr>
            <w:tcW w:w="8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398,543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372,343</w:t>
            </w:r>
          </w:p>
        </w:tc>
      </w:tr>
      <w:tr>
        <w:trPr>
          <w:trHeight w:val="214"/>
        </w:trPr>
        <w:tc>
          <w:tcPr>
            <w:tcW w:w="8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(396,906)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(369,530)</w:t>
            </w:r>
          </w:p>
        </w:tc>
      </w:tr>
      <w:tr>
        <w:trPr>
          <w:trHeight w:val="214"/>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deferred income tax assets, net of valuation allowance</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r>
      <w:tr>
        <w:trPr>
          <w:trHeight w:val="227"/>
        </w:trPr>
        <w:tc>
          <w:tcPr>
            <w:tcW w:w="8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1"/>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1"/>
        </w:trPr>
        <w:tc>
          <w:tcPr>
            <w:tcW w:w="8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21"/>
        </w:trPr>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Nontaxable gain on deconsolidation of entity</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w:t>
            </w:r>
          </w:p>
        </w:tc>
      </w:tr>
      <w:tr>
        <w:trPr>
          <w:trHeight w:val="221"/>
        </w:trPr>
        <w:tc>
          <w:tcPr>
            <w:tcW w:w="8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4"/>
        </w:trPr>
        <w:tc>
          <w:tcPr>
            <w:tcW w:w="8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r>
      <w:tr>
        <w:trPr>
          <w:trHeight w:val="214"/>
        </w:trPr>
        <w:tc>
          <w:tcPr>
            <w:tcW w:w="8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deferred income tax assets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loss and tax credit carryforwards and protective tax deposits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At December 31, 2023 and 2022, the Company had a Federal net operating loss carryforward of $1,525.4 million and $1,401.6 million. Of the $1,525.4 million, Federal net operating loss carryforwards, $295.1 million begin to expire in 2033, and $1,230.3 million may be carried forward indefinitely, with the exception of net operating losses for the insurance companies. Under Internal Revenue Code Section 382, if a corporation undergoes and "ownership change", the corporation's ability to use its pre-change NOL. carryforwards and other pre-change tax attributes to offset its post-change income may be limited. The Company has completed a study through January 7, 2021 and concluded that ownership changes have occurred that may limit their utilization in future periods.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Future realization of the tax benefits of existing temporary differences and net operating loss carryforwards ultimately depends on the existence of sufficient taxable income within the carryforward period. At December 31, 2023 and 2022,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2023 and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have deposits admitted under Section 6603 of the Internal Revenue Code.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tax planning strategies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have any tax planning strategies that include the use of reinsurance and there are no deferred tax liabilities not recognized.</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 files income tax returns in the United States. The U.S. Internal Revenue Service ("IRS") is not currently conducting any income tax audits of the Company's returns. The Company's federal income tax returns filed related to tax years subsequent to 2020 remain subject to examination by the IRS. The Company is not aware of any material adjustments that may be proposed as a result of any ongoing or future examinations and does not have material uncertain tax positions reflected in the Consolidated Balance Sheets.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5" w:name="page116"/>
    <w:bookmarkEnd w:id="115"/>
    <w:p>
      <w:pPr>
        <w:jc w:val="both"/>
        <w:spacing w:after="0" w:line="251" w:lineRule="auto"/>
        <w:rPr>
          <w:sz w:val="20"/>
          <w:szCs w:val="20"/>
          <w:color w:val="auto"/>
        </w:rPr>
      </w:pPr>
      <w:r>
        <w:rPr>
          <w:rFonts w:ascii="Times New Roman" w:cs="Times New Roman" w:eastAsia="Times New Roman" w:hAnsi="Times New Roman"/>
          <w:sz w:val="17"/>
          <w:szCs w:val="17"/>
          <w:color w:val="auto"/>
        </w:rPr>
        <w:t>On August 16, 2022, the U.S. enacted the Inflation Reduction Act of 2022 (the “IRA”), which contains a number of tax-related provisions, including a 15% corporate alternative minimum tax imposed on certain corporations that meet an income-based test, as well as a 1% nondeductible excise tax on certain stock repurchases. The Company is not subject to the alternative minimum tax in 2023 based on the income-based test and it will continue to evaluate the IRA’s impact as further information becomes available.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Net Loss per Share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2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Basic and diluted net loss per share attributable to Class A common stockholders and Class B common stockholders (collectively, "Common Stockholders") for the years indicated was calculated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7"/>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8"/>
        </w:trPr>
        <w:tc>
          <w:tcPr>
            <w:tcW w:w="7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24"/>
        </w:trPr>
        <w:tc>
          <w:tcPr>
            <w:tcW w:w="7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(in thousands,</w:t>
            </w: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83"/>
        </w:trPr>
        <w:tc>
          <w:tcPr>
            <w:tcW w:w="7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7"/>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except per share and share amounts)</w:t>
            </w:r>
          </w:p>
        </w:tc>
      </w:tr>
      <w:tr>
        <w:trPr>
          <w:trHeight w:val="36"/>
        </w:trPr>
        <w:tc>
          <w:tcPr>
            <w:tcW w:w="7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(587,756)</w:t>
            </w:r>
          </w:p>
        </w:tc>
      </w:tr>
      <w:tr>
        <w:trPr>
          <w:trHeight w:val="221"/>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(339,567)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(587,756)</w:t>
            </w:r>
          </w:p>
        </w:tc>
      </w:tr>
      <w:tr>
        <w:trPr>
          <w:trHeight w:val="22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weighted average number of common shares and common share equivalents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482,176,127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476,244,262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412,922,424</w:t>
            </w:r>
          </w:p>
        </w:tc>
      </w:tr>
      <w:tr>
        <w:trPr>
          <w:trHeight w:val="214"/>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0"/>
        </w:trPr>
        <w:tc>
          <w:tcPr>
            <w:tcW w:w="7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Because the Company had a Net loss during the years ended December 31, 2023, 2022, and 2021 the Company's potentially dilutive securities, which include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20" w:type="dxa"/>
            <w:vAlign w:val="bottom"/>
          </w:tcPr>
          <w:p>
            <w:pPr>
              <w:spacing w:after="0"/>
              <w:rPr>
                <w:sz w:val="19"/>
                <w:szCs w:val="19"/>
                <w:color w:val="auto"/>
              </w:rPr>
            </w:pPr>
          </w:p>
        </w:tc>
        <w:tc>
          <w:tcPr>
            <w:tcW w:w="3000" w:type="dxa"/>
            <w:vAlign w:val="bottom"/>
            <w:gridSpan w:val="5"/>
          </w:tcPr>
          <w:p>
            <w:pPr>
              <w:ind w:left="9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920" w:type="dxa"/>
            <w:vAlign w:val="bottom"/>
          </w:tcPr>
          <w:p>
            <w:pPr>
              <w:spacing w:after="0"/>
              <w:rPr>
                <w:sz w:val="19"/>
                <w:szCs w:val="19"/>
                <w:color w:val="auto"/>
              </w:rPr>
            </w:pPr>
          </w:p>
        </w:tc>
      </w:tr>
      <w:tr>
        <w:trPr>
          <w:trHeight w:val="228"/>
        </w:trPr>
        <w:tc>
          <w:tcPr>
            <w:tcW w:w="73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4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24,994,653</w:t>
            </w: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26,996,507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32,879,626</w:t>
            </w:r>
          </w:p>
        </w:tc>
      </w:tr>
      <w:tr>
        <w:trPr>
          <w:trHeight w:val="221"/>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56,928,405</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49,617,199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21,294,841</w:t>
            </w:r>
          </w:p>
        </w:tc>
      </w:tr>
      <w:tr>
        <w:trPr>
          <w:trHeight w:val="22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32,131,532</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29,945,235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27,818,524</w:t>
            </w:r>
          </w:p>
        </w:tc>
      </w:tr>
      <w:tr>
        <w:trPr>
          <w:trHeight w:val="214"/>
        </w:trPr>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anti-dilutive shares excluded from computation of net loss per share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114,054,590</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106,558,941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81,992,991</w:t>
            </w:r>
          </w:p>
        </w:tc>
      </w:tr>
      <w:tr>
        <w:trPr>
          <w:trHeight w:val="20"/>
        </w:trPr>
        <w:tc>
          <w:tcPr>
            <w:tcW w:w="7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Commitments and Contingencies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Actions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December 31, 2023, and December 31, 2022, respectively, there were no material known contingent liabilities arising outside the normal course of business other than as set forth below. In accordance with ASC No. 450-20, “Loss Contingencies”, we will record accruals for loss contingencies when it is probable that a liability has been incurred and the amount of loss can be reasonably estimated.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i w:val="1"/>
          <w:iCs w:val="1"/>
          <w:color w:val="auto"/>
        </w:rPr>
        <w:t>Securities Class Actions, Derivative Litigation and Investigations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Since February 2021, the Company has received subpoenas from the SEC related to certain disclosures and aspects of our business as well as certain matters described in an article issued on February 4, 2021, by Hindenburg Research LLC (the "Hindenburg Article"). The Company is cooperating with the SEC's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 On February 14, 2023, the court granted the plaintiffs' motion for class certification.</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21, 2023, the parties to the securities class action entered into a memorandum of understanding providing for the settlement of the action. The Court approved the settlement and dismissed the action with prejudice on October 3, 2023. Under the settlement, the class will receive $22 million dollars (less an award of fees and expenses to the plaintiffs’ counsel), and the defendants (including the Company) received customary releases. The Company used $19.5 million in insurance proceeds to fund the settlement. On June 29, 2023, the Company deposited $7.7 million, in an escrow account for settlement purposes, and on July 3, 2023, it deposited the remaining $14.3 million. The Company previously filed a lawsuit in Delaware state court against certain of its insurers for full payment of its liabilities related to this securities litigation. The Company intends to oppose any efforts by the carrier defendants to recoup insurance proceeds that they have advanced to date.</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Shareholder derivative actions parallel to the securities class action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17" w:name="page118"/>
    <w:bookmarkEnd w:id="117"/>
    <w:p>
      <w:pPr>
        <w:jc w:val="both"/>
        <w:spacing w:after="0" w:line="262" w:lineRule="auto"/>
        <w:rPr>
          <w:sz w:val="20"/>
          <w:szCs w:val="20"/>
          <w:color w:val="auto"/>
        </w:rPr>
      </w:pPr>
      <w:r>
        <w:rPr>
          <w:rFonts w:ascii="Times New Roman" w:cs="Times New Roman" w:eastAsia="Times New Roman" w:hAnsi="Times New Roman"/>
          <w:sz w:val="17"/>
          <w:szCs w:val="17"/>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On May 10, 2021, the Middle District of Tennessee shareholder derivative actions described above were consolidated under Sun v. Garipalli, et al., Case No. 3:21-cv-00311 (M.D. Tenn.) as lead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spacing w:after="0" w:line="17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21, 2023, the plaintiffs in the derivative lawsuits, on the one hand, and the Company, on the other hand, entered into a binding memorandum of understanding providing for the settlement of the derivative actions. On February 5, 2024, the parties executed a stipulation of settlement which, subject to final court approval, will provide the defendants in the derivative lawsuits with customary releases and will require the Company to implement a suite of corporate governance enhancements. The settlement does not involve any monetary payment, other than payment of an award of fees and expenses to plaintiffs’ counsel in the amount of $2,500,000, which amount is subject to court approval.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Non-Insurance</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April 2021, the Company began participating in the Global and Professional Direct Contracting of the Centers for Medicare &amp; Medicaid Services ("CMS"), which utilizes a structured model intended to reduce expenditures and preserve or enhance quality of care for people with Medicare fee-for-service ("FFS"). CMS rebranded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assumes the responsibility of guaranteeing the performance of its care network. The ACO REACH Model is intended to reduce administrative burden and support a focus on complex, chronically ill patients. On December 1, 2023, the Company notified CMS that it will no longer participate as a REACH ACO in connection with the 2024 performance year. The Company’s exit from the ACO REACH Program was made after the Company determined that it is in the Company's best interest to fully exit the ACO REACH Program, and follows its November 2022 announcement of a strategic reduction in the number of ACO REACH participating physicians in 2023. The Company's operations in connection with the ACO REACH Model is included in the Non-Insurance operating segment. See Note 21 (Operating Segments) for additional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t>Key components of the financial agreement for Non-Insurance include:</w:t>
      </w:r>
    </w:p>
    <w:p>
      <w:pPr>
        <w:spacing w:after="0" w:line="218" w:lineRule="exact"/>
        <w:rPr>
          <w:sz w:val="20"/>
          <w:szCs w:val="20"/>
          <w:color w:val="auto"/>
        </w:rPr>
      </w:pPr>
    </w:p>
    <w:p>
      <w:pPr>
        <w:jc w:val="both"/>
        <w:ind w:left="620" w:hanging="305"/>
        <w:spacing w:after="0" w:line="264"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Performance Year Benchmark. </w:t>
      </w:r>
      <w:r>
        <w:rPr>
          <w:rFonts w:ascii="Times New Roman" w:cs="Times New Roman" w:eastAsia="Times New Roman" w:hAnsi="Times New Roman"/>
          <w:sz w:val="17"/>
          <w:szCs w:val="17"/>
          <w:color w:val="auto"/>
        </w:rPr>
        <w:t>The target amount for Medicare expenditures on covered items and services (Medicare Part A and B) furnished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Accountable Care Organization's ("ACO's") aligned beneficiaries during a performance year. The Performance Year Benchmark will be compared to the ACO's performance year expenditures. This comparison will be used to calculate shared savings and shared losses. The Performance Year Benchmark is established at the beginning of the performance year utilizing prospective trend estimates and is subject to retrospective trend adjustments, if warranted, before the Financial Reconciliation.</w:t>
      </w:r>
    </w:p>
    <w:p>
      <w:pPr>
        <w:spacing w:after="0" w:line="196"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Performance Year. </w:t>
      </w:r>
      <w:r>
        <w:rPr>
          <w:rFonts w:ascii="Times New Roman" w:cs="Times New Roman" w:eastAsia="Times New Roman" w:hAnsi="Times New Roman"/>
          <w:sz w:val="17"/>
          <w:szCs w:val="17"/>
          <w:color w:val="auto"/>
        </w:rPr>
        <w:t>A calendar year except for the commencement year, which began on April 1, 2021, and ended on December 31, 2021.</w:t>
      </w:r>
    </w:p>
    <w:p>
      <w:pPr>
        <w:spacing w:after="0" w:line="245" w:lineRule="exact"/>
        <w:rPr>
          <w:rFonts w:ascii="Times New Roman" w:cs="Times New Roman" w:eastAsia="Times New Roman" w:hAnsi="Times New Roman"/>
          <w:sz w:val="17"/>
          <w:szCs w:val="17"/>
          <w:color w:val="auto"/>
        </w:rPr>
      </w:pPr>
    </w:p>
    <w:p>
      <w:pPr>
        <w:ind w:left="620" w:hanging="305"/>
        <w:spacing w:after="0" w:line="295" w:lineRule="auto"/>
        <w:tabs>
          <w:tab w:leader="none" w:pos="616"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Risk-Sharing Arrangements. </w:t>
      </w:r>
      <w:r>
        <w:rPr>
          <w:rFonts w:ascii="Times New Roman" w:cs="Times New Roman" w:eastAsia="Times New Roman" w:hAnsi="Times New Roman"/>
          <w:sz w:val="17"/>
          <w:szCs w:val="17"/>
          <w:color w:val="auto"/>
        </w:rPr>
        <w:t>Used in determining the percent of savings and losses that ACOs are eligible to receive as shared savings or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to repay as shared losses.</w:t>
      </w:r>
    </w:p>
    <w:p>
      <w:pPr>
        <w:spacing w:after="0" w:line="168" w:lineRule="exact"/>
        <w:rPr>
          <w:rFonts w:ascii="Times New Roman" w:cs="Times New Roman" w:eastAsia="Times New Roman" w:hAnsi="Times New Roman"/>
          <w:sz w:val="17"/>
          <w:szCs w:val="17"/>
          <w:b w:val="1"/>
          <w:bCs w:val="1"/>
          <w:color w:val="auto"/>
        </w:rPr>
      </w:pPr>
    </w:p>
    <w:p>
      <w:pPr>
        <w:jc w:val="both"/>
        <w:ind w:left="620" w:hanging="305"/>
        <w:spacing w:after="0" w:line="275"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Financial Reconciliation. </w:t>
      </w:r>
      <w:r>
        <w:rPr>
          <w:rFonts w:ascii="Times New Roman" w:cs="Times New Roman" w:eastAsia="Times New Roman" w:hAnsi="Times New Roman"/>
          <w:sz w:val="17"/>
          <w:szCs w:val="17"/>
          <w:color w:val="auto"/>
        </w:rPr>
        <w:t>The process by which CMS determines shared savings or shared losses by comparing the calculated total benchmark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expenditure for a given ACO's aligned population to the actual expenditures of that ACO's aligned beneficiaries over the course of a performance year that includes various risk-mitigation options such as stop-loss reinsurance and risk corridors.</w:t>
      </w:r>
    </w:p>
    <w:p>
      <w:pPr>
        <w:spacing w:after="0" w:line="184" w:lineRule="exact"/>
        <w:rPr>
          <w:rFonts w:ascii="Times New Roman" w:cs="Times New Roman" w:eastAsia="Times New Roman" w:hAnsi="Times New Roman"/>
          <w:sz w:val="17"/>
          <w:szCs w:val="17"/>
          <w:color w:val="auto"/>
        </w:rPr>
      </w:pPr>
    </w:p>
    <w:p>
      <w:pPr>
        <w:jc w:val="both"/>
        <w:ind w:left="620" w:hanging="305"/>
        <w:spacing w:after="0" w:line="268"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Risk-Mitigation Options. </w:t>
      </w:r>
      <w:r>
        <w:rPr>
          <w:rFonts w:ascii="Times New Roman" w:cs="Times New Roman" w:eastAsia="Times New Roman" w:hAnsi="Times New Roman"/>
          <w:sz w:val="17"/>
          <w:szCs w:val="17"/>
          <w:color w:val="auto"/>
        </w:rPr>
        <w:t>ACOs may elect a "stop-loss arrangement" each performance year, which is designed to reduce the financial uncertainty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associated with high-cost expenditures of individual beneficiaries. The Company has elected participation in the program for the current performance year. Additionally, CMS has created a mandatory risk corridor program that allocates the ACO's shared savings and losses in bands of percentage thresholds, after a deviation of greater than 25% of the Performance Year Benchmark.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Guarantees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The tables below include the financial statement impacts of the performance guarantee:</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80"/>
        </w:trPr>
        <w:tc>
          <w:tcPr>
            <w:tcW w:w="8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4"/>
        </w:trPr>
        <w:tc>
          <w:tcPr>
            <w:tcW w:w="8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2"/>
        </w:trPr>
        <w:tc>
          <w:tcPr>
            <w:tcW w:w="8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40" w:type="dxa"/>
            <w:vAlign w:val="bottom"/>
          </w:tcPr>
          <w:p>
            <w:pPr>
              <w:spacing w:after="0"/>
              <w:rPr>
                <w:sz w:val="15"/>
                <w:szCs w:val="15"/>
                <w:color w:val="auto"/>
              </w:rPr>
            </w:pPr>
          </w:p>
        </w:tc>
      </w:tr>
      <w:tr>
        <w:trPr>
          <w:trHeight w:val="226"/>
        </w:trPr>
        <w:tc>
          <w:tcPr>
            <w:tcW w:w="86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7"/>
                <w:szCs w:val="17"/>
                <w:color w:val="auto"/>
              </w:rPr>
              <w:t xml:space="preserve">Non-Insurance performance year obligation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15,568</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73,844</w:t>
            </w:r>
          </w:p>
        </w:tc>
      </w:tr>
      <w:tr>
        <w:trPr>
          <w:trHeight w:val="236"/>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This obligation represents the consideration due to providers, net of the shared savings or loss for the period and amortization of the liability.</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29"/>
        </w:trPr>
        <w:tc>
          <w:tcPr>
            <w:tcW w:w="8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14"/>
        </w:trPr>
        <w:tc>
          <w:tcPr>
            <w:tcW w:w="8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2"/>
        </w:trPr>
        <w:tc>
          <w:tcPr>
            <w:tcW w:w="8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40" w:type="dxa"/>
            <w:vAlign w:val="bottom"/>
          </w:tcPr>
          <w:p>
            <w:pPr>
              <w:spacing w:after="0"/>
              <w:rPr>
                <w:sz w:val="15"/>
                <w:szCs w:val="15"/>
                <w:color w:val="auto"/>
              </w:rPr>
            </w:pPr>
          </w:p>
        </w:tc>
      </w:tr>
      <w:tr>
        <w:trPr>
          <w:trHeight w:val="22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the Non-Insurance performance year receivable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(751,362)</w:t>
            </w:r>
          </w:p>
        </w:tc>
        <w:tc>
          <w:tcPr>
            <w:tcW w:w="4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(2,385,116)</w:t>
            </w:r>
          </w:p>
        </w:tc>
      </w:tr>
      <w:tr>
        <w:trPr>
          <w:trHeight w:val="221"/>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the Non-Insurance performance year obligation</w:t>
            </w:r>
          </w:p>
        </w:tc>
        <w:tc>
          <w:tcPr>
            <w:tcW w:w="22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751,362</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2,385,116</w:t>
            </w:r>
          </w:p>
        </w:tc>
      </w:tr>
      <w:tr>
        <w:trPr>
          <w:trHeight w:val="143"/>
        </w:trPr>
        <w:tc>
          <w:tcPr>
            <w:tcW w:w="8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26"/>
        </w:trPr>
        <w:tc>
          <w:tcPr>
            <w:tcW w:w="8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Non-Insurance revenue</w:t>
            </w:r>
          </w:p>
        </w:tc>
        <w:tc>
          <w:tcPr>
            <w:tcW w:w="22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773,177</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2,380,135</w:t>
            </w:r>
          </w:p>
        </w:tc>
      </w:tr>
      <w:tr>
        <w:trPr>
          <w:trHeight w:val="695"/>
        </w:trPr>
        <w:tc>
          <w:tcPr>
            <w:tcW w:w="8660" w:type="dxa"/>
            <w:vAlign w:val="bottom"/>
          </w:tcPr>
          <w:p>
            <w:pPr>
              <w:ind w:left="5500"/>
              <w:spacing w:after="0"/>
              <w:rPr>
                <w:sz w:val="20"/>
                <w:szCs w:val="20"/>
                <w:color w:val="auto"/>
              </w:rPr>
            </w:pPr>
            <w:r>
              <w:rPr>
                <w:rFonts w:ascii="Times New Roman" w:cs="Times New Roman" w:eastAsia="Times New Roman" w:hAnsi="Times New Roman"/>
                <w:sz w:val="17"/>
                <w:szCs w:val="17"/>
                <w:color w:val="auto"/>
              </w:rPr>
              <w:t>118</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0"/>
        </w:trPr>
        <w:tc>
          <w:tcPr>
            <w:tcW w:w="8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21. Operating Segments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manages its operations based on two reportable operating segments: Insurance and Non-Insurance. Through the Insurance segment, the Company provides PPO and HMO plans to Medicare Advantage members in several states. The Company's Non-Insurance segment consists of its operations in connection with its participation in CMS' Global and Professional Direct Contracting and ACO REACH programs. All other clinical services and all corporate overhead not included in the Insurance or Non-Insurance segments are included within Corporate/Other. These segment groupings are consistent with information used by the Chief Executive Officer, the Company's CODM, to assess performance and allocate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operations of the Company are organized into the following two segments:</w:t>
      </w:r>
    </w:p>
    <w:p>
      <w:pPr>
        <w:spacing w:after="0" w:line="244" w:lineRule="exact"/>
        <w:rPr>
          <w:sz w:val="20"/>
          <w:szCs w:val="20"/>
          <w:color w:val="auto"/>
        </w:rPr>
      </w:pPr>
    </w:p>
    <w:p>
      <w:pPr>
        <w:ind w:left="620" w:hanging="305"/>
        <w:spacing w:after="0" w:line="295"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Insurance Segment </w:t>
      </w:r>
      <w:r>
        <w:rPr>
          <w:rFonts w:ascii="Times New Roman" w:cs="Times New Roman" w:eastAsia="Times New Roman" w:hAnsi="Times New Roman"/>
          <w:sz w:val="17"/>
          <w:szCs w:val="17"/>
          <w:color w:val="auto"/>
        </w:rPr>
        <w:t>includes operations related to the Company's MA plans, which generally provide access to a wide network of primary care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providers, specialists, and hospitals.</w:t>
      </w:r>
    </w:p>
    <w:p>
      <w:pPr>
        <w:spacing w:after="0" w:line="168" w:lineRule="exact"/>
        <w:rPr>
          <w:rFonts w:ascii="Times New Roman" w:cs="Times New Roman" w:eastAsia="Times New Roman" w:hAnsi="Times New Roman"/>
          <w:sz w:val="17"/>
          <w:szCs w:val="17"/>
          <w:color w:val="auto"/>
        </w:rPr>
      </w:pPr>
    </w:p>
    <w:p>
      <w:pPr>
        <w:jc w:val="both"/>
        <w:ind w:left="620" w:hanging="305"/>
        <w:spacing w:after="0" w:line="264"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Non-Insurance Segment </w:t>
      </w:r>
      <w:r>
        <w:rPr>
          <w:rFonts w:ascii="Times New Roman" w:cs="Times New Roman" w:eastAsia="Times New Roman" w:hAnsi="Times New Roman"/>
          <w:sz w:val="17"/>
          <w:szCs w:val="17"/>
          <w:color w:val="auto"/>
        </w:rPr>
        <w:t>includes the Company's operations relating to CMS' ACO REACH Model, which provides options aimed at reducing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expenditures and preserving or enhancing quality of care for beneficiaries. On December 1, 2023, the Company notified CMS that it will no longer participate as a REACH ACO in connection with the 2024 performance year. The Company’s exit from the ACO REACH Program was made after the Company determined that it is in the Company's best interest to fully exit the ACO REACH Program, and follows its November 2022 announcement of a strategic reduction in the number of ACO REACH participating physicians in 2023.</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Corporate/Other includes other clinical services not included in Medicare Advantage and Global and Professional Direct Contracting Model and all other corporate overhead. Clinical services is comprised of Clover Home Care and other clinical services that are offered to eligible beneficiaries.</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During the first quarter of 2022, the Company updated the names of its Medicare Advantage and Global and Professional Direct Contracting Model segments to the Insurance and Non-Insurance segments, respectively. The Company believes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Company's results by operating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13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80" w:type="dxa"/>
            <w:vAlign w:val="bottom"/>
          </w:tcPr>
          <w:p>
            <w:pPr>
              <w:spacing w:after="0"/>
              <w:rPr>
                <w:sz w:val="16"/>
                <w:szCs w:val="16"/>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Non-Insurance</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Corporate/Other</w:t>
            </w: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34"/>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1"/>
        </w:trPr>
        <w:tc>
          <w:tcPr>
            <w:tcW w:w="4060" w:type="dxa"/>
            <w:vAlign w:val="bottom"/>
            <w:vMerge w:val="continue"/>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Premiums earned, net (net of ceded premiums of $444)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1,235,769</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Non-Insurance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773,177</w:t>
            </w:r>
          </w:p>
        </w:tc>
        <w:tc>
          <w:tcPr>
            <w:tcW w:w="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59,569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(50,398)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revenues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155,089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(155,089)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medical claims incurred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1,003,683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771,798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1,776,388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profit (loss)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242,422</w:t>
            </w:r>
          </w:p>
        </w:tc>
        <w:tc>
          <w:tcPr>
            <w:tcW w:w="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6,646</w:t>
            </w:r>
          </w:p>
        </w:tc>
        <w:tc>
          <w:tcPr>
            <w:tcW w:w="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197,226</w:t>
            </w:r>
          </w:p>
        </w:tc>
        <w:tc>
          <w:tcPr>
            <w:tcW w:w="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(188,962)</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40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401,812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71,878</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873,971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(776,990)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8"/>
        </w:trPr>
        <w:tc>
          <w:tcPr>
            <w:tcW w:w="4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gridSpan w:val="2"/>
          </w:tcPr>
          <w:p>
            <w:pPr>
              <w:jc w:val="right"/>
              <w:ind w:right="1013"/>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7"/>
                <w:szCs w:val="17"/>
                <w:color w:val="auto"/>
              </w:rPr>
            </w:pPr>
          </w:p>
        </w:tc>
        <w:tc>
          <w:tcPr>
            <w:tcW w:w="14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Insurance</w:t>
            </w: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Non-Insurance</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Corporate/Other</w:t>
            </w: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Eliminations</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234"/>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440" w:type="dxa"/>
            <w:vAlign w:val="bottom"/>
            <w:tcBorders>
              <w:bottom w:val="single" w:sz="8" w:color="auto"/>
            </w:tcBorders>
            <w:gridSpan w:val="2"/>
            <w:vMerge w:val="continue"/>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1460" w:type="dxa"/>
            <w:vAlign w:val="bottom"/>
            <w:tcBorders>
              <w:bottom w:val="single" w:sz="8" w:color="auto"/>
            </w:tcBorders>
            <w:gridSpan w:val="2"/>
            <w:vMerge w:val="continue"/>
          </w:tcPr>
          <w:p>
            <w:pPr>
              <w:spacing w:after="0"/>
              <w:rPr>
                <w:sz w:val="20"/>
                <w:szCs w:val="20"/>
                <w:color w:val="auto"/>
              </w:rPr>
            </w:pPr>
          </w:p>
        </w:tc>
        <w:tc>
          <w:tcPr>
            <w:tcW w:w="1460" w:type="dxa"/>
            <w:vAlign w:val="bottom"/>
            <w:tcBorders>
              <w:bottom w:val="single" w:sz="8" w:color="auto"/>
            </w:tcBorders>
            <w:gridSpan w:val="2"/>
            <w:vMerge w:val="continue"/>
          </w:tcPr>
          <w:p>
            <w:pPr>
              <w:spacing w:after="0"/>
              <w:rPr>
                <w:sz w:val="20"/>
                <w:szCs w:val="20"/>
                <w:color w:val="auto"/>
              </w:rPr>
            </w:pPr>
          </w:p>
        </w:tc>
        <w:tc>
          <w:tcPr>
            <w:tcW w:w="13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1"/>
        </w:trPr>
        <w:tc>
          <w:tcPr>
            <w:tcW w:w="40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Premiums earned, net (net of ceded premiums of $470)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1,084,869</w:t>
            </w:r>
          </w:p>
        </w:tc>
        <w:tc>
          <w:tcPr>
            <w:tcW w:w="0" w:type="dxa"/>
            <w:vAlign w:val="bottom"/>
          </w:tcPr>
          <w:p>
            <w:pPr>
              <w:spacing w:after="0"/>
              <w:rPr>
                <w:sz w:val="1"/>
                <w:szCs w:val="1"/>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Non-Insurance revenue</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2,380,135</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74,610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11,683</w:t>
            </w:r>
          </w:p>
        </w:tc>
        <w:tc>
          <w:tcPr>
            <w:tcW w:w="0" w:type="dxa"/>
            <w:vAlign w:val="bottom"/>
          </w:tcPr>
          <w:p>
            <w:pPr>
              <w:spacing w:after="0"/>
              <w:rPr>
                <w:sz w:val="1"/>
                <w:szCs w:val="1"/>
                <w:color w:val="auto"/>
              </w:rPr>
            </w:pPr>
          </w:p>
        </w:tc>
      </w:tr>
      <w:tr>
        <w:trPr>
          <w:trHeight w:val="221"/>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Intersegment revenues</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108,249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(108,249)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medical claims incurred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996,410</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2,460,879</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9,042</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3,453,952</w:t>
            </w:r>
          </w:p>
        </w:tc>
        <w:tc>
          <w:tcPr>
            <w:tcW w:w="0" w:type="dxa"/>
            <w:vAlign w:val="bottom"/>
          </w:tcPr>
          <w:p>
            <w:pPr>
              <w:spacing w:after="0"/>
              <w:rPr>
                <w:sz w:val="1"/>
                <w:szCs w:val="1"/>
                <w:color w:val="auto"/>
              </w:rPr>
            </w:pPr>
          </w:p>
        </w:tc>
      </w:tr>
      <w:tr>
        <w:trPr>
          <w:trHeight w:val="214"/>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profit (loss)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91,036</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(79,433)</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173,817</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(162,685)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22,735</w:t>
            </w:r>
          </w:p>
        </w:tc>
        <w:tc>
          <w:tcPr>
            <w:tcW w:w="0" w:type="dxa"/>
            <w:vAlign w:val="bottom"/>
          </w:tcPr>
          <w:p>
            <w:pPr>
              <w:spacing w:after="0"/>
              <w:rPr>
                <w:sz w:val="1"/>
                <w:szCs w:val="1"/>
                <w:color w:val="auto"/>
              </w:rPr>
            </w:pPr>
          </w:p>
        </w:tc>
      </w:tr>
      <w:tr>
        <w:trPr>
          <w:trHeight w:val="123"/>
        </w:trPr>
        <w:tc>
          <w:tcPr>
            <w:tcW w:w="40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354,748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156,754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957,483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(660,365)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808,620</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A reconciliation of the reportable segments' gross profit to the Net loss included in the audited Consolidated Statements of Operations and Comprehensive Loss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33"/>
        </w:trPr>
        <w:tc>
          <w:tcPr>
            <w:tcW w:w="8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89"/>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257,332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22,735</w:t>
            </w:r>
          </w:p>
        </w:tc>
      </w:tr>
      <w:tr>
        <w:trPr>
          <w:trHeight w:val="143"/>
        </w:trPr>
        <w:tc>
          <w:tcPr>
            <w:tcW w:w="8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Salaries and benefits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257,157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278,725</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187,571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207,917</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of goodwill and other intangible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Premium deficiency reserve benefit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(93,517)</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costs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notes and securities discounts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on investment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(9,217)</w:t>
            </w: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debt extinguishment on note payable</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(23,326)</w:t>
            </w:r>
          </w:p>
        </w:tc>
      </w:tr>
      <w:tr>
        <w:trPr>
          <w:trHeight w:val="239"/>
        </w:trPr>
        <w:tc>
          <w:tcPr>
            <w:tcW w:w="8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(339,567)</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Dividend Restrictions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December 31, 2023 and December 31, 2022, neither of the regulated insurance subsidiaries had been authorized nor paid any dividends.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color w:val="auto"/>
        </w:rPr>
        <w:t>23. Restructuring Costs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On April 17, 2023, the Company announced it would implement certain business transformation initiatives, including an agreement to move its core plan operations to UST HealthProof’s (“UST HealthProof”)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7"/>
          <w:szCs w:val="17"/>
          <w:i w:val="1"/>
          <w:iCs w:val="1"/>
          <w:color w:val="auto"/>
        </w:rPr>
        <w:t>Exit or Disposal Cost Obligations.</w:t>
      </w:r>
      <w:r>
        <w:rPr>
          <w:rFonts w:ascii="Times New Roman" w:cs="Times New Roman" w:eastAsia="Times New Roman" w:hAnsi="Times New Roman"/>
          <w:sz w:val="17"/>
          <w:szCs w:val="17"/>
          <w:color w:val="auto"/>
        </w:rPr>
        <w:t xml:space="preserve"> For those costs determined to be one-time termination benefits the Company established a liability for the restructuring related expenses when the plan was established, the remaining costs will be expensed as incurred.</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and follows the Company's November 2022 announcement of a strategic reduction in the number of ACO REACH participating physicians in 2023. The Company incurred costs related to not continuing with the program, which consisted of employee termination benefits and are accounted for as exit and disposal costs and recorded pursuant to ASC 420, </w:t>
      </w:r>
      <w:r>
        <w:rPr>
          <w:rFonts w:ascii="Times New Roman" w:cs="Times New Roman" w:eastAsia="Times New Roman" w:hAnsi="Times New Roman"/>
          <w:sz w:val="17"/>
          <w:szCs w:val="17"/>
          <w:i w:val="1"/>
          <w:iCs w:val="1"/>
          <w:color w:val="auto"/>
        </w:rPr>
        <w:t>Exit or Disposal Cost Obligations.</w:t>
      </w:r>
      <w:r>
        <w:rPr>
          <w:rFonts w:ascii="Times New Roman" w:cs="Times New Roman" w:eastAsia="Times New Roman" w:hAnsi="Times New Roman"/>
          <w:sz w:val="17"/>
          <w:szCs w:val="17"/>
          <w:color w:val="auto"/>
        </w:rPr>
        <w:t xml:space="preserve"> For those costs determined to be one-time termination benefits the Company established a liability for the restructuring related expenses when the plan was established, the remaining costs will be expensed as incurred.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Restructuring costs are presented in the Company's audited Consolidated Statements of Operations and Comprehensive Loss, which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31"/>
        </w:trPr>
        <w:tc>
          <w:tcPr>
            <w:tcW w:w="9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6"/>
        </w:trPr>
        <w:tc>
          <w:tcPr>
            <w:tcW w:w="9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78"/>
        </w:trPr>
        <w:tc>
          <w:tcPr>
            <w:tcW w:w="9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3"/>
        </w:trPr>
        <w:tc>
          <w:tcPr>
            <w:tcW w:w="9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1"/>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termination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4,905</w:t>
            </w:r>
          </w:p>
        </w:tc>
      </w:tr>
      <w:tr>
        <w:trPr>
          <w:trHeight w:val="221"/>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Vendor related costs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4,939</w:t>
            </w:r>
          </w:p>
        </w:tc>
      </w:tr>
      <w:tr>
        <w:trPr>
          <w:trHeight w:val="221"/>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4"/>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Restructuring costs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9,931</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UST HealthProof Transition</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2023, the liability for employee termination benefits was recorded in Accrued salaries and benefits and the liability for vendor related costs and other expenses were recorded in Accounts payable and accrued expenses in the Consolidated Balance Sheets. The liability recorded reflects the Company's best estimate, which may be revised in subsequent periods as the restructuring progresses. The restructuring costs are recorded within the Corporate/Other operating segment. In addition, the Company incurred costs related to software impairment. These costs are recognized within Depreciation and amortization in the audited Consolidated Statements of Operations and Comprehensive Loss, and total $0.1 million for the year ended December 31,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Employee</w:t>
            </w:r>
          </w:p>
        </w:tc>
        <w:tc>
          <w:tcPr>
            <w:tcW w:w="100" w:type="dxa"/>
            <w:vAlign w:val="bottom"/>
          </w:tcPr>
          <w:p>
            <w:pPr>
              <w:spacing w:after="0"/>
              <w:rPr>
                <w:sz w:val="16"/>
                <w:szCs w:val="16"/>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Vendor related</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7"/>
                <w:szCs w:val="17"/>
                <w:b w:val="1"/>
                <w:bCs w:val="1"/>
                <w:color w:val="auto"/>
              </w:rPr>
              <w:t>Termination</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Benefits</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costs</w:t>
            </w:r>
          </w:p>
        </w:tc>
        <w:tc>
          <w:tcPr>
            <w:tcW w:w="9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as of December 31, 2022</w:t>
            </w:r>
          </w:p>
        </w:tc>
        <w:tc>
          <w:tcPr>
            <w:tcW w:w="1020" w:type="dxa"/>
            <w:vAlign w:val="bottom"/>
            <w:gridSpan w:val="2"/>
            <w:shd w:val="clear" w:color="auto" w:fill="CCEEFF"/>
          </w:tcPr>
          <w:p>
            <w:pPr>
              <w:jc w:val="center"/>
              <w:ind w:left="65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9,821</w:t>
            </w: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payments</w:t>
            </w:r>
          </w:p>
        </w:tc>
        <w:tc>
          <w:tcPr>
            <w:tcW w:w="8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Liability as of December 31, 2023</w:t>
            </w: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5,171</w:t>
            </w:r>
          </w:p>
        </w:tc>
        <w:tc>
          <w:tcPr>
            <w:tcW w:w="0" w:type="dxa"/>
            <w:vAlign w:val="bottom"/>
          </w:tcPr>
          <w:p>
            <w:pPr>
              <w:spacing w:after="0"/>
              <w:rPr>
                <w:sz w:val="1"/>
                <w:szCs w:val="1"/>
                <w:color w:val="auto"/>
              </w:rPr>
            </w:pPr>
          </w:p>
        </w:tc>
      </w:tr>
      <w:tr>
        <w:trPr>
          <w:trHeight w:val="23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cumulative costs incurred as of December 31, 2023</w:t>
            </w: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740" w:type="dxa"/>
            <w:vAlign w:val="bottom"/>
          </w:tcPr>
          <w:p>
            <w:pPr>
              <w:spacing w:after="0"/>
              <w:rPr>
                <w:sz w:val="24"/>
                <w:szCs w:val="24"/>
                <w:color w:val="auto"/>
              </w:rPr>
            </w:pPr>
          </w:p>
        </w:tc>
        <w:tc>
          <w:tcPr>
            <w:tcW w:w="1020" w:type="dxa"/>
            <w:vAlign w:val="bottom"/>
            <w:gridSpan w:val="2"/>
          </w:tcPr>
          <w:p>
            <w:pPr>
              <w:jc w:val="center"/>
              <w:ind w:left="673"/>
              <w:spacing w:after="0"/>
              <w:rPr>
                <w:sz w:val="20"/>
                <w:szCs w:val="20"/>
                <w:color w:val="auto"/>
              </w:rPr>
            </w:pPr>
            <w:r>
              <w:rPr>
                <w:rFonts w:ascii="Times New Roman" w:cs="Times New Roman" w:eastAsia="Times New Roman" w:hAnsi="Times New Roman"/>
                <w:sz w:val="17"/>
                <w:szCs w:val="17"/>
                <w:color w:val="auto"/>
              </w:rPr>
              <w:t>121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7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i w:val="1"/>
          <w:iCs w:val="1"/>
          <w:color w:val="auto"/>
        </w:rPr>
        <w:t>ACO REACH</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2023, the liability for employee termination benefits was recorded in Accrued salaries and benefits in the Consolidated Balance Sheets. The liability recorded reflects the Company's best estimate, which may be revised in subsequent periods as the restructuring progresses. The restructuring costs are recorded within the Non-Insurance segment. In addition, the Company incurred costs related to software impairment. These costs are recognized within Depreciation and amortization in the audited Consolidated Statement of Operations and Comprehensive Loss, and total $0.1 million for the year ended December 31,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Employee</w:t>
            </w:r>
          </w:p>
        </w:tc>
        <w:tc>
          <w:tcPr>
            <w:tcW w:w="0" w:type="dxa"/>
            <w:vAlign w:val="bottom"/>
          </w:tcPr>
          <w:p>
            <w:pPr>
              <w:spacing w:after="0"/>
              <w:rPr>
                <w:sz w:val="1"/>
                <w:szCs w:val="1"/>
                <w:color w:val="auto"/>
              </w:rPr>
            </w:pPr>
          </w:p>
        </w:tc>
      </w:tr>
      <w:tr>
        <w:trPr>
          <w:trHeight w:val="174"/>
        </w:trPr>
        <w:tc>
          <w:tcPr>
            <w:tcW w:w="9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5"/>
              <w:spacing w:after="0" w:line="174" w:lineRule="exact"/>
              <w:rPr>
                <w:sz w:val="20"/>
                <w:szCs w:val="20"/>
                <w:color w:val="auto"/>
              </w:rPr>
            </w:pPr>
            <w:r>
              <w:rPr>
                <w:rFonts w:ascii="Times New Roman" w:cs="Times New Roman" w:eastAsia="Times New Roman" w:hAnsi="Times New Roman"/>
                <w:sz w:val="17"/>
                <w:szCs w:val="17"/>
                <w:b w:val="1"/>
                <w:bCs w:val="1"/>
                <w:color w:val="auto"/>
              </w:rPr>
              <w:t>Termination</w:t>
            </w:r>
          </w:p>
        </w:tc>
        <w:tc>
          <w:tcPr>
            <w:tcW w:w="0" w:type="dxa"/>
            <w:vAlign w:val="bottom"/>
          </w:tcPr>
          <w:p>
            <w:pPr>
              <w:spacing w:after="0"/>
              <w:rPr>
                <w:sz w:val="1"/>
                <w:szCs w:val="1"/>
                <w:color w:val="auto"/>
              </w:rPr>
            </w:pPr>
          </w:p>
        </w:tc>
      </w:tr>
      <w:tr>
        <w:trPr>
          <w:trHeight w:val="228"/>
        </w:trPr>
        <w:tc>
          <w:tcPr>
            <w:tcW w:w="9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Benefits</w:t>
            </w:r>
          </w:p>
        </w:tc>
        <w:tc>
          <w:tcPr>
            <w:tcW w:w="0" w:type="dxa"/>
            <w:vAlign w:val="bottom"/>
          </w:tcPr>
          <w:p>
            <w:pPr>
              <w:spacing w:after="0"/>
              <w:rPr>
                <w:sz w:val="1"/>
                <w:szCs w:val="1"/>
                <w:color w:val="auto"/>
              </w:rPr>
            </w:pPr>
          </w:p>
        </w:tc>
      </w:tr>
      <w:tr>
        <w:trPr>
          <w:trHeight w:val="178"/>
        </w:trPr>
        <w:tc>
          <w:tcPr>
            <w:tcW w:w="9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3"/>
        </w:trPr>
        <w:tc>
          <w:tcPr>
            <w:tcW w:w="9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as of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9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21"/>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Liability as of 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39"/>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cumulative costs incurred as of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24. Statutory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9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Applicable insurance department regulations require that the Company's regulated insurance subsidiaries prepare statutory financial statements in accordance with statutory accounting practices prescribed or permitted by the department of insurance of the respective state of domicile. These practices vary in some aspects from U.S. GAAP, with significant differences including that (a) certain assets are not included in statutory surplus, (b) certain statutory reserves are established by a direct charge to surplus, and (c) certain charges are reported as charges to capital and surplus, rather than as a component of net income.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regulated insurance subsidiaries are subject to certain Risk-Based Capital ("RBC") requirements specified by the National Association of Insurance Commissioners ("NAIC"). Under those requirements, the amount of capital and surplus maintained by the Company's regulated insurance subsidiaries is to be determined based on various risk factors, such as (a) asset quality, (b) asset and liability matching, (c) loss reserve adequacy, and other business factors. Regulatory compliance is determined by a ratio of the Company's regulatory total adjusted capital, as defined by the NAIC, to its authorized control level RBC, as defined by the NAIC. Generally, a ratio in excess of the regulatory threshold requires no corrective actions by the Company or regulators. At December 31, 2023 and 2022, the regulated insurance subsidiaries' capital and surplus of $187.4 million and $141.4 million, respectively, exceeded the minimum RBC requirements of approximately $113.7 million and $120.6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Regulatory Matters</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Company operates in a highly regulated environment. It is regulated by federal and state of New Jersey regulators. The Company's regulated insurance subsidiaries must be licensed by and are subject to regulation by New Jersey Department of Banking and Insurance, which requires periodic financial reports and enforces minimum capital and/or reserve requirements.</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laws and regulations governing the Company's business and interpretations of those laws and regulations are subject to frequent change. Legislative, administrative, and public policy changes to the Health Care Reform Law continue to be debated, and the Company cannot predict if the Health Care Reform Law will be further modified, repealed, or replaced. The broad latitude given to the agencies administering, interpreting and enforcing current and future regulations governing the Company's business could require the Company to change how it conducts its business, restrict revenue and enrollment growth, increase health care and administrative costs and capital requirements, or expose the Company to increased liability in the courts for coverage determinations, contract interpretation and other actions.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health care industry is also regularly subject to negative publicity, including as a result of governmental investigations, adverse media coverage and political debate surrounding industry regulation. Negative publicity may adversely affect the Company's financial position, results of operations and cash flows and damage its reputation.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color w:val="auto"/>
        </w:rPr>
        <w:t>26. Subsequent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Financial Guarantee</w:t>
      </w:r>
    </w:p>
    <w:p>
      <w:pPr>
        <w:spacing w:after="0" w:line="22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On January 5, 2024, CMS notified the Company that its performance year 2022 financial guarantees were officially released and canceled. As a result, $53.6 million previously recognized as restricted cash within Surety bonds and deposits was recognized as unrestricted cash.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BALANCE SHEETS (PARENT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Schedule I</w:t>
            </w:r>
          </w:p>
        </w:tc>
        <w:tc>
          <w:tcPr>
            <w:tcW w:w="0" w:type="dxa"/>
            <w:vAlign w:val="bottom"/>
          </w:tcPr>
          <w:p>
            <w:pPr>
              <w:spacing w:after="0"/>
              <w:rPr>
                <w:sz w:val="1"/>
                <w:szCs w:val="1"/>
                <w:color w:val="auto"/>
              </w:rPr>
            </w:pPr>
          </w:p>
        </w:tc>
      </w:tr>
      <w:tr>
        <w:trPr>
          <w:trHeight w:val="473"/>
        </w:trPr>
        <w:tc>
          <w:tcPr>
            <w:tcW w:w="8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1"/>
        </w:trPr>
        <w:tc>
          <w:tcPr>
            <w:tcW w:w="842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69,718</w:t>
            </w:r>
          </w:p>
        </w:tc>
        <w:tc>
          <w:tcPr>
            <w:tcW w:w="0" w:type="dxa"/>
            <w:vAlign w:val="bottom"/>
          </w:tcPr>
          <w:p>
            <w:pPr>
              <w:spacing w:after="0"/>
              <w:rPr>
                <w:sz w:val="1"/>
                <w:szCs w:val="1"/>
                <w:color w:val="auto"/>
              </w:rPr>
            </w:pPr>
          </w:p>
        </w:tc>
      </w:tr>
      <w:tr>
        <w:trPr>
          <w:trHeight w:val="221"/>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31,725</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Investment securities, available-for sale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117,834</w:t>
            </w:r>
          </w:p>
        </w:tc>
        <w:tc>
          <w:tcPr>
            <w:tcW w:w="0" w:type="dxa"/>
            <w:vAlign w:val="bottom"/>
          </w:tcPr>
          <w:p>
            <w:pPr>
              <w:spacing w:after="0"/>
              <w:rPr>
                <w:sz w:val="1"/>
                <w:szCs w:val="1"/>
                <w:color w:val="auto"/>
              </w:rPr>
            </w:pPr>
          </w:p>
        </w:tc>
      </w:tr>
      <w:tr>
        <w:trPr>
          <w:trHeight w:val="221"/>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Investment securities, held-to-maturity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 current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5,704</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72,723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224,981</w:t>
            </w:r>
          </w:p>
        </w:tc>
        <w:tc>
          <w:tcPr>
            <w:tcW w:w="0" w:type="dxa"/>
            <w:vAlign w:val="bottom"/>
          </w:tcPr>
          <w:p>
            <w:pPr>
              <w:spacing w:after="0"/>
              <w:rPr>
                <w:sz w:val="1"/>
                <w:szCs w:val="1"/>
                <w:color w:val="auto"/>
              </w:rPr>
            </w:pPr>
          </w:p>
        </w:tc>
      </w:tr>
      <w:tr>
        <w:trPr>
          <w:trHeight w:val="21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Intercompany interest receivable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0" w:type="dxa"/>
            <w:vAlign w:val="bottom"/>
          </w:tcPr>
          <w:p>
            <w:pPr>
              <w:spacing w:after="0"/>
              <w:rPr>
                <w:sz w:val="1"/>
                <w:szCs w:val="1"/>
                <w:color w:val="auto"/>
              </w:rPr>
            </w:pPr>
          </w:p>
        </w:tc>
      </w:tr>
      <w:tr>
        <w:trPr>
          <w:trHeight w:val="221"/>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Intercompany note receivable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 securities, available-for-sale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18,708</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Investments in consolidated subsidiaries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197,012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115,571</w:t>
            </w:r>
          </w:p>
        </w:tc>
        <w:tc>
          <w:tcPr>
            <w:tcW w:w="0" w:type="dxa"/>
            <w:vAlign w:val="bottom"/>
          </w:tcPr>
          <w:p>
            <w:pPr>
              <w:spacing w:after="0"/>
              <w:rPr>
                <w:sz w:val="1"/>
                <w:szCs w:val="1"/>
                <w:color w:val="auto"/>
              </w:rPr>
            </w:pPr>
          </w:p>
        </w:tc>
      </w:tr>
      <w:tr>
        <w:trPr>
          <w:trHeight w:val="239"/>
        </w:trPr>
        <w:tc>
          <w:tcPr>
            <w:tcW w:w="8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316,200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404,218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1780"/>
              <w:spacing w:after="0"/>
              <w:rPr>
                <w:sz w:val="20"/>
                <w:szCs w:val="20"/>
                <w:color w:val="auto"/>
              </w:rPr>
            </w:pPr>
            <w:r>
              <w:rPr>
                <w:rFonts w:ascii="Times New Roman" w:cs="Times New Roman" w:eastAsia="Times New Roman" w:hAnsi="Times New Roman"/>
                <w:sz w:val="17"/>
                <w:szCs w:val="17"/>
                <w:b w:val="1"/>
                <w:bCs w:val="1"/>
                <w:color w:val="auto"/>
              </w:rPr>
              <w:t>Liabilities, Convertible Preferred Stock,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salaries and benefits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w:t>
            </w:r>
          </w:p>
        </w:tc>
        <w:tc>
          <w:tcPr>
            <w:tcW w:w="0" w:type="dxa"/>
            <w:vAlign w:val="bottom"/>
          </w:tcPr>
          <w:p>
            <w:pPr>
              <w:spacing w:after="0"/>
              <w:rPr>
                <w:sz w:val="1"/>
                <w:szCs w:val="1"/>
                <w:color w:val="auto"/>
              </w:rPr>
            </w:pPr>
          </w:p>
        </w:tc>
      </w:tr>
      <w:tr>
        <w:trPr>
          <w:trHeight w:val="214"/>
        </w:trPr>
        <w:tc>
          <w:tcPr>
            <w:tcW w:w="8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7,281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7,441</w:t>
            </w:r>
          </w:p>
        </w:tc>
        <w:tc>
          <w:tcPr>
            <w:tcW w:w="0" w:type="dxa"/>
            <w:vAlign w:val="bottom"/>
          </w:tcPr>
          <w:p>
            <w:pPr>
              <w:spacing w:after="0"/>
              <w:rPr>
                <w:sz w:val="1"/>
                <w:szCs w:val="1"/>
                <w:color w:val="auto"/>
              </w:rPr>
            </w:pPr>
          </w:p>
        </w:tc>
      </w:tr>
      <w:tr>
        <w:trPr>
          <w:trHeight w:val="21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Intercompany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39,530</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Notes payable, net of discount and deferred issuance costs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14"/>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29,806</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47,331</w:t>
            </w:r>
          </w:p>
        </w:tc>
        <w:tc>
          <w:tcPr>
            <w:tcW w:w="0" w:type="dxa"/>
            <w:vAlign w:val="bottom"/>
          </w:tcPr>
          <w:p>
            <w:pPr>
              <w:spacing w:after="0"/>
              <w:rPr>
                <w:sz w:val="1"/>
                <w:szCs w:val="1"/>
                <w:color w:val="auto"/>
              </w:rPr>
            </w:pPr>
          </w:p>
        </w:tc>
      </w:tr>
      <w:tr>
        <w:trPr>
          <w:trHeight w:val="201"/>
        </w:trPr>
        <w:tc>
          <w:tcPr>
            <w:tcW w:w="8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20" w:type="dxa"/>
            <w:vAlign w:val="bottom"/>
            <w:shd w:val="clear" w:color="auto" w:fill="CCEEFF"/>
          </w:tcPr>
          <w:p>
            <w:pPr>
              <w:ind w:left="120"/>
              <w:spacing w:after="0" w:line="169" w:lineRule="exact"/>
              <w:rPr>
                <w:sz w:val="20"/>
                <w:szCs w:val="20"/>
                <w:color w:val="auto"/>
              </w:rPr>
            </w:pPr>
            <w:r>
              <w:rPr>
                <w:rFonts w:ascii="Times New Roman" w:cs="Times New Roman" w:eastAsia="Times New Roman" w:hAnsi="Times New Roman"/>
                <w:sz w:val="17"/>
                <w:szCs w:val="17"/>
                <w:color w:val="auto"/>
              </w:rPr>
              <w:t>Class A Common Stock, $0.0001 par value; 2,500,000,000 shares authorized at December 31, 2023 and 2022;</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401,183,882 and 383,998,718 issued and outstanding at December 31, 2023 and 2022, respectively</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169"/>
        </w:trPr>
        <w:tc>
          <w:tcPr>
            <w:tcW w:w="842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Class B Common Stock, $0.0001 par value; 500,000,000 shares authorized at December 31, 2023 and 2022;</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420" w:type="dxa"/>
            <w:vAlign w:val="bottom"/>
          </w:tcPr>
          <w:p>
            <w:pPr>
              <w:ind w:left="120"/>
              <w:spacing w:after="0" w:line="233" w:lineRule="exact"/>
              <w:rPr>
                <w:sz w:val="20"/>
                <w:szCs w:val="20"/>
                <w:color w:val="auto"/>
              </w:rPr>
            </w:pPr>
            <w:r>
              <w:rPr>
                <w:rFonts w:ascii="Times New Roman" w:cs="Times New Roman" w:eastAsia="Times New Roman" w:hAnsi="Times New Roman"/>
                <w:sz w:val="17"/>
                <w:szCs w:val="17"/>
                <w:color w:val="auto"/>
              </w:rPr>
              <w:t xml:space="preserve">87,867,732 and 94,394,852 issued and outstanding at December 31, 2023 and 2022, respectively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2,461,238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2,319,157</w:t>
            </w:r>
          </w:p>
        </w:tc>
        <w:tc>
          <w:tcPr>
            <w:tcW w:w="0" w:type="dxa"/>
            <w:vAlign w:val="bottom"/>
          </w:tcPr>
          <w:p>
            <w:pPr>
              <w:spacing w:after="0"/>
              <w:rPr>
                <w:sz w:val="1"/>
                <w:szCs w:val="1"/>
                <w:color w:val="auto"/>
              </w:rPr>
            </w:pPr>
          </w:p>
        </w:tc>
      </w:tr>
      <w:tr>
        <w:trPr>
          <w:trHeight w:val="221"/>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(9,374)</w:t>
            </w:r>
          </w:p>
        </w:tc>
        <w:tc>
          <w:tcPr>
            <w:tcW w:w="0" w:type="dxa"/>
            <w:vAlign w:val="bottom"/>
          </w:tcPr>
          <w:p>
            <w:pPr>
              <w:spacing w:after="0"/>
              <w:rPr>
                <w:sz w:val="1"/>
                <w:szCs w:val="1"/>
                <w:color w:val="auto"/>
              </w:rPr>
            </w:pPr>
          </w:p>
        </w:tc>
      </w:tr>
      <w:tr>
        <w:trPr>
          <w:trHeight w:val="221"/>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(2,159,794)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(1,946,433)</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Treasury stock, at cost; 7,912,750 and 2,072,752 shares held at December 31, 2023 and 2022, respectively</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(6,509)</w:t>
            </w:r>
          </w:p>
        </w:tc>
        <w:tc>
          <w:tcPr>
            <w:tcW w:w="0" w:type="dxa"/>
            <w:vAlign w:val="bottom"/>
          </w:tcPr>
          <w:p>
            <w:pPr>
              <w:spacing w:after="0"/>
              <w:rPr>
                <w:sz w:val="1"/>
                <w:szCs w:val="1"/>
                <w:color w:val="auto"/>
              </w:rPr>
            </w:pPr>
          </w:p>
        </w:tc>
      </w:tr>
      <w:tr>
        <w:trPr>
          <w:trHeight w:val="214"/>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286,394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356,887</w:t>
            </w:r>
          </w:p>
        </w:tc>
        <w:tc>
          <w:tcPr>
            <w:tcW w:w="0" w:type="dxa"/>
            <w:vAlign w:val="bottom"/>
          </w:tcPr>
          <w:p>
            <w:pPr>
              <w:spacing w:after="0"/>
              <w:rPr>
                <w:sz w:val="1"/>
                <w:szCs w:val="1"/>
                <w:color w:val="auto"/>
              </w:rPr>
            </w:pPr>
          </w:p>
        </w:tc>
      </w:tr>
      <w:tr>
        <w:trPr>
          <w:trHeight w:val="214"/>
        </w:trPr>
        <w:tc>
          <w:tcPr>
            <w:tcW w:w="8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convertible preferred stock, and stockholders' equity</w:t>
            </w: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316,200</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404,218</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5500"/>
              <w:spacing w:after="0"/>
              <w:rPr>
                <w:sz w:val="20"/>
                <w:szCs w:val="20"/>
                <w:color w:val="auto"/>
              </w:rPr>
            </w:pPr>
            <w:r>
              <w:rPr>
                <w:rFonts w:ascii="Times New Roman" w:cs="Times New Roman" w:eastAsia="Times New Roman" w:hAnsi="Times New Roman"/>
                <w:sz w:val="17"/>
                <w:szCs w:val="17"/>
                <w:color w:val="auto"/>
              </w:rPr>
              <w:t>124</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3"/>
        </w:trPr>
        <w:tc>
          <w:tcPr>
            <w:tcW w:w="8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STATEMENTS OF OPERATIONS (PARENT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6"/>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14"/>
        </w:trPr>
        <w:tc>
          <w:tcPr>
            <w:tcW w:w="6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3,938</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3,938</w:t>
            </w:r>
          </w:p>
        </w:tc>
      </w:tr>
      <w:tr>
        <w:trPr>
          <w:trHeight w:val="123"/>
        </w:trPr>
        <w:tc>
          <w:tcPr>
            <w:tcW w:w="6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1"/>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1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r>
      <w:tr>
        <w:trPr>
          <w:trHeight w:val="214"/>
        </w:trPr>
        <w:tc>
          <w:tcPr>
            <w:tcW w:w="6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w:t>
            </w:r>
          </w:p>
        </w:tc>
      </w:tr>
      <w:tr>
        <w:trPr>
          <w:trHeight w:val="143"/>
        </w:trPr>
        <w:tc>
          <w:tcPr>
            <w:tcW w:w="6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(66,146)</w:t>
            </w: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 expense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w:t>
            </w: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notes and securities discount</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13,681</w:t>
            </w: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(gain) on equity investment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extinguishment of note payable</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net losses of consolidated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373,321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648,580</w:t>
            </w:r>
          </w:p>
        </w:tc>
      </w:tr>
      <w:tr>
        <w:trPr>
          <w:trHeight w:val="214"/>
        </w:trPr>
        <w:tc>
          <w:tcPr>
            <w:tcW w:w="6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(339,567)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(593,957)</w:t>
            </w: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STATEMENTS OF CASH FLOWS (PARENT COMPANY)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7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(213,361)</w:t>
            </w:r>
          </w:p>
        </w:tc>
        <w:tc>
          <w:tcPr>
            <w:tcW w:w="4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(339,567)</w:t>
            </w:r>
          </w:p>
        </w:tc>
        <w:tc>
          <w:tcPr>
            <w:tcW w:w="8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(593,957)</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notes and securities discount and debt issuance costs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13,681</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Intercompany stock-based compensation expense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163,470</w:t>
            </w: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of warrants and amortization of warrants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(66,146)</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on extinguishment of note payable</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Accretion, net of amortization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realized losses on investment securities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8"/>
        </w:trPr>
        <w:tc>
          <w:tcPr>
            <w:tcW w:w="6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Intercompany accrued salaries and benefits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Intercompany payable</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(36,681)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48,960</w:t>
            </w:r>
          </w:p>
        </w:tc>
        <w:tc>
          <w:tcPr>
            <w:tcW w:w="0" w:type="dxa"/>
            <w:vAlign w:val="bottom"/>
          </w:tcPr>
          <w:p>
            <w:pPr>
              <w:spacing w:after="0"/>
              <w:rPr>
                <w:sz w:val="1"/>
                <w:szCs w:val="1"/>
                <w:color w:val="auto"/>
              </w:rPr>
            </w:pPr>
          </w:p>
        </w:tc>
      </w:tr>
      <w:tr>
        <w:trPr>
          <w:trHeight w:val="194"/>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(245,267)</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(436,724)</w:t>
            </w:r>
          </w:p>
        </w:tc>
        <w:tc>
          <w:tcPr>
            <w:tcW w:w="0" w:type="dxa"/>
            <w:vAlign w:val="bottom"/>
          </w:tcPr>
          <w:p>
            <w:pPr>
              <w:spacing w:after="0"/>
              <w:rPr>
                <w:sz w:val="1"/>
                <w:szCs w:val="1"/>
                <w:color w:val="auto"/>
              </w:rPr>
            </w:pPr>
          </w:p>
        </w:tc>
      </w:tr>
      <w:tr>
        <w:trPr>
          <w:trHeight w:val="168"/>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short-term investments and available-for-sale securities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(250,030)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(689,582)</w:t>
            </w:r>
          </w:p>
        </w:tc>
        <w:tc>
          <w:tcPr>
            <w:tcW w:w="0" w:type="dxa"/>
            <w:vAlign w:val="bottom"/>
          </w:tcPr>
          <w:p>
            <w:pPr>
              <w:spacing w:after="0"/>
              <w:rPr>
                <w:sz w:val="1"/>
                <w:szCs w:val="1"/>
                <w:color w:val="auto"/>
              </w:rPr>
            </w:pPr>
          </w:p>
        </w:tc>
      </w:tr>
      <w:tr>
        <w:trPr>
          <w:trHeight w:val="191"/>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sales of short-term investments and available-for-sale securities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89,997</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maturities of short-term investments available-for-sale securities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173,620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391,643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285,000</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Investments in consolidated subsidiaries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(81,441)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58,611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(63,622)</w:t>
            </w:r>
          </w:p>
        </w:tc>
        <w:tc>
          <w:tcPr>
            <w:tcW w:w="0" w:type="dxa"/>
            <w:vAlign w:val="bottom"/>
          </w:tcPr>
          <w:p>
            <w:pPr>
              <w:spacing w:after="0"/>
              <w:rPr>
                <w:sz w:val="1"/>
                <w:szCs w:val="1"/>
                <w:color w:val="auto"/>
              </w:rPr>
            </w:pPr>
          </w:p>
        </w:tc>
      </w:tr>
      <w:tr>
        <w:trPr>
          <w:trHeight w:val="194"/>
        </w:trPr>
        <w:tc>
          <w:tcPr>
            <w:tcW w:w="6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204,053</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(378,207)</w:t>
            </w:r>
          </w:p>
        </w:tc>
        <w:tc>
          <w:tcPr>
            <w:tcW w:w="0" w:type="dxa"/>
            <w:vAlign w:val="bottom"/>
          </w:tcPr>
          <w:p>
            <w:pPr>
              <w:spacing w:after="0"/>
              <w:rPr>
                <w:sz w:val="1"/>
                <w:szCs w:val="1"/>
                <w:color w:val="auto"/>
              </w:rPr>
            </w:pPr>
          </w:p>
        </w:tc>
      </w:tr>
      <w:tr>
        <w:trPr>
          <w:trHeight w:val="168"/>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notes payable principal</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(30,925)</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 net of early exercise liability</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6,144</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reverse recapitalization, net of transaction costs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666,241</w:t>
            </w:r>
          </w:p>
        </w:tc>
        <w:tc>
          <w:tcPr>
            <w:tcW w:w="0" w:type="dxa"/>
            <w:vAlign w:val="bottom"/>
          </w:tcPr>
          <w:p>
            <w:pPr>
              <w:spacing w:after="0"/>
              <w:rPr>
                <w:sz w:val="1"/>
                <w:szCs w:val="1"/>
                <w:color w:val="auto"/>
              </w:rPr>
            </w:pPr>
          </w:p>
        </w:tc>
      </w:tr>
      <w:tr>
        <w:trPr>
          <w:trHeight w:val="191"/>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received for the exercise of Public and Private Warrants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 net of stock issuance costs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283,775</w:t>
            </w:r>
          </w:p>
        </w:tc>
        <w:tc>
          <w:tcPr>
            <w:tcW w:w="0" w:type="dxa"/>
            <w:vAlign w:val="bottom"/>
          </w:tcPr>
          <w:p>
            <w:pPr>
              <w:spacing w:after="0"/>
              <w:rPr>
                <w:sz w:val="1"/>
                <w:szCs w:val="1"/>
                <w:color w:val="auto"/>
              </w:rPr>
            </w:pPr>
          </w:p>
        </w:tc>
      </w:tr>
      <w:tr>
        <w:trPr>
          <w:trHeight w:val="191"/>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for the redemptions of Public Warrants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1"/>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925,393</w:t>
            </w:r>
          </w:p>
        </w:tc>
        <w:tc>
          <w:tcPr>
            <w:tcW w:w="0" w:type="dxa"/>
            <w:vAlign w:val="bottom"/>
          </w:tcPr>
          <w:p>
            <w:pPr>
              <w:spacing w:after="0"/>
              <w:rPr>
                <w:sz w:val="1"/>
                <w:szCs w:val="1"/>
                <w:color w:val="auto"/>
              </w:rPr>
            </w:pPr>
          </w:p>
        </w:tc>
      </w:tr>
      <w:tr>
        <w:trPr>
          <w:trHeight w:val="19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(46,176)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110,462</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115,894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5,432</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69,718</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disclosures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188"/>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447,747</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Issuance of common stock related to convertible debt</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16,059</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Capital contribution for extinguishment of debt</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126,795</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Activities from Seek Dissolution</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 related to warrants exercised</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97,782</w:t>
            </w:r>
          </w:p>
        </w:tc>
        <w:tc>
          <w:tcPr>
            <w:tcW w:w="0" w:type="dxa"/>
            <w:vAlign w:val="bottom"/>
          </w:tcPr>
          <w:p>
            <w:pPr>
              <w:spacing w:after="0"/>
              <w:rPr>
                <w:sz w:val="1"/>
                <w:szCs w:val="1"/>
                <w:color w:val="auto"/>
              </w:rPr>
            </w:pPr>
          </w:p>
        </w:tc>
      </w:tr>
      <w:tr>
        <w:trPr>
          <w:trHeight w:val="188"/>
        </w:trPr>
        <w:tc>
          <w:tcPr>
            <w:tcW w:w="6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 of public and private warrants</w:t>
            </w:r>
          </w:p>
        </w:tc>
        <w:tc>
          <w:tcPr>
            <w:tcW w:w="8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147,582</w:t>
            </w:r>
          </w:p>
        </w:tc>
        <w:tc>
          <w:tcPr>
            <w:tcW w:w="0" w:type="dxa"/>
            <w:vAlign w:val="bottom"/>
          </w:tcPr>
          <w:p>
            <w:pPr>
              <w:spacing w:after="0"/>
              <w:rPr>
                <w:sz w:val="1"/>
                <w:szCs w:val="1"/>
                <w:color w:val="auto"/>
              </w:rPr>
            </w:pPr>
          </w:p>
        </w:tc>
      </w:tr>
      <w:tr>
        <w:trPr>
          <w:trHeight w:val="201"/>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common stock related to the exercise of Public and Private Warrants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Condensed Financial Statements (Parent Company)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Clover Health Investments, Corp. (the "Company") is a holding company incorporated on July 17, 2014, in the state of Delaware.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4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accompanying Financial Statements have been prepared using the equity method. Under the equity method, the investment in consolidated subsidiaries is stated at cost plus equity in undistributed earnings of consolidated subsidiaries since the date of acquisition. These Financial Statements should be read in conjunction with the Company's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Insurance Subsidiaries</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Investments in consolidated subsidiaries include regulated insurance subsidiaries and unregulated subsidiaries. The Company holds $83.2 million and $249.7 million of cash, cash equivalents, and investment securities at the parent and unregulated subsidiaries at December 31, 2023 and 2022, respectively. The Company holds $280.5 million and $224.8 million of cash, cash equivalents, and investment securities in regulated insurance subsidiaries at December 31, 2023 and 2022,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Surplus Note</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Effective December 22, 2016, the Company contributed $40.0 million to Clover Insurance Company, a wholly-owned subsidiary, in exchange for a surplus note. The outstanding balance, including accrued interest, was due and payable on December 31, 2020, but remains unpaid with the payment terms under review for extension until December 31, 2024, by the Commissioner of Banking and Insurance of the State of New Jersey. No payment of principal or interest on the surplus note shall be made without the prior written approval of the Commissioner of Banking and Insurance of the State of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3840" w:type="dxa"/>
            <w:vAlign w:val="bottom"/>
            <w:gridSpan w:val="5"/>
            <w:vMerge w:val="restart"/>
          </w:tcPr>
          <w:p>
            <w:pPr>
              <w:jc w:val="center"/>
              <w:ind w:left="453"/>
              <w:spacing w:after="0"/>
              <w:rPr>
                <w:sz w:val="20"/>
                <w:szCs w:val="20"/>
                <w:color w:val="auto"/>
              </w:rPr>
            </w:pPr>
            <w:r>
              <w:rPr>
                <w:rFonts w:ascii="Times New Roman" w:cs="Times New Roman" w:eastAsia="Times New Roman" w:hAnsi="Times New Roman"/>
                <w:sz w:val="17"/>
                <w:szCs w:val="17"/>
                <w:color w:val="auto"/>
              </w:rPr>
              <w:t>CLOVER HEALTH INVESTMENTS, CORP.</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Schedule II</w:t>
            </w: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384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4040" w:type="dxa"/>
            <w:vAlign w:val="bottom"/>
            <w:gridSpan w:val="6"/>
          </w:tcPr>
          <w:p>
            <w:pPr>
              <w:jc w:val="center"/>
              <w:ind w:left="233"/>
              <w:spacing w:after="0"/>
              <w:rPr>
                <w:sz w:val="20"/>
                <w:szCs w:val="20"/>
                <w:color w:val="auto"/>
              </w:rPr>
            </w:pPr>
            <w:r>
              <w:rPr>
                <w:rFonts w:ascii="Times New Roman" w:cs="Times New Roman" w:eastAsia="Times New Roman" w:hAnsi="Times New Roman"/>
                <w:sz w:val="17"/>
                <w:szCs w:val="17"/>
                <w:color w:val="auto"/>
              </w:rPr>
              <w:t>VALUATION AND QUALIFYING ACCOUNTS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Additions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73"/>
              <w:spacing w:after="0" w:line="162"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160" w:type="dxa"/>
            <w:vAlign w:val="bottom"/>
          </w:tcPr>
          <w:p>
            <w:pPr>
              <w:spacing w:after="0"/>
              <w:rPr>
                <w:sz w:val="14"/>
                <w:szCs w:val="14"/>
                <w:color w:val="auto"/>
              </w:rPr>
            </w:pPr>
          </w:p>
        </w:tc>
        <w:tc>
          <w:tcPr>
            <w:tcW w:w="112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7"/>
                <w:szCs w:val="17"/>
                <w:b w:val="1"/>
                <w:bCs w:val="1"/>
                <w:color w:val="auto"/>
              </w:rPr>
              <w:t>Charged to</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Charge to other</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73"/>
              <w:spacing w:after="0" w:line="169" w:lineRule="exact"/>
              <w:rPr>
                <w:sz w:val="20"/>
                <w:szCs w:val="20"/>
                <w:color w:val="auto"/>
              </w:rPr>
            </w:pPr>
            <w:r>
              <w:rPr>
                <w:rFonts w:ascii="Times New Roman" w:cs="Times New Roman" w:eastAsia="Times New Roman" w:hAnsi="Times New Roman"/>
                <w:sz w:val="17"/>
                <w:szCs w:val="17"/>
                <w:b w:val="1"/>
                <w:bCs w:val="1"/>
                <w:color w:val="auto"/>
              </w:rPr>
              <w:t>beginning</w:t>
            </w:r>
          </w:p>
        </w:tc>
        <w:tc>
          <w:tcPr>
            <w:tcW w:w="160" w:type="dxa"/>
            <w:vAlign w:val="bottom"/>
          </w:tcPr>
          <w:p>
            <w:pPr>
              <w:spacing w:after="0"/>
              <w:rPr>
                <w:sz w:val="14"/>
                <w:szCs w:val="14"/>
                <w:color w:val="auto"/>
              </w:rPr>
            </w:pPr>
          </w:p>
        </w:tc>
        <w:tc>
          <w:tcPr>
            <w:tcW w:w="1120" w:type="dxa"/>
            <w:vAlign w:val="bottom"/>
          </w:tcPr>
          <w:p>
            <w:pPr>
              <w:jc w:val="center"/>
              <w:ind w:right="113"/>
              <w:spacing w:after="0" w:line="169" w:lineRule="exact"/>
              <w:rPr>
                <w:sz w:val="20"/>
                <w:szCs w:val="20"/>
                <w:color w:val="auto"/>
              </w:rPr>
            </w:pPr>
            <w:r>
              <w:rPr>
                <w:rFonts w:ascii="Times New Roman" w:cs="Times New Roman" w:eastAsia="Times New Roman" w:hAnsi="Times New Roman"/>
                <w:sz w:val="17"/>
                <w:szCs w:val="17"/>
                <w:b w:val="1"/>
                <w:bCs w:val="1"/>
                <w:color w:val="auto"/>
              </w:rPr>
              <w:t>costs and</w:t>
            </w: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7"/>
                <w:szCs w:val="17"/>
                <w:b w:val="1"/>
                <w:bCs w:val="1"/>
                <w:color w:val="auto"/>
              </w:rPr>
              <w:t>accounts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0" w:type="dxa"/>
            <w:vAlign w:val="bottom"/>
          </w:tcPr>
          <w:p>
            <w:pPr>
              <w:spacing w:after="0"/>
              <w:rPr>
                <w:sz w:val="1"/>
                <w:szCs w:val="1"/>
                <w:color w:val="auto"/>
              </w:rPr>
            </w:pPr>
          </w:p>
        </w:tc>
      </w:tr>
      <w:tr>
        <w:trPr>
          <w:trHeight w:val="188"/>
        </w:trPr>
        <w:tc>
          <w:tcPr>
            <w:tcW w:w="34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 for deferred tax assets</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275,865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93,665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369,530</w:t>
            </w:r>
          </w:p>
        </w:tc>
        <w:tc>
          <w:tcPr>
            <w:tcW w:w="0" w:type="dxa"/>
            <w:vAlign w:val="bottom"/>
          </w:tcPr>
          <w:p>
            <w:pPr>
              <w:spacing w:after="0"/>
              <w:rPr>
                <w:sz w:val="1"/>
                <w:szCs w:val="1"/>
                <w:color w:val="auto"/>
              </w:rPr>
            </w:pPr>
          </w:p>
        </w:tc>
      </w:tr>
      <w:tr>
        <w:trPr>
          <w:trHeight w:val="221"/>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 for deferred tax assets</w:t>
            </w: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369,530</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27,376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396,906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filed under the Exchange Act, such as this Form 10-K,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December 31, 2023, pursuant to Rule 13a-15(b) under the Securities Exchange Act of 1934, as amended (the "Exchange Act"). Based upon that evaluation, our Certifying Officers concluded that, at December 31, 2023, our disclosure controls and procedures were effective at achieving their intended objective.</w:t>
      </w:r>
    </w:p>
    <w:p>
      <w:pPr>
        <w:spacing w:after="0" w:line="3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Notwithstanding the foregoing, a control system, no matter how well-designed and operated, can provide only reasonable, not absolute, assurance that it will detect or uncover failures to disclose material information required to be set forth in our periodic reports.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Internal control over financial reporting is defined in Rule 13a-15(f) promulgated under the Exchange Act as a process designed by, or under the supervision of, our principal executive and principal financial officers and effected by our Board, management, and other personnel, to provide reasonable assurance regarding the reliability of financial reporting and the preparation of financial statements for external purposes in accordance with U.S. generally accepted accounting principles ("GAAP") and includes those policies and procedures that:</w:t>
      </w:r>
    </w:p>
    <w:p>
      <w:pPr>
        <w:spacing w:after="0" w:line="65" w:lineRule="exact"/>
        <w:rPr>
          <w:sz w:val="20"/>
          <w:szCs w:val="20"/>
          <w:color w:val="auto"/>
        </w:rPr>
      </w:pPr>
    </w:p>
    <w:p>
      <w:pPr>
        <w:ind w:left="620" w:hanging="305"/>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our transactions and dispositions of our assets;</w:t>
      </w:r>
    </w:p>
    <w:p>
      <w:pPr>
        <w:spacing w:after="0" w:line="154" w:lineRule="exact"/>
        <w:rPr>
          <w:rFonts w:ascii="Times New Roman" w:cs="Times New Roman" w:eastAsia="Times New Roman" w:hAnsi="Times New Roman"/>
          <w:sz w:val="17"/>
          <w:szCs w:val="17"/>
          <w:color w:val="auto"/>
        </w:rPr>
      </w:pPr>
    </w:p>
    <w:p>
      <w:pPr>
        <w:ind w:left="620" w:hanging="305"/>
        <w:spacing w:after="0" w:line="238" w:lineRule="auto"/>
        <w:tabs>
          <w:tab w:leader="none" w:pos="61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24" w:lineRule="exact"/>
        <w:rPr>
          <w:rFonts w:ascii="Arial" w:cs="Arial" w:eastAsia="Arial" w:hAnsi="Arial"/>
          <w:sz w:val="21"/>
          <w:szCs w:val="21"/>
          <w:color w:val="auto"/>
        </w:rPr>
      </w:pPr>
    </w:p>
    <w:p>
      <w:pPr>
        <w:ind w:left="620" w:hanging="305"/>
        <w:spacing w:after="0" w:line="238" w:lineRule="auto"/>
        <w:tabs>
          <w:tab w:leader="none" w:pos="61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our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9" w:name="page130"/>
    <w:bookmarkEnd w:id="129"/>
    <w:p>
      <w:pPr>
        <w:jc w:val="both"/>
        <w:spacing w:after="0" w:line="26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No change occurred during the fourth quarter of 2023 that has materially affected, or is reasonably likely to materially affect, our internal control over financial reporting. Management's report on internal control over financial reporting is set forth below and should be read with these limitations in mind.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defined in Rules 13a-15(f) and 15d-15(f) of the Exchange Act. Management assessed the effectiveness of our internal control over financial reporting at December 31, 2023, using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Based on management's assessment and the criteria set forth by COSO, our management determined that our internal control over financial reporting was effective at December 31, 2023.</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at December 31, 2023 has been audited by Ernst &amp; Young LLP, an independent registered public accounting firm (PCAOBID: 42), as stated in their report that appears below.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130" w:name="page131"/>
    <w:bookmarkEnd w:id="130"/>
    <w:p>
      <w:pPr>
        <w:ind w:left="34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Clover Health Investments, Corp.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audited Clover Health Investments, Corp.’s internal control over financial reporting as of December 31, 2023, based on criteria established in Internal Control—Integrated Framework issued by the Committee of Sponsoring Organizations of the Treadway Commission (2013 framework) (the COSO criteria). In our opinion, Clover Health Investments, Corp. (the Company) maintained, in all material respects, effective internal control over financial reporting as of December 31, 2023, based on the COSO criteria.</w:t>
      </w:r>
    </w:p>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and comprehensive loss, changes in convertible preferred stock and stockholders’ equity and cash flows for each of the three years in the period ended December 31, 2023, and the related notes and the financial statement schedules listed in the Index at Item 15 and our report dated March 14, 2024 expressed an unqualified opinion thereon.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2023, none of the Company’s directors or officers (as defined in Rule 16a-1(f) of the Exchange Act) adopted or terminated a Rule 10b5-1 trading arrangement or non-Rule 10b5-1 trading arrangement (as such terms are defined in Item 408(a) of Regulation S-K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information required by this Item 10 is incorporated herein by reference to the Company's definitive proxy statement for the 2024 Annual Meeting of Stockholders, to be filed by the Company with the SEC pursuant to Regulation 14A within 120 days after the year ended December 31, 2023 ("the 2024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11 is incorporated herein by reference to our 2024 Proxy Statement, and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12 is incorporated herein by reference to our 2024 Proxy Statement, and it is incorporated herein by reference.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Person Transactions, and Director Independence.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13 is incorporated herein by reference to our 2024 Proxy Statement, and it is incorporated herein by reference.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14 is incorporated herein by reference to our 2024 Proxy Statement, and it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33" w:name="page134"/>
    <w:bookmarkEnd w:id="13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57" w:lineRule="exact"/>
        <w:rPr>
          <w:sz w:val="20"/>
          <w:szCs w:val="20"/>
          <w:color w:val="auto"/>
        </w:rPr>
      </w:pPr>
    </w:p>
    <w:p>
      <w:pPr>
        <w:ind w:left="240" w:hanging="236"/>
        <w:spacing w:after="0"/>
        <w:tabs>
          <w:tab w:leader="none" w:pos="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Financial Statement Schedules, and exhibits set forth below are filed as part of this Form 10-K.</w:t>
      </w:r>
    </w:p>
    <w:p>
      <w:pPr>
        <w:spacing w:after="0" w:line="232" w:lineRule="exact"/>
        <w:rPr>
          <w:rFonts w:ascii="Times New Roman" w:cs="Times New Roman" w:eastAsia="Times New Roman" w:hAnsi="Times New Roman"/>
          <w:sz w:val="17"/>
          <w:szCs w:val="17"/>
          <w:color w:val="auto"/>
        </w:rPr>
      </w:pPr>
    </w:p>
    <w:p>
      <w:pPr>
        <w:ind w:left="880" w:hanging="253"/>
        <w:spacing w:after="0"/>
        <w:tabs>
          <w:tab w:leader="none" w:pos="8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Statements-The response to this portion of Item 15 is submitted as Item 8 of Part II of this Form 10-K.</w:t>
      </w:r>
    </w:p>
    <w:p>
      <w:pPr>
        <w:spacing w:after="0" w:line="232" w:lineRule="exact"/>
        <w:rPr>
          <w:rFonts w:ascii="Times New Roman" w:cs="Times New Roman" w:eastAsia="Times New Roman" w:hAnsi="Times New Roman"/>
          <w:sz w:val="17"/>
          <w:szCs w:val="17"/>
          <w:color w:val="auto"/>
        </w:rPr>
      </w:pPr>
    </w:p>
    <w:p>
      <w:pPr>
        <w:ind w:left="880" w:hanging="253"/>
        <w:spacing w:after="0"/>
        <w:tabs>
          <w:tab w:leader="none" w:pos="8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Schedules-The response to this portion of Item 15 is submitted as Item 8 of Part II of this Form 10-K.</w:t>
      </w:r>
    </w:p>
    <w:p>
      <w:pPr>
        <w:spacing w:after="0" w:line="232" w:lineRule="exact"/>
        <w:rPr>
          <w:rFonts w:ascii="Times New Roman" w:cs="Times New Roman" w:eastAsia="Times New Roman" w:hAnsi="Times New Roman"/>
          <w:sz w:val="17"/>
          <w:szCs w:val="17"/>
          <w:color w:val="auto"/>
        </w:rPr>
      </w:pPr>
    </w:p>
    <w:p>
      <w:pPr>
        <w:ind w:left="880" w:hanging="253"/>
        <w:spacing w:after="0"/>
        <w:tabs>
          <w:tab w:leader="none" w:pos="8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list of exhibits to this Form 10-K is set forth below:</w:t>
      </w:r>
    </w:p>
    <w:p>
      <w:pPr>
        <w:spacing w:after="0" w:line="200" w:lineRule="exact"/>
        <w:rPr>
          <w:sz w:val="20"/>
          <w:szCs w:val="20"/>
          <w:color w:val="auto"/>
        </w:rPr>
      </w:pP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700" w:type="dxa"/>
            <w:vAlign w:val="bottom"/>
            <w:vMerge w:val="restart"/>
          </w:tcPr>
          <w:p>
            <w:pPr>
              <w:jc w:val="center"/>
              <w:ind w:right="1191"/>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jc w:val="center"/>
              <w:ind w:left="151"/>
              <w:spacing w:after="0" w:line="153" w:lineRule="exact"/>
              <w:rPr>
                <w:sz w:val="20"/>
                <w:szCs w:val="20"/>
                <w:color w:val="auto"/>
              </w:rPr>
            </w:pPr>
            <w:r>
              <w:rPr>
                <w:rFonts w:ascii="Times New Roman" w:cs="Times New Roman" w:eastAsia="Times New Roman" w:hAnsi="Times New Roman"/>
                <w:sz w:val="14"/>
                <w:szCs w:val="14"/>
                <w:b w:val="1"/>
                <w:bCs w:val="1"/>
                <w:color w:val="auto"/>
                <w:w w:val="97"/>
              </w:rPr>
              <w:t>Filed or</w:t>
            </w:r>
          </w:p>
        </w:tc>
        <w:tc>
          <w:tcPr>
            <w:tcW w:w="0" w:type="dxa"/>
            <w:vAlign w:val="bottom"/>
          </w:tcPr>
          <w:p>
            <w:pPr>
              <w:spacing w:after="0"/>
              <w:rPr>
                <w:sz w:val="1"/>
                <w:szCs w:val="1"/>
                <w:color w:val="auto"/>
              </w:rPr>
            </w:pPr>
          </w:p>
        </w:tc>
      </w:tr>
      <w:tr>
        <w:trPr>
          <w:trHeight w:val="130"/>
        </w:trPr>
        <w:tc>
          <w:tcPr>
            <w:tcW w:w="1700" w:type="dxa"/>
            <w:vAlign w:val="bottom"/>
            <w:vMerge w:val="continue"/>
          </w:tcPr>
          <w:p>
            <w:pPr>
              <w:spacing w:after="0"/>
              <w:rPr>
                <w:sz w:val="11"/>
                <w:szCs w:val="11"/>
                <w:color w:val="auto"/>
              </w:rPr>
            </w:pPr>
          </w:p>
        </w:tc>
        <w:tc>
          <w:tcPr>
            <w:tcW w:w="320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00" w:type="dxa"/>
            <w:vAlign w:val="bottom"/>
          </w:tcPr>
          <w:p>
            <w:pPr>
              <w:jc w:val="center"/>
              <w:ind w:left="171"/>
              <w:spacing w:after="0" w:line="130" w:lineRule="exact"/>
              <w:rPr>
                <w:sz w:val="20"/>
                <w:szCs w:val="20"/>
                <w:color w:val="auto"/>
              </w:rPr>
            </w:pPr>
            <w:r>
              <w:rPr>
                <w:rFonts w:ascii="Times New Roman" w:cs="Times New Roman" w:eastAsia="Times New Roman" w:hAnsi="Times New Roman"/>
                <w:sz w:val="14"/>
                <w:szCs w:val="14"/>
                <w:b w:val="1"/>
                <w:bCs w:val="1"/>
                <w:color w:val="auto"/>
                <w:w w:val="97"/>
              </w:rPr>
              <w:t>furnished</w:t>
            </w:r>
          </w:p>
        </w:tc>
        <w:tc>
          <w:tcPr>
            <w:tcW w:w="0" w:type="dxa"/>
            <w:vAlign w:val="bottom"/>
          </w:tcPr>
          <w:p>
            <w:pPr>
              <w:spacing w:after="0"/>
              <w:rPr>
                <w:sz w:val="1"/>
                <w:szCs w:val="1"/>
                <w:color w:val="auto"/>
              </w:rPr>
            </w:pPr>
          </w:p>
        </w:tc>
      </w:tr>
      <w:tr>
        <w:trPr>
          <w:trHeight w:val="185"/>
        </w:trPr>
        <w:tc>
          <w:tcPr>
            <w:tcW w:w="1700" w:type="dxa"/>
            <w:vAlign w:val="bottom"/>
          </w:tcPr>
          <w:p>
            <w:pPr>
              <w:jc w:val="center"/>
              <w:ind w:right="1191"/>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0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80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374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080"/>
          </w:cols>
          <w:pgMar w:left="320" w:top="742" w:right="49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2.1*</w:t>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2.1(a)</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4.2</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4.3</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10.2*</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10.3*</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10.4*</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10.5*</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10.6*</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10.7*</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10.8*</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10.9*</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10.10*</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10.11*</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10.12*</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10.13*</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10.14*</w:t>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10.15*</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Agreement and Plan of Merger, dated as of October 5, 2020, by and</w:t>
              </w:r>
            </w:hyperlink>
          </w:p>
        </w:tc>
        <w:tc>
          <w:tcPr>
            <w:tcW w:w="460" w:type="dxa"/>
            <w:vAlign w:val="bottom"/>
            <w:gridSpan w:val="7"/>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2.1</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10/6/2020</w:t>
            </w:r>
          </w:p>
        </w:tc>
      </w:tr>
      <w:tr>
        <w:trPr>
          <w:trHeight w:val="188"/>
        </w:trPr>
        <w:tc>
          <w:tcPr>
            <w:tcW w:w="4740" w:type="dxa"/>
            <w:vAlign w:val="bottom"/>
            <w:tcBorders>
              <w:bottom w:val="single" w:sz="8" w:color="0000FF"/>
            </w:tcBorders>
            <w:gridSpan w:val="25"/>
          </w:tcPr>
          <w:p>
            <w:pPr>
              <w:spacing w:after="0" w:line="188"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among the Registrant, Asclepius Merger Sub Inc. and Clover Health</w:t>
              </w:r>
            </w:hyperlink>
          </w:p>
        </w:tc>
        <w:tc>
          <w:tcPr>
            <w:tcW w:w="420" w:type="dxa"/>
            <w:vAlign w:val="bottom"/>
            <w:gridSpan w:val="6"/>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8"/>
        </w:trPr>
        <w:tc>
          <w:tcPr>
            <w:tcW w:w="1320" w:type="dxa"/>
            <w:vAlign w:val="bottom"/>
            <w:tcBorders>
              <w:bottom w:val="single" w:sz="8" w:color="0000FF"/>
            </w:tcBorders>
            <w:gridSpan w:val="2"/>
          </w:tcPr>
          <w:p>
            <w:pPr>
              <w:spacing w:after="0" w:line="188"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Investments, Corp.</w:t>
              </w:r>
            </w:hyperlink>
          </w:p>
        </w:tc>
        <w:tc>
          <w:tcPr>
            <w:tcW w:w="3840" w:type="dxa"/>
            <w:vAlign w:val="bottom"/>
            <w:gridSpan w:val="29"/>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Amendment to the Agreement and Plan of Merger, dated as of December</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2.1</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12/10/2020</w:t>
            </w:r>
          </w:p>
        </w:tc>
      </w:tr>
      <w:tr>
        <w:trPr>
          <w:trHeight w:val="188"/>
        </w:trPr>
        <w:tc>
          <w:tcPr>
            <w:tcW w:w="520" w:type="dxa"/>
            <w:vAlign w:val="bottom"/>
            <w:tcBorders>
              <w:top w:val="single" w:sz="8" w:color="0000FF"/>
              <w:bottom w:val="single" w:sz="8" w:color="0000FF"/>
            </w:tcBorders>
          </w:tcPr>
          <w:p>
            <w:pPr>
              <w:spacing w:after="0" w:line="188" w:lineRule="exact"/>
              <w:rPr>
                <w:rFonts w:ascii="Times New Roman" w:cs="Times New Roman" w:eastAsia="Times New Roman" w:hAnsi="Times New Roman"/>
                <w:sz w:val="17"/>
                <w:szCs w:val="17"/>
                <w:color w:val="0000FF"/>
                <w:w w:val="97"/>
              </w:rPr>
            </w:pPr>
            <w:hyperlink r:id="rId197">
              <w:r>
                <w:rPr>
                  <w:rFonts w:ascii="Times New Roman" w:cs="Times New Roman" w:eastAsia="Times New Roman" w:hAnsi="Times New Roman"/>
                  <w:sz w:val="17"/>
                  <w:szCs w:val="17"/>
                  <w:color w:val="0000FF"/>
                  <w:w w:val="97"/>
                </w:rPr>
                <w:t>8, 2020</w:t>
              </w:r>
            </w:hyperlink>
          </w:p>
        </w:tc>
        <w:tc>
          <w:tcPr>
            <w:tcW w:w="8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Amended and Restated Certificate of Incorporation of the Registrant</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3.1</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1/12/2021</w:t>
            </w:r>
          </w:p>
        </w:tc>
      </w:tr>
      <w:tr>
        <w:trPr>
          <w:trHeight w:val="240"/>
        </w:trPr>
        <w:tc>
          <w:tcPr>
            <w:tcW w:w="4740" w:type="dxa"/>
            <w:vAlign w:val="bottom"/>
            <w:tcBorders>
              <w:top w:val="single" w:sz="8" w:color="0000FF"/>
            </w:tcBorders>
            <w:gridSpan w:val="25"/>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Amended and Restated Bylaws of the Registrant</w:t>
              </w:r>
            </w:hyperlink>
          </w:p>
        </w:tc>
        <w:tc>
          <w:tcPr>
            <w:tcW w:w="420" w:type="dxa"/>
            <w:vAlign w:val="bottom"/>
            <w:gridSpan w:val="6"/>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3.2</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1/12/2021</w:t>
            </w:r>
          </w:p>
        </w:tc>
      </w:tr>
      <w:tr>
        <w:trPr>
          <w:trHeight w:val="20"/>
        </w:trPr>
        <w:tc>
          <w:tcPr>
            <w:tcW w:w="15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0"/>
        </w:trPr>
        <w:tc>
          <w:tcPr>
            <w:tcW w:w="4380" w:type="dxa"/>
            <w:vAlign w:val="bottom"/>
            <w:tcBorders>
              <w:bottom w:val="single" w:sz="8" w:color="0000FF"/>
            </w:tcBorders>
            <w:gridSpan w:val="18"/>
          </w:tcPr>
          <w:p>
            <w:pPr>
              <w:spacing w:after="0"/>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Specimen Class A Common Stock Certificate of the Registrant</w:t>
              </w:r>
            </w:hyperlink>
          </w:p>
        </w:tc>
        <w:tc>
          <w:tcPr>
            <w:tcW w:w="780" w:type="dxa"/>
            <w:vAlign w:val="bottom"/>
            <w:gridSpan w:val="13"/>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S-4/A</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333-249558</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4.5</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11/20/2020</w:t>
            </w:r>
          </w:p>
        </w:tc>
      </w:tr>
      <w:tr>
        <w:trPr>
          <w:trHeight w:val="240"/>
        </w:trPr>
        <w:tc>
          <w:tcPr>
            <w:tcW w:w="436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Specimen Class B Common Stock Certificate of the Registrant</w:t>
              </w:r>
            </w:hyperlink>
          </w:p>
        </w:tc>
        <w:tc>
          <w:tcPr>
            <w:tcW w:w="800" w:type="dxa"/>
            <w:vAlign w:val="bottom"/>
            <w:gridSpan w:val="14"/>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S-4/A</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333-249558</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4.6</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11/20/2020</w:t>
            </w: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Description of Securities</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4.3</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02/28/2022</w:t>
            </w:r>
          </w:p>
        </w:tc>
      </w:tr>
      <w:tr>
        <w:trPr>
          <w:trHeight w:val="20"/>
        </w:trPr>
        <w:tc>
          <w:tcPr>
            <w:tcW w:w="15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Form of Indemnification Agreement</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1/12/2021</w:t>
            </w:r>
          </w:p>
        </w:tc>
      </w:tr>
      <w:tr>
        <w:trPr>
          <w:trHeight w:val="20"/>
        </w:trPr>
        <w:tc>
          <w:tcPr>
            <w:tcW w:w="15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Amended and Restated 2014 Equity Incentive Plan, and forms of</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S-4</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333-249558</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10.15</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10/20/2020</w:t>
            </w:r>
          </w:p>
        </w:tc>
      </w:tr>
      <w:tr>
        <w:trPr>
          <w:trHeight w:val="188"/>
        </w:trPr>
        <w:tc>
          <w:tcPr>
            <w:tcW w:w="4500" w:type="dxa"/>
            <w:vAlign w:val="bottom"/>
            <w:tcBorders>
              <w:top w:val="single" w:sz="8" w:color="0000FF"/>
            </w:tcBorders>
            <w:gridSpan w:val="21"/>
          </w:tcPr>
          <w:p>
            <w:pPr>
              <w:spacing w:after="0" w:line="188"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agreement thereunder</w:t>
              </w:r>
            </w:hyperlink>
          </w:p>
        </w:tc>
        <w:tc>
          <w:tcPr>
            <w:tcW w:w="660" w:type="dxa"/>
            <w:vAlign w:val="bottom"/>
            <w:gridSpan w:val="10"/>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5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2020 Equity Incentive Plan and forms of agreement thereunder</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10.4</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1/12/2021</w:t>
            </w:r>
          </w:p>
        </w:tc>
      </w:tr>
      <w:tr>
        <w:trPr>
          <w:trHeight w:val="240"/>
        </w:trPr>
        <w:tc>
          <w:tcPr>
            <w:tcW w:w="4360" w:type="dxa"/>
            <w:vAlign w:val="bottom"/>
            <w:tcBorders>
              <w:top w:val="single" w:sz="8" w:color="0000FF"/>
            </w:tcBorders>
            <w:gridSpan w:val="17"/>
          </w:tcPr>
          <w:p>
            <w:pPr>
              <w:spacing w:after="0"/>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2020 Employee Stock Purchase Plan</w:t>
              </w:r>
            </w:hyperlink>
          </w:p>
        </w:tc>
        <w:tc>
          <w:tcPr>
            <w:tcW w:w="800" w:type="dxa"/>
            <w:vAlign w:val="bottom"/>
            <w:gridSpan w:val="14"/>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10.5</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1/12/2021</w:t>
            </w:r>
          </w:p>
        </w:tc>
      </w:tr>
      <w:tr>
        <w:trPr>
          <w:trHeight w:val="240"/>
        </w:trPr>
        <w:tc>
          <w:tcPr>
            <w:tcW w:w="2540" w:type="dxa"/>
            <w:vAlign w:val="bottom"/>
            <w:tcBorders>
              <w:top w:val="single" w:sz="8" w:color="0000FF"/>
            </w:tcBorders>
            <w:gridSpan w:val="14"/>
          </w:tcPr>
          <w:p>
            <w:pPr>
              <w:spacing w:after="0"/>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Management Incentive Plan</w:t>
              </w:r>
            </w:hyperlink>
          </w:p>
        </w:tc>
        <w:tc>
          <w:tcPr>
            <w:tcW w:w="2620" w:type="dxa"/>
            <w:vAlign w:val="bottom"/>
            <w:gridSpan w:val="17"/>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10.6</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1/12/2021</w:t>
            </w:r>
          </w:p>
        </w:tc>
      </w:tr>
      <w:tr>
        <w:trPr>
          <w:trHeight w:val="20"/>
        </w:trPr>
        <w:tc>
          <w:tcPr>
            <w:tcW w:w="180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0"/>
        </w:trPr>
        <w:tc>
          <w:tcPr>
            <w:tcW w:w="222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Executive Incentive Bonus Plan</w:t>
              </w:r>
            </w:hyperlink>
          </w:p>
        </w:tc>
        <w:tc>
          <w:tcPr>
            <w:tcW w:w="2940" w:type="dxa"/>
            <w:vAlign w:val="bottom"/>
            <w:gridSpan w:val="20"/>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10.7</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1/12/2021</w:t>
            </w:r>
          </w:p>
        </w:tc>
      </w:tr>
      <w:tr>
        <w:trPr>
          <w:trHeight w:val="240"/>
        </w:trPr>
        <w:tc>
          <w:tcPr>
            <w:tcW w:w="5100" w:type="dxa"/>
            <w:vAlign w:val="bottom"/>
            <w:tcBorders>
              <w:bottom w:val="single" w:sz="8" w:color="0000FF"/>
            </w:tcBorders>
            <w:gridSpan w:val="30"/>
          </w:tcPr>
          <w:p>
            <w:pPr>
              <w:spacing w:after="0"/>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Employment Agreement, effective as of December 31, 2021, between the</w:t>
              </w:r>
            </w:hyperlink>
          </w:p>
        </w:tc>
        <w:tc>
          <w:tcPr>
            <w:tcW w:w="6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10.12</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02/28/2022</w:t>
            </w:r>
          </w:p>
        </w:tc>
      </w:tr>
      <w:tr>
        <w:trPr>
          <w:trHeight w:val="188"/>
        </w:trPr>
        <w:tc>
          <w:tcPr>
            <w:tcW w:w="2300" w:type="dxa"/>
            <w:vAlign w:val="bottom"/>
            <w:tcBorders>
              <w:bottom w:val="single" w:sz="8" w:color="0000FF"/>
            </w:tcBorders>
            <w:gridSpan w:val="12"/>
          </w:tcPr>
          <w:p>
            <w:pPr>
              <w:spacing w:after="0" w:line="188"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Registrant and Jamie L. Reynoso</w:t>
              </w:r>
            </w:hyperlink>
          </w:p>
        </w:tc>
        <w:tc>
          <w:tcPr>
            <w:tcW w:w="2860" w:type="dxa"/>
            <w:vAlign w:val="bottom"/>
            <w:gridSpan w:val="19"/>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0"/>
        </w:trPr>
        <w:tc>
          <w:tcPr>
            <w:tcW w:w="4840" w:type="dxa"/>
            <w:vAlign w:val="bottom"/>
            <w:tcBorders>
              <w:bottom w:val="single" w:sz="8" w:color="0000FF"/>
            </w:tcBorders>
            <w:gridSpan w:val="28"/>
          </w:tcPr>
          <w:p>
            <w:pPr>
              <w:spacing w:after="0"/>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Employment Agreement, effective as of March 14, 2022, between the</w:t>
              </w:r>
            </w:hyperlink>
          </w:p>
        </w:tc>
        <w:tc>
          <w:tcPr>
            <w:tcW w:w="320" w:type="dxa"/>
            <w:vAlign w:val="bottom"/>
            <w:gridSpan w:val="3"/>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05/09/2022</w:t>
            </w:r>
          </w:p>
        </w:tc>
      </w:tr>
      <w:tr>
        <w:trPr>
          <w:trHeight w:val="188"/>
        </w:trPr>
        <w:tc>
          <w:tcPr>
            <w:tcW w:w="2040" w:type="dxa"/>
            <w:vAlign w:val="bottom"/>
            <w:tcBorders>
              <w:bottom w:val="single" w:sz="8" w:color="0000FF"/>
            </w:tcBorders>
            <w:gridSpan w:val="8"/>
          </w:tcPr>
          <w:p>
            <w:pPr>
              <w:spacing w:after="0" w:line="188"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Registrant and Joseph Martin</w:t>
              </w:r>
            </w:hyperlink>
          </w:p>
        </w:tc>
        <w:tc>
          <w:tcPr>
            <w:tcW w:w="3120" w:type="dxa"/>
            <w:vAlign w:val="bottom"/>
            <w:gridSpan w:val="23"/>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Employment Agreement, dated as of May 11, 2022, between the</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08/08/2022</w:t>
            </w:r>
          </w:p>
        </w:tc>
      </w:tr>
      <w:tr>
        <w:trPr>
          <w:trHeight w:val="188"/>
        </w:trPr>
        <w:tc>
          <w:tcPr>
            <w:tcW w:w="2080" w:type="dxa"/>
            <w:vAlign w:val="bottom"/>
            <w:tcBorders>
              <w:top w:val="single" w:sz="8" w:color="0000FF"/>
              <w:bottom w:val="single" w:sz="8" w:color="0000FF"/>
            </w:tcBorders>
            <w:gridSpan w:val="9"/>
          </w:tcPr>
          <w:p>
            <w:pPr>
              <w:spacing w:after="0" w:line="188"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Registrant and Scott J. Leffler</w:t>
              </w:r>
            </w:hyperlink>
          </w:p>
        </w:tc>
        <w:tc>
          <w:tcPr>
            <w:tcW w:w="2380" w:type="dxa"/>
            <w:vAlign w:val="bottom"/>
            <w:tcBorders>
              <w:top w:val="single" w:sz="8" w:color="0000FF"/>
            </w:tcBorders>
            <w:gridSpan w:val="11"/>
          </w:tcPr>
          <w:p>
            <w:pPr>
              <w:spacing w:after="0"/>
              <w:rPr>
                <w:sz w:val="16"/>
                <w:szCs w:val="16"/>
                <w:color w:val="auto"/>
              </w:rPr>
            </w:pPr>
          </w:p>
        </w:tc>
        <w:tc>
          <w:tcPr>
            <w:tcW w:w="700" w:type="dxa"/>
            <w:vAlign w:val="bottom"/>
            <w:gridSpan w:val="11"/>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Employment Agreement, effective as of May 9, 2022, between the</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08/08/2022</w:t>
            </w:r>
          </w:p>
        </w:tc>
      </w:tr>
      <w:tr>
        <w:trPr>
          <w:trHeight w:val="188"/>
        </w:trPr>
        <w:tc>
          <w:tcPr>
            <w:tcW w:w="4600" w:type="dxa"/>
            <w:vAlign w:val="bottom"/>
            <w:tcBorders>
              <w:top w:val="single" w:sz="8" w:color="0000FF"/>
            </w:tcBorders>
            <w:gridSpan w:val="23"/>
          </w:tcPr>
          <w:p>
            <w:pPr>
              <w:spacing w:after="0" w:line="188"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Registrant and Aric Sharp</w:t>
              </w:r>
            </w:hyperlink>
          </w:p>
        </w:tc>
        <w:tc>
          <w:tcPr>
            <w:tcW w:w="560" w:type="dxa"/>
            <w:vAlign w:val="bottom"/>
            <w:gridSpan w:val="8"/>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80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Employment Agreement, dated as of July 18, 2022, between the</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10.14</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03/01/2023</w:t>
            </w:r>
          </w:p>
        </w:tc>
      </w:tr>
      <w:tr>
        <w:trPr>
          <w:trHeight w:val="188"/>
        </w:trPr>
        <w:tc>
          <w:tcPr>
            <w:tcW w:w="4440" w:type="dxa"/>
            <w:vAlign w:val="bottom"/>
            <w:tcBorders>
              <w:top w:val="single" w:sz="8" w:color="0000FF"/>
            </w:tcBorders>
            <w:gridSpan w:val="19"/>
          </w:tcPr>
          <w:p>
            <w:pPr>
              <w:spacing w:after="0" w:line="188"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Registrant and Brady Priest</w:t>
              </w:r>
            </w:hyperlink>
          </w:p>
        </w:tc>
        <w:tc>
          <w:tcPr>
            <w:tcW w:w="720" w:type="dxa"/>
            <w:vAlign w:val="bottom"/>
            <w:gridSpan w:val="12"/>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9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Employment Agreement, dated as of August 8, 2022, between the</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11/07/2022</w:t>
            </w:r>
          </w:p>
        </w:tc>
      </w:tr>
      <w:tr>
        <w:trPr>
          <w:trHeight w:val="188"/>
        </w:trPr>
        <w:tc>
          <w:tcPr>
            <w:tcW w:w="1940" w:type="dxa"/>
            <w:vAlign w:val="bottom"/>
            <w:tcBorders>
              <w:top w:val="single" w:sz="8" w:color="0000FF"/>
              <w:bottom w:val="single" w:sz="8" w:color="0000FF"/>
            </w:tcBorders>
            <w:gridSpan w:val="7"/>
          </w:tcPr>
          <w:p>
            <w:pPr>
              <w:spacing w:after="0" w:line="188"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Registrant and Andrew Toy</w:t>
              </w:r>
            </w:hyperlink>
          </w:p>
        </w:tc>
        <w:tc>
          <w:tcPr>
            <w:tcW w:w="2620" w:type="dxa"/>
            <w:vAlign w:val="bottom"/>
            <w:tcBorders>
              <w:top w:val="single" w:sz="8" w:color="0000FF"/>
            </w:tcBorders>
            <w:gridSpan w:val="15"/>
          </w:tcPr>
          <w:p>
            <w:pPr>
              <w:spacing w:after="0"/>
              <w:rPr>
                <w:sz w:val="16"/>
                <w:szCs w:val="16"/>
                <w:color w:val="auto"/>
              </w:rPr>
            </w:pPr>
          </w:p>
        </w:tc>
        <w:tc>
          <w:tcPr>
            <w:tcW w:w="600" w:type="dxa"/>
            <w:vAlign w:val="bottom"/>
            <w:gridSpan w:val="9"/>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0"/>
        </w:trPr>
        <w:tc>
          <w:tcPr>
            <w:tcW w:w="376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Amended and Restated Director Compensation Policy</w:t>
              </w:r>
            </w:hyperlink>
          </w:p>
        </w:tc>
        <w:tc>
          <w:tcPr>
            <w:tcW w:w="1400" w:type="dxa"/>
            <w:vAlign w:val="bottom"/>
            <w:gridSpan w:val="15"/>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11/07/2022</w:t>
            </w:r>
          </w:p>
        </w:tc>
      </w:tr>
      <w:tr>
        <w:trPr>
          <w:trHeight w:val="240"/>
        </w:trPr>
        <w:tc>
          <w:tcPr>
            <w:tcW w:w="5160" w:type="dxa"/>
            <w:vAlign w:val="bottom"/>
            <w:gridSpan w:val="31"/>
          </w:tcPr>
          <w:p>
            <w:pPr>
              <w:spacing w:after="0"/>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Board Observer Agreement, dated as of March 16, 2023, between the</w:t>
              </w:r>
            </w:hyperlink>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001-39525</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03/17/2023</w:t>
            </w:r>
          </w:p>
        </w:tc>
      </w:tr>
      <w:tr>
        <w:trPr>
          <w:trHeight w:val="188"/>
        </w:trPr>
        <w:tc>
          <w:tcPr>
            <w:tcW w:w="4800" w:type="dxa"/>
            <w:vAlign w:val="bottom"/>
            <w:tcBorders>
              <w:top w:val="single" w:sz="8" w:color="0000FF"/>
            </w:tcBorders>
            <w:gridSpan w:val="27"/>
          </w:tcPr>
          <w:p>
            <w:pPr>
              <w:spacing w:after="0" w:line="188"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Registrant and Zach Weinberg.</w:t>
              </w:r>
            </w:hyperlink>
          </w:p>
        </w:tc>
        <w:tc>
          <w:tcPr>
            <w:tcW w:w="36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190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640" w:type="dxa"/>
            <w:vAlign w:val="bottom"/>
            <w:gridSpan w:val="16"/>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40"/>
        </w:trPr>
        <w:tc>
          <w:tcPr>
            <w:tcW w:w="4780" w:type="dxa"/>
            <w:vAlign w:val="bottom"/>
            <w:tcBorders>
              <w:bottom w:val="single" w:sz="8" w:color="0000FF"/>
            </w:tcBorders>
            <w:gridSpan w:val="26"/>
          </w:tcPr>
          <w:p>
            <w:pPr>
              <w:spacing w:after="0"/>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Employment Agreement, dated as of February 24, 2022, between the</w:t>
              </w:r>
            </w:hyperlink>
          </w:p>
        </w:tc>
        <w:tc>
          <w:tcPr>
            <w:tcW w:w="380" w:type="dxa"/>
            <w:vAlign w:val="bottom"/>
            <w:gridSpan w:val="5"/>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001-39252</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10.2</w:t>
            </w:r>
          </w:p>
        </w:tc>
        <w:tc>
          <w:tcPr>
            <w:tcW w:w="11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8"/>
              </w:rPr>
              <w:t>05/09/2023</w:t>
            </w:r>
          </w:p>
        </w:tc>
      </w:tr>
      <w:tr>
        <w:trPr>
          <w:trHeight w:val="188"/>
        </w:trPr>
        <w:tc>
          <w:tcPr>
            <w:tcW w:w="1900" w:type="dxa"/>
            <w:vAlign w:val="bottom"/>
            <w:tcBorders>
              <w:bottom w:val="single" w:sz="8" w:color="0000FF"/>
            </w:tcBorders>
            <w:gridSpan w:val="6"/>
          </w:tcPr>
          <w:p>
            <w:pPr>
              <w:spacing w:after="0" w:line="188"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Registrant and Conrad Wai</w:t>
              </w:r>
            </w:hyperlink>
          </w:p>
        </w:tc>
        <w:tc>
          <w:tcPr>
            <w:tcW w:w="3260" w:type="dxa"/>
            <w:vAlign w:val="bottom"/>
            <w:gridSpan w:val="25"/>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500" w:space="480"/>
            <w:col w:w="10100"/>
          </w:cols>
          <w:pgMar w:left="320" w:top="742" w:right="499" w:bottom="1440" w:gutter="0" w:footer="0" w:header="0"/>
          <w:type w:val="continuous"/>
        </w:sectPr>
      </w:pPr>
    </w:p>
    <w:p>
      <w:pPr>
        <w:spacing w:after="0" w:line="3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80"/>
          </w:cols>
          <w:pgMar w:left="320" w:top="742" w:right="499" w:bottom="1440" w:gutter="0" w:footer="0" w:header="0"/>
          <w:type w:val="continuous"/>
        </w:sectPr>
      </w:pPr>
    </w:p>
    <w:bookmarkStart w:id="134" w:name="page135"/>
    <w:bookmarkEnd w:id="134"/>
    <w:tbl>
      <w:tblPr>
        <w:tblLayout w:type="fixed"/>
        <w:tblInd w:w="20" w:type="dxa"/>
        <w:tblCellMar>
          <w:top w:w="0" w:type="dxa"/>
          <w:left w:w="0" w:type="dxa"/>
          <w:bottom w:w="0" w:type="dxa"/>
          <w:right w:w="0" w:type="dxa"/>
        </w:tblCellMar>
      </w:tblPr>
      <w:tr>
        <w:trPr>
          <w:trHeight w:val="20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4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Employment Agreement, dated as of March 8, 2024, between the</w:t>
            </w:r>
          </w:p>
        </w:tc>
        <w:tc>
          <w:tcPr>
            <w:tcW w:w="2900" w:type="dxa"/>
            <w:vAlign w:val="bottom"/>
            <w:gridSpan w:val="7"/>
          </w:tcPr>
          <w:p>
            <w:pPr>
              <w:spacing w:after="0"/>
              <w:rPr>
                <w:sz w:val="17"/>
                <w:szCs w:val="17"/>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2020" w:type="dxa"/>
            <w:vAlign w:val="bottom"/>
            <w:tcBorders>
              <w:bottom w:val="single" w:sz="8" w:color="0000FF"/>
            </w:tcBorders>
            <w:gridSpan w:val="3"/>
          </w:tcPr>
          <w:p>
            <w:pPr>
              <w:spacing w:after="0" w:line="188" w:lineRule="exact"/>
              <w:rPr>
                <w:sz w:val="20"/>
                <w:szCs w:val="20"/>
                <w:color w:val="auto"/>
              </w:rPr>
            </w:pPr>
            <w:r>
              <w:rPr>
                <w:rFonts w:ascii="Times New Roman" w:cs="Times New Roman" w:eastAsia="Times New Roman" w:hAnsi="Times New Roman"/>
                <w:sz w:val="17"/>
                <w:szCs w:val="17"/>
                <w:color w:val="0000FF"/>
              </w:rPr>
              <w:t>Registrant and Karen Soares.</w:t>
            </w:r>
          </w:p>
        </w:tc>
        <w:tc>
          <w:tcPr>
            <w:tcW w:w="5400" w:type="dxa"/>
            <w:vAlign w:val="bottom"/>
            <w:gridSpan w:val="10"/>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5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Agreement for the Provision of Interim Management Service, dated as of</w:t>
            </w:r>
          </w:p>
        </w:tc>
        <w:tc>
          <w:tcPr>
            <w:tcW w:w="2360" w:type="dxa"/>
            <w:vAlign w:val="bottom"/>
            <w:gridSpan w:val="2"/>
          </w:tcPr>
          <w:p>
            <w:pPr>
              <w:spacing w:after="0"/>
              <w:rPr>
                <w:sz w:val="20"/>
                <w:szCs w:val="20"/>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7420" w:type="dxa"/>
            <w:vAlign w:val="bottom"/>
            <w:gridSpan w:val="13"/>
          </w:tcPr>
          <w:p>
            <w:pPr>
              <w:spacing w:after="0" w:line="188" w:lineRule="exact"/>
              <w:rPr>
                <w:sz w:val="20"/>
                <w:szCs w:val="20"/>
                <w:color w:val="auto"/>
              </w:rPr>
            </w:pPr>
            <w:r>
              <w:rPr>
                <w:rFonts w:ascii="Times New Roman" w:cs="Times New Roman" w:eastAsia="Times New Roman" w:hAnsi="Times New Roman"/>
                <w:sz w:val="17"/>
                <w:szCs w:val="17"/>
                <w:color w:val="0000FF"/>
              </w:rPr>
              <w:t>December 22, 2023 between the Registrant and AP Services, LLC.</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13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List of Subsidiaries</w:t>
            </w:r>
          </w:p>
        </w:tc>
        <w:tc>
          <w:tcPr>
            <w:tcW w:w="3280" w:type="dxa"/>
            <w:vAlign w:val="bottom"/>
            <w:tcBorders>
              <w:top w:val="single" w:sz="8" w:color="0000FF"/>
            </w:tcBorders>
            <w:gridSpan w:val="5"/>
          </w:tcPr>
          <w:p>
            <w:pPr>
              <w:spacing w:after="0"/>
              <w:rPr>
                <w:sz w:val="20"/>
                <w:szCs w:val="20"/>
                <w:color w:val="auto"/>
              </w:rPr>
            </w:pPr>
          </w:p>
        </w:tc>
        <w:tc>
          <w:tcPr>
            <w:tcW w:w="2800" w:type="dxa"/>
            <w:vAlign w:val="bottom"/>
            <w:gridSpan w:val="6"/>
          </w:tcPr>
          <w:p>
            <w:pPr>
              <w:spacing w:after="0"/>
              <w:rPr>
                <w:sz w:val="20"/>
                <w:szCs w:val="20"/>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 Accounting Firm</w:t>
            </w: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31.1</w:t>
            </w:r>
          </w:p>
        </w:tc>
        <w:tc>
          <w:tcPr>
            <w:tcW w:w="34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980" w:type="dxa"/>
            <w:vAlign w:val="bottom"/>
            <w:vMerge w:val="continue"/>
          </w:tcPr>
          <w:p>
            <w:pPr>
              <w:spacing w:after="0"/>
              <w:rPr>
                <w:sz w:val="20"/>
                <w:szCs w:val="20"/>
                <w:color w:val="auto"/>
              </w:rPr>
            </w:pPr>
          </w:p>
        </w:tc>
        <w:tc>
          <w:tcPr>
            <w:tcW w:w="4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w:t>
            </w:r>
          </w:p>
        </w:tc>
        <w:tc>
          <w:tcPr>
            <w:tcW w:w="2440" w:type="dxa"/>
            <w:vAlign w:val="bottom"/>
            <w:gridSpan w:val="3"/>
          </w:tcPr>
          <w:p>
            <w:pPr>
              <w:spacing w:after="0"/>
              <w:rPr>
                <w:sz w:val="20"/>
                <w:szCs w:val="20"/>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4860" w:type="dxa"/>
            <w:vAlign w:val="bottom"/>
            <w:tcBorders>
              <w:bottom w:val="single" w:sz="8" w:color="0000FF"/>
            </w:tcBorders>
            <w:gridSpan w:val="8"/>
          </w:tcPr>
          <w:p>
            <w:pPr>
              <w:spacing w:after="0" w:line="188" w:lineRule="exact"/>
              <w:rPr>
                <w:sz w:val="20"/>
                <w:szCs w:val="20"/>
                <w:color w:val="auto"/>
              </w:rPr>
            </w:pPr>
            <w:r>
              <w:rPr>
                <w:rFonts w:ascii="Times New Roman" w:cs="Times New Roman" w:eastAsia="Times New Roman" w:hAnsi="Times New Roman"/>
                <w:sz w:val="17"/>
                <w:szCs w:val="17"/>
                <w:color w:val="0000FF"/>
              </w:rPr>
              <w:t>and 15d-14(a) under the Securities Exchange Act of 1934, as Adopted</w:t>
            </w:r>
          </w:p>
        </w:tc>
        <w:tc>
          <w:tcPr>
            <w:tcW w:w="2560" w:type="dxa"/>
            <w:vAlign w:val="bottom"/>
            <w:gridSpan w:val="5"/>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7420" w:type="dxa"/>
            <w:vAlign w:val="bottom"/>
            <w:gridSpan w:val="13"/>
          </w:tcPr>
          <w:p>
            <w:pPr>
              <w:spacing w:after="0" w:line="188"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31.2</w:t>
            </w:r>
          </w:p>
        </w:tc>
        <w:tc>
          <w:tcPr>
            <w:tcW w:w="34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980" w:type="dxa"/>
            <w:vAlign w:val="bottom"/>
            <w:vMerge w:val="continue"/>
          </w:tcPr>
          <w:p>
            <w:pPr>
              <w:spacing w:after="0"/>
              <w:rPr>
                <w:sz w:val="20"/>
                <w:szCs w:val="20"/>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w:t>
            </w: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4860" w:type="dxa"/>
            <w:vAlign w:val="bottom"/>
            <w:tcBorders>
              <w:top w:val="single" w:sz="8" w:color="0000FF"/>
              <w:bottom w:val="single" w:sz="8" w:color="0000FF"/>
            </w:tcBorders>
            <w:gridSpan w:val="8"/>
          </w:tcPr>
          <w:p>
            <w:pPr>
              <w:spacing w:after="0" w:line="188" w:lineRule="exact"/>
              <w:rPr>
                <w:sz w:val="20"/>
                <w:szCs w:val="20"/>
                <w:color w:val="auto"/>
              </w:rPr>
            </w:pPr>
            <w:r>
              <w:rPr>
                <w:rFonts w:ascii="Times New Roman" w:cs="Times New Roman" w:eastAsia="Times New Roman" w:hAnsi="Times New Roman"/>
                <w:sz w:val="17"/>
                <w:szCs w:val="17"/>
                <w:color w:val="0000FF"/>
              </w:rPr>
              <w:t>and 15d-14(a) under the Securities Exchange Act of 1934, as Adopted</w:t>
            </w:r>
          </w:p>
        </w:tc>
        <w:tc>
          <w:tcPr>
            <w:tcW w:w="60" w:type="dxa"/>
            <w:vAlign w:val="bottom"/>
            <w:tcBorders>
              <w:top w:val="single" w:sz="8" w:color="0000FF"/>
            </w:tcBorders>
          </w:tcPr>
          <w:p>
            <w:pPr>
              <w:spacing w:after="0"/>
              <w:rPr>
                <w:sz w:val="16"/>
                <w:szCs w:val="16"/>
                <w:color w:val="auto"/>
              </w:rPr>
            </w:pPr>
          </w:p>
        </w:tc>
        <w:tc>
          <w:tcPr>
            <w:tcW w:w="2500" w:type="dxa"/>
            <w:vAlign w:val="bottom"/>
            <w:gridSpan w:val="4"/>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7420" w:type="dxa"/>
            <w:vAlign w:val="bottom"/>
            <w:gridSpan w:val="13"/>
          </w:tcPr>
          <w:p>
            <w:pPr>
              <w:spacing w:after="0" w:line="188"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32.1†</w:t>
            </w:r>
          </w:p>
        </w:tc>
        <w:tc>
          <w:tcPr>
            <w:tcW w:w="34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980" w:type="dxa"/>
            <w:vAlign w:val="bottom"/>
            <w:vMerge w:val="continue"/>
          </w:tcPr>
          <w:p>
            <w:pPr>
              <w:spacing w:after="0"/>
              <w:rPr>
                <w:sz w:val="20"/>
                <w:szCs w:val="20"/>
                <w:color w:val="auto"/>
              </w:rPr>
            </w:pPr>
          </w:p>
        </w:tc>
        <w:tc>
          <w:tcPr>
            <w:tcW w:w="51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w:t>
            </w:r>
          </w:p>
        </w:tc>
        <w:tc>
          <w:tcPr>
            <w:tcW w:w="2300" w:type="dxa"/>
            <w:vAlign w:val="bottom"/>
          </w:tcPr>
          <w:p>
            <w:pPr>
              <w:spacing w:after="0"/>
              <w:rPr>
                <w:sz w:val="20"/>
                <w:szCs w:val="20"/>
                <w:color w:val="auto"/>
              </w:rPr>
            </w:pP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7420" w:type="dxa"/>
            <w:vAlign w:val="bottom"/>
            <w:gridSpan w:val="13"/>
          </w:tcPr>
          <w:p>
            <w:pPr>
              <w:spacing w:after="0" w:line="188"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340" w:type="dxa"/>
            <w:vAlign w:val="bottom"/>
            <w:tcBorders>
              <w:top w:val="single" w:sz="8" w:color="0000FF"/>
              <w:bottom w:val="single" w:sz="8" w:color="0000FF"/>
            </w:tcBorders>
          </w:tcPr>
          <w:p>
            <w:pPr>
              <w:spacing w:after="0" w:line="188" w:lineRule="exact"/>
              <w:rPr>
                <w:sz w:val="20"/>
                <w:szCs w:val="20"/>
                <w:color w:val="auto"/>
              </w:rPr>
            </w:pPr>
            <w:r>
              <w:rPr>
                <w:rFonts w:ascii="Times New Roman" w:cs="Times New Roman" w:eastAsia="Times New Roman" w:hAnsi="Times New Roman"/>
                <w:sz w:val="17"/>
                <w:szCs w:val="17"/>
                <w:color w:val="0000FF"/>
                <w:w w:val="93"/>
              </w:rPr>
              <w:t>2002</w:t>
            </w:r>
          </w:p>
        </w:tc>
        <w:tc>
          <w:tcPr>
            <w:tcW w:w="100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152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w:t>
            </w: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5060" w:type="dxa"/>
            <w:vAlign w:val="bottom"/>
            <w:tcBorders>
              <w:top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2360" w:type="dxa"/>
            <w:vAlign w:val="bottom"/>
            <w:gridSpan w:val="2"/>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340" w:type="dxa"/>
            <w:vAlign w:val="bottom"/>
            <w:tcBorders>
              <w:top w:val="single" w:sz="8" w:color="0000FF"/>
              <w:bottom w:val="single" w:sz="8" w:color="0000FF"/>
            </w:tcBorders>
          </w:tcPr>
          <w:p>
            <w:pPr>
              <w:spacing w:after="0" w:line="188" w:lineRule="exact"/>
              <w:rPr>
                <w:sz w:val="20"/>
                <w:szCs w:val="20"/>
                <w:color w:val="auto"/>
              </w:rPr>
            </w:pPr>
            <w:r>
              <w:rPr>
                <w:rFonts w:ascii="Times New Roman" w:cs="Times New Roman" w:eastAsia="Times New Roman" w:hAnsi="Times New Roman"/>
                <w:sz w:val="17"/>
                <w:szCs w:val="17"/>
                <w:color w:val="0000FF"/>
                <w:w w:val="93"/>
              </w:rPr>
              <w:t>2002</w:t>
            </w:r>
          </w:p>
        </w:tc>
        <w:tc>
          <w:tcPr>
            <w:tcW w:w="1000" w:type="dxa"/>
            <w:vAlign w:val="bottom"/>
            <w:tcBorders>
              <w:top w:val="single" w:sz="8" w:color="0000FF"/>
            </w:tcBorders>
          </w:tcPr>
          <w:p>
            <w:pPr>
              <w:spacing w:after="0"/>
              <w:rPr>
                <w:sz w:val="16"/>
                <w:szCs w:val="16"/>
                <w:color w:val="auto"/>
              </w:rPr>
            </w:pPr>
          </w:p>
        </w:tc>
        <w:tc>
          <w:tcPr>
            <w:tcW w:w="680" w:type="dxa"/>
            <w:vAlign w:val="bottom"/>
            <w:tcBorders>
              <w:top w:val="single" w:sz="8" w:color="0000FF"/>
            </w:tcBorders>
          </w:tcPr>
          <w:p>
            <w:pPr>
              <w:spacing w:after="0"/>
              <w:rPr>
                <w:sz w:val="16"/>
                <w:szCs w:val="16"/>
                <w:color w:val="auto"/>
              </w:rPr>
            </w:pPr>
          </w:p>
        </w:tc>
        <w:tc>
          <w:tcPr>
            <w:tcW w:w="152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Clover Health Investments, Corp. Clawback Policy</w:t>
            </w:r>
          </w:p>
        </w:tc>
        <w:tc>
          <w:tcPr>
            <w:tcW w:w="2440" w:type="dxa"/>
            <w:vAlign w:val="bottom"/>
          </w:tcPr>
          <w:p>
            <w:pPr>
              <w:ind w:left="2320"/>
              <w:spacing w:after="0"/>
              <w:rPr>
                <w:sz w:val="20"/>
                <w:szCs w:val="20"/>
                <w:color w:val="auto"/>
              </w:rPr>
            </w:pPr>
            <w:r>
              <w:rPr>
                <w:rFonts w:ascii="Times New Roman" w:cs="Times New Roman" w:eastAsia="Times New Roman" w:hAnsi="Times New Roman"/>
                <w:sz w:val="17"/>
                <w:szCs w:val="17"/>
                <w:color w:val="auto"/>
                <w:w w:val="81"/>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3880" w:type="dxa"/>
            <w:vAlign w:val="bottom"/>
            <w:gridSpan w:val="9"/>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rPr>
                <w:sz w:val="15"/>
                <w:szCs w:val="15"/>
                <w:color w:val="auto"/>
              </w:rPr>
            </w:pPr>
          </w:p>
        </w:tc>
        <w:tc>
          <w:tcPr>
            <w:tcW w:w="7420" w:type="dxa"/>
            <w:vAlign w:val="bottom"/>
            <w:gridSpan w:val="13"/>
          </w:tcPr>
          <w:p>
            <w:pPr>
              <w:spacing w:after="0" w:line="176" w:lineRule="exact"/>
              <w:rPr>
                <w:sz w:val="20"/>
                <w:szCs w:val="20"/>
                <w:color w:val="auto"/>
              </w:rPr>
            </w:pPr>
            <w:r>
              <w:rPr>
                <w:rFonts w:ascii="Times New Roman" w:cs="Times New Roman" w:eastAsia="Times New Roman" w:hAnsi="Times New Roman"/>
                <w:sz w:val="17"/>
                <w:szCs w:val="17"/>
                <w:color w:val="auto"/>
              </w:rPr>
              <w:t>appear in the Interactive Data File because XBRL tags are embedded</w:t>
            </w: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19"/>
                <w:szCs w:val="19"/>
                <w:color w:val="auto"/>
              </w:rPr>
            </w:pP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74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000" w:right="5480" w:hanging="979"/>
        <w:spacing w:after="0" w:line="239"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91" w:lineRule="exact"/>
        <w:rPr>
          <w:sz w:val="20"/>
          <w:szCs w:val="20"/>
          <w:color w:val="auto"/>
        </w:rPr>
      </w:pPr>
    </w:p>
    <w:p>
      <w:pPr>
        <w:spacing w:after="0"/>
        <w:rPr>
          <w:sz w:val="20"/>
          <w:szCs w:val="20"/>
          <w:color w:val="auto"/>
        </w:rPr>
      </w:pPr>
      <w:r>
        <w:rPr>
          <w:rFonts w:ascii="Arial" w:cs="Arial" w:eastAsia="Arial" w:hAnsi="Arial"/>
          <w:sz w:val="21"/>
          <w:szCs w:val="21"/>
          <w:color w:val="auto"/>
        </w:rPr>
        <w:t>_____________</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a management contract or compensatory plan or arrangement.</w:t>
      </w:r>
    </w:p>
    <w:p>
      <w:pPr>
        <w:ind w:firstLine="4"/>
        <w:spacing w:after="0" w:line="252" w:lineRule="auto"/>
        <w:tabs>
          <w:tab w:leader="none" w:pos="222"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to this exhibit have been omitted in accordance with Regulation S-K Item 601(b)(2). The registrant hereby agrees to furnish supplementary a copy of any omitted schedule to the SEC upon its request.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280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Clover Health Investments, Corp.</w:t>
      </w:r>
    </w:p>
    <w:p>
      <w:pPr>
        <w:spacing w:after="0" w:line="33" w:lineRule="exact"/>
        <w:rPr>
          <w:sz w:val="20"/>
          <w:szCs w:val="20"/>
          <w:color w:val="auto"/>
        </w:rPr>
      </w:pPr>
    </w:p>
    <w:p>
      <w:pPr>
        <w:ind w:left="20"/>
        <w:spacing w:after="0"/>
        <w:tabs>
          <w:tab w:leader="none" w:pos="5820" w:val="left"/>
          <w:tab w:leader="none" w:pos="8220" w:val="left"/>
        </w:tabs>
        <w:rPr>
          <w:sz w:val="20"/>
          <w:szCs w:val="20"/>
          <w:color w:val="auto"/>
        </w:rPr>
      </w:pPr>
      <w:r>
        <w:rPr>
          <w:rFonts w:ascii="Times New Roman" w:cs="Times New Roman" w:eastAsia="Times New Roman" w:hAnsi="Times New Roman"/>
          <w:sz w:val="17"/>
          <w:szCs w:val="17"/>
          <w:color w:val="auto"/>
        </w:rPr>
        <w:t>Date: March 14,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15875</wp:posOffset>
            </wp:positionV>
            <wp:extent cx="31400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3140075" cy="8255"/>
                    </a:xfrm>
                    <a:prstGeom prst="rect">
                      <a:avLst/>
                    </a:prstGeom>
                    <a:noFill/>
                  </pic:spPr>
                </pic:pic>
              </a:graphicData>
            </a:graphic>
          </wp:anchor>
        </w:drawing>
      </w:r>
    </w:p>
    <w:p>
      <w:pPr>
        <w:spacing w:after="0" w:line="1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7"/>
          <w:szCs w:val="17"/>
          <w:b w:val="1"/>
          <w:bCs w:val="1"/>
          <w:color w:val="auto"/>
        </w:rPr>
        <w:t>Andrew Toy</w:t>
      </w:r>
    </w:p>
    <w:p>
      <w:pPr>
        <w:spacing w:after="0" w:line="3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3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1880"/>
        <w:spacing w:after="0"/>
        <w:tabs>
          <w:tab w:leader="none" w:pos="6100" w:val="left"/>
          <w:tab w:leader="none" w:pos="9480" w:val="left"/>
        </w:tabs>
        <w:rPr>
          <w:sz w:val="20"/>
          <w:szCs w:val="20"/>
          <w:color w:val="auto"/>
        </w:rPr>
      </w:pPr>
      <w:r>
        <w:rPr>
          <w:rFonts w:ascii="Times New Roman" w:cs="Times New Roman" w:eastAsia="Times New Roman" w:hAnsi="Times New Roman"/>
          <w:sz w:val="17"/>
          <w:szCs w:val="17"/>
          <w:b w:val="1"/>
          <w:bCs w:val="1"/>
          <w:u w:val="single" w:color="auto"/>
          <w:color w:val="auto"/>
        </w:rPr>
        <w:t>Signature</w:t>
      </w:r>
      <w:r>
        <w:rPr>
          <w:sz w:val="20"/>
          <w:szCs w:val="20"/>
          <w:color w:val="auto"/>
        </w:rPr>
        <w:tab/>
      </w:r>
      <w:r>
        <w:rPr>
          <w:rFonts w:ascii="Times New Roman" w:cs="Times New Roman" w:eastAsia="Times New Roman" w:hAnsi="Times New Roman"/>
          <w:sz w:val="17"/>
          <w:szCs w:val="17"/>
          <w:b w:val="1"/>
          <w:bCs w:val="1"/>
          <w:u w:val="single" w:color="auto"/>
          <w:color w:val="auto"/>
        </w:rPr>
        <w:t>Title</w:t>
      </w:r>
      <w:r>
        <w:rPr>
          <w:sz w:val="20"/>
          <w:szCs w:val="20"/>
          <w:color w:val="auto"/>
        </w:rPr>
        <w:tab/>
      </w:r>
      <w:r>
        <w:rPr>
          <w:rFonts w:ascii="Times New Roman" w:cs="Times New Roman" w:eastAsia="Times New Roman" w:hAnsi="Times New Roman"/>
          <w:sz w:val="17"/>
          <w:szCs w:val="17"/>
          <w:b w:val="1"/>
          <w:bCs w:val="1"/>
          <w:u w:val="single" w:color="auto"/>
          <w:color w:val="auto"/>
        </w:rPr>
        <w:t>Date</w:t>
      </w:r>
    </w:p>
    <w:p>
      <w:pPr>
        <w:sectPr>
          <w:pgSz w:w="11900" w:h="16838" w:orient="portrait"/>
          <w:cols w:equalWidth="0" w:num="1">
            <w:col w:w="11240"/>
          </w:cols>
          <w:pgMar w:left="320" w:top="742" w:right="339" w:bottom="1440" w:gutter="0" w:footer="0" w:header="0"/>
        </w:sect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 (Principal Executive</w:t>
            </w:r>
          </w:p>
        </w:tc>
      </w:tr>
      <w:tr>
        <w:trPr>
          <w:trHeight w:val="234"/>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Andrew Toy</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Officer) and Director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Andrew Toy</w:t>
            </w:r>
          </w:p>
        </w:tc>
        <w:tc>
          <w:tcPr>
            <w:tcW w:w="3600" w:type="dxa"/>
            <w:vAlign w:val="bottom"/>
          </w:tcPr>
          <w:p>
            <w:pPr>
              <w:spacing w:after="0"/>
              <w:rPr>
                <w:sz w:val="19"/>
                <w:szCs w:val="19"/>
                <w:color w:val="auto"/>
              </w:rPr>
            </w:pPr>
          </w:p>
        </w:tc>
      </w:tr>
      <w:tr>
        <w:trPr>
          <w:trHeight w:val="421"/>
        </w:trPr>
        <w:tc>
          <w:tcPr>
            <w:tcW w:w="448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Interim Chief Financial Officer (Principal Financial</w:t>
            </w:r>
          </w:p>
        </w:tc>
      </w:tr>
      <w:tr>
        <w:trPr>
          <w:trHeight w:val="234"/>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Terrence Ronan</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Officer and Principal Accounting Officer)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Terrence Ronan</w:t>
            </w:r>
          </w:p>
        </w:tc>
        <w:tc>
          <w:tcPr>
            <w:tcW w:w="3600" w:type="dxa"/>
            <w:vAlign w:val="bottom"/>
          </w:tcPr>
          <w:p>
            <w:pPr>
              <w:spacing w:after="0"/>
              <w:rPr>
                <w:sz w:val="19"/>
                <w:szCs w:val="19"/>
                <w:color w:val="auto"/>
              </w:rPr>
            </w:pPr>
          </w:p>
        </w:tc>
      </w:tr>
      <w:tr>
        <w:trPr>
          <w:trHeight w:val="4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Vivek Garipalli</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 and Executive Chair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Vivek Garipalli</w:t>
            </w:r>
          </w:p>
        </w:tc>
        <w:tc>
          <w:tcPr>
            <w:tcW w:w="3600" w:type="dxa"/>
            <w:vAlign w:val="bottom"/>
          </w:tcPr>
          <w:p>
            <w:pPr>
              <w:spacing w:after="0"/>
              <w:rPr>
                <w:sz w:val="19"/>
                <w:szCs w:val="19"/>
                <w:color w:val="auto"/>
              </w:rPr>
            </w:pPr>
          </w:p>
        </w:tc>
      </w:tr>
      <w:tr>
        <w:trPr>
          <w:trHeight w:val="4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Chelsea Clinton</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Chelsea Clinton</w:t>
            </w:r>
          </w:p>
        </w:tc>
        <w:tc>
          <w:tcPr>
            <w:tcW w:w="3600" w:type="dxa"/>
            <w:vAlign w:val="bottom"/>
          </w:tcPr>
          <w:p>
            <w:pPr>
              <w:spacing w:after="0"/>
              <w:rPr>
                <w:sz w:val="19"/>
                <w:szCs w:val="19"/>
                <w:color w:val="auto"/>
              </w:rPr>
            </w:pPr>
          </w:p>
        </w:tc>
      </w:tr>
      <w:tr>
        <w:trPr>
          <w:trHeight w:val="4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Demetrios L. Kouzoukas</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Demetrios L. Kouzoukas</w:t>
            </w:r>
          </w:p>
        </w:tc>
        <w:tc>
          <w:tcPr>
            <w:tcW w:w="3600" w:type="dxa"/>
            <w:vAlign w:val="bottom"/>
          </w:tcPr>
          <w:p>
            <w:pPr>
              <w:spacing w:after="0"/>
              <w:rPr>
                <w:sz w:val="19"/>
                <w:szCs w:val="19"/>
                <w:color w:val="auto"/>
              </w:rPr>
            </w:pPr>
          </w:p>
        </w:tc>
      </w:tr>
      <w:tr>
        <w:trPr>
          <w:trHeight w:val="4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Lee A. Shapiro</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Lee A. Shapiro</w:t>
            </w:r>
          </w:p>
        </w:tc>
        <w:tc>
          <w:tcPr>
            <w:tcW w:w="3600" w:type="dxa"/>
            <w:vAlign w:val="bottom"/>
          </w:tcPr>
          <w:p>
            <w:pPr>
              <w:spacing w:after="0"/>
              <w:rPr>
                <w:sz w:val="19"/>
                <w:szCs w:val="19"/>
                <w:color w:val="auto"/>
              </w:rPr>
            </w:pPr>
          </w:p>
        </w:tc>
      </w:tr>
      <w:tr>
        <w:trPr>
          <w:trHeight w:val="4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William G. Robinson, Jr.</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William G. Robinson, Jr.</w:t>
            </w:r>
          </w:p>
        </w:tc>
        <w:tc>
          <w:tcPr>
            <w:tcW w:w="3600" w:type="dxa"/>
            <w:vAlign w:val="bottom"/>
          </w:tcPr>
          <w:p>
            <w:pPr>
              <w:spacing w:after="0"/>
              <w:rPr>
                <w:sz w:val="19"/>
                <w:szCs w:val="19"/>
                <w:color w:val="auto"/>
              </w:rPr>
            </w:pPr>
          </w:p>
        </w:tc>
      </w:tr>
      <w:tr>
        <w:trPr>
          <w:trHeight w:val="4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Carladenise A. Edwards</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Carladenise A. Edwards</w:t>
            </w:r>
          </w:p>
        </w:tc>
        <w:tc>
          <w:tcPr>
            <w:tcW w:w="3600" w:type="dxa"/>
            <w:vAlign w:val="bottom"/>
          </w:tcPr>
          <w:p>
            <w:pPr>
              <w:spacing w:after="0"/>
              <w:rPr>
                <w:sz w:val="19"/>
                <w:szCs w:val="19"/>
                <w:color w:val="auto"/>
              </w:rPr>
            </w:pPr>
          </w:p>
        </w:tc>
      </w:tr>
      <w:tr>
        <w:trPr>
          <w:trHeight w:val="473"/>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Anna U. Loengard</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21"/>
        </w:trPr>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Anna U. Loengard</w:t>
            </w:r>
          </w:p>
        </w:tc>
        <w:tc>
          <w:tcPr>
            <w:tcW w:w="3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200" w:lineRule="exact"/>
        <w:rPr>
          <w:sz w:val="20"/>
          <w:szCs w:val="20"/>
          <w:color w:val="auto"/>
        </w:rPr>
      </w:pPr>
    </w:p>
    <w:p>
      <w:pPr>
        <w:spacing w:after="0" w:line="31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Date: March 14, 2024</w:t>
      </w:r>
    </w:p>
    <w:p>
      <w:pPr>
        <w:spacing w:after="0" w:line="471" w:lineRule="exact"/>
        <w:rPr>
          <w:sz w:val="20"/>
          <w:szCs w:val="20"/>
          <w:color w:val="auto"/>
        </w:rPr>
      </w:pPr>
    </w:p>
    <w:p>
      <w:pPr>
        <w:sectPr>
          <w:pgSz w:w="11900" w:h="16838" w:orient="portrait"/>
          <w:cols w:equalWidth="0" w:num="2">
            <w:col w:w="8200" w:space="720"/>
            <w:col w:w="2320"/>
          </w:cols>
          <w:pgMar w:left="320" w:top="742" w:right="339" w:bottom="144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1240"/>
          </w:cols>
          <w:pgMar w:left="320" w:top="742"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21"/>
          <w:szCs w:val="21"/>
          <w:u w:val="single" w:color="auto"/>
          <w:color w:val="auto"/>
        </w:rPr>
        <w:t>CONFIDENTIAL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March 8, 2024</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color w:val="auto"/>
        </w:rPr>
        <w:t>Clover Health Investments, Corp.</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725 Cool Springs Blvd, Suite 300</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Franklin, Tennessee 37067</w:t>
      </w:r>
    </w:p>
    <w:p>
      <w:pPr>
        <w:spacing w:after="0" w:line="21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b w:val="1"/>
          <w:bCs w:val="1"/>
          <w:color w:val="auto"/>
        </w:rPr>
        <w:t>Re:</w:t>
      </w:r>
      <w:r>
        <w:rPr>
          <w:sz w:val="20"/>
          <w:szCs w:val="20"/>
          <w:color w:val="auto"/>
        </w:rPr>
        <w:tab/>
      </w:r>
      <w:r>
        <w:rPr>
          <w:rFonts w:ascii="Arial" w:cs="Arial" w:eastAsia="Arial" w:hAnsi="Arial"/>
          <w:sz w:val="21"/>
          <w:szCs w:val="21"/>
          <w:b w:val="1"/>
          <w:bCs w:val="1"/>
          <w:u w:val="single" w:color="auto"/>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176530</wp:posOffset>
            </wp:positionV>
            <wp:extent cx="7087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0878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color w:val="auto"/>
        </w:rPr>
        <w:t>Dear Karen Soares,</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This Employment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between you (referred to hereinafter as “</w:t>
      </w:r>
      <w:r>
        <w:rPr>
          <w:rFonts w:ascii="Arial" w:cs="Arial" w:eastAsia="Arial" w:hAnsi="Arial"/>
          <w:sz w:val="21"/>
          <w:szCs w:val="21"/>
          <w:b w:val="1"/>
          <w:bCs w:val="1"/>
          <w:color w:val="auto"/>
        </w:rPr>
        <w:t>Executive</w:t>
      </w:r>
      <w:r>
        <w:rPr>
          <w:rFonts w:ascii="Arial" w:cs="Arial" w:eastAsia="Arial" w:hAnsi="Arial"/>
          <w:sz w:val="21"/>
          <w:szCs w:val="21"/>
          <w:color w:val="auto"/>
        </w:rPr>
        <w:t>”) and Clover Health Labs (the “</w:t>
      </w:r>
      <w:r>
        <w:rPr>
          <w:rFonts w:ascii="Arial" w:cs="Arial" w:eastAsia="Arial" w:hAnsi="Arial"/>
          <w:sz w:val="21"/>
          <w:szCs w:val="21"/>
          <w:b w:val="1"/>
          <w:bCs w:val="1"/>
          <w:color w:val="auto"/>
        </w:rPr>
        <w:t>Company</w:t>
      </w:r>
      <w:r>
        <w:rPr>
          <w:rFonts w:ascii="Arial" w:cs="Arial" w:eastAsia="Arial" w:hAnsi="Arial"/>
          <w:sz w:val="21"/>
          <w:szCs w:val="21"/>
          <w:color w:val="auto"/>
        </w:rPr>
        <w:t>”) sets forth the terms and conditions that shall govern Executive’s employment with the Company (referred to hereinafter as “</w:t>
      </w:r>
      <w:r>
        <w:rPr>
          <w:rFonts w:ascii="Arial" w:cs="Arial" w:eastAsia="Arial" w:hAnsi="Arial"/>
          <w:sz w:val="21"/>
          <w:szCs w:val="21"/>
          <w:b w:val="1"/>
          <w:bCs w:val="1"/>
          <w:color w:val="auto"/>
        </w:rPr>
        <w:t>Employment</w:t>
      </w:r>
      <w:r>
        <w:rPr>
          <w:rFonts w:ascii="Arial" w:cs="Arial" w:eastAsia="Arial" w:hAnsi="Arial"/>
          <w:sz w:val="21"/>
          <w:szCs w:val="21"/>
          <w:color w:val="auto"/>
        </w:rPr>
        <w:t>” or the “</w:t>
      </w:r>
      <w:r>
        <w:rPr>
          <w:rFonts w:ascii="Arial" w:cs="Arial" w:eastAsia="Arial" w:hAnsi="Arial"/>
          <w:sz w:val="21"/>
          <w:szCs w:val="21"/>
          <w:b w:val="1"/>
          <w:bCs w:val="1"/>
          <w:color w:val="auto"/>
        </w:rPr>
        <w:t>Employment Period</w:t>
      </w:r>
      <w:r>
        <w:rPr>
          <w:rFonts w:ascii="Arial" w:cs="Arial" w:eastAsia="Arial" w:hAnsi="Arial"/>
          <w:sz w:val="21"/>
          <w:szCs w:val="21"/>
          <w:color w:val="auto"/>
        </w:rPr>
        <w:t>”) to reflect Executive’s promotion to the role of General Counsel of the Company effective as of October 31, 2023.</w:t>
      </w:r>
    </w:p>
    <w:p>
      <w:pPr>
        <w:spacing w:after="0" w:line="290" w:lineRule="exact"/>
        <w:rPr>
          <w:sz w:val="20"/>
          <w:szCs w:val="20"/>
          <w:color w:val="auto"/>
        </w:rPr>
      </w:pPr>
    </w:p>
    <w:p>
      <w:pPr>
        <w:ind w:left="620" w:hanging="305"/>
        <w:spacing w:after="0"/>
        <w:tabs>
          <w:tab w:leader="none" w:pos="620" w:val="left"/>
        </w:tabs>
        <w:numPr>
          <w:ilvl w:val="0"/>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Duties and Scope of Employment.</w:t>
      </w:r>
    </w:p>
    <w:p>
      <w:pPr>
        <w:spacing w:after="0" w:line="108" w:lineRule="exact"/>
        <w:rPr>
          <w:rFonts w:ascii="Arial" w:cs="Arial" w:eastAsia="Arial" w:hAnsi="Arial"/>
          <w:sz w:val="21"/>
          <w:szCs w:val="21"/>
          <w:color w:val="auto"/>
        </w:rPr>
      </w:pPr>
    </w:p>
    <w:p>
      <w:pPr>
        <w:jc w:val="both"/>
        <w:ind w:left="1240" w:hanging="302"/>
        <w:spacing w:after="0" w:line="254" w:lineRule="auto"/>
        <w:tabs>
          <w:tab w:leader="none" w:pos="1232" w:val="left"/>
        </w:tabs>
        <w:numPr>
          <w:ilvl w:val="1"/>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At-Will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with the Company is for no specified period and constitutes</w:t>
      </w:r>
      <w:r>
        <w:rPr>
          <w:rFonts w:ascii="Arial" w:cs="Arial" w:eastAsia="Arial" w:hAnsi="Arial"/>
          <w:sz w:val="21"/>
          <w:szCs w:val="21"/>
          <w:b w:val="1"/>
          <w:bCs w:val="1"/>
          <w:color w:val="auto"/>
        </w:rPr>
        <w:t xml:space="preserve"> </w:t>
      </w:r>
      <w:r>
        <w:rPr>
          <w:rFonts w:ascii="Arial" w:cs="Arial" w:eastAsia="Arial" w:hAnsi="Arial"/>
          <w:sz w:val="21"/>
          <w:szCs w:val="21"/>
          <w:color w:val="auto"/>
        </w:rPr>
        <w:t>“at will” 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63" w:lineRule="exact"/>
        <w:rPr>
          <w:rFonts w:ascii="Arial" w:cs="Arial" w:eastAsia="Arial" w:hAnsi="Arial"/>
          <w:sz w:val="21"/>
          <w:szCs w:val="21"/>
          <w:color w:val="auto"/>
        </w:rPr>
      </w:pPr>
    </w:p>
    <w:p>
      <w:pPr>
        <w:jc w:val="both"/>
        <w:ind w:left="1240" w:hanging="302"/>
        <w:spacing w:after="0" w:line="254" w:lineRule="auto"/>
        <w:tabs>
          <w:tab w:leader="none" w:pos="1232" w:val="left"/>
        </w:tabs>
        <w:numPr>
          <w:ilvl w:val="1"/>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Position and Responsibilities.</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Employment Period, the Company agrees to employ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in the position of General Counsel. Executive will report to the Company’s Chief Executive Officer Andrew Toy, or to such other Person (as defined below) as the Company subsequently may determine (Executive’s “Supervisor”), and Executive will be working remotely and based out of California. Executive will perform the duties and have the responsibilities and authority customarily performed and held by an employee in Executive’s position or as otherwise may be assigned or delegated to Executive by Executive’s Supervisor.</w:t>
      </w:r>
    </w:p>
    <w:p>
      <w:pPr>
        <w:spacing w:after="0" w:line="63" w:lineRule="exact"/>
        <w:rPr>
          <w:rFonts w:ascii="Arial" w:cs="Arial" w:eastAsia="Arial" w:hAnsi="Arial"/>
          <w:sz w:val="21"/>
          <w:szCs w:val="21"/>
          <w:color w:val="auto"/>
        </w:rPr>
      </w:pPr>
    </w:p>
    <w:p>
      <w:pPr>
        <w:jc w:val="both"/>
        <w:ind w:left="1240" w:hanging="302"/>
        <w:spacing w:after="0" w:line="260" w:lineRule="auto"/>
        <w:tabs>
          <w:tab w:leader="none" w:pos="1233" w:val="left"/>
        </w:tabs>
        <w:numPr>
          <w:ilvl w:val="1"/>
          <w:numId w:val="38"/>
        </w:numPr>
        <w:rPr>
          <w:rFonts w:ascii="Arial" w:cs="Arial" w:eastAsia="Arial" w:hAnsi="Arial"/>
          <w:sz w:val="21"/>
          <w:szCs w:val="21"/>
          <w:color w:val="auto"/>
        </w:rPr>
      </w:pPr>
      <w:r>
        <w:rPr>
          <w:rFonts w:ascii="Arial" w:cs="Arial" w:eastAsia="Arial" w:hAnsi="Arial"/>
          <w:sz w:val="21"/>
          <w:szCs w:val="21"/>
          <w:b w:val="1"/>
          <w:bCs w:val="1"/>
          <w:u w:val="single" w:color="auto"/>
          <w:color w:val="auto"/>
        </w:rPr>
        <w:t>Obligations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Employment Period, Executive shall perform Executive’s duties</w:t>
      </w:r>
      <w:r>
        <w:rPr>
          <w:rFonts w:ascii="Arial" w:cs="Arial" w:eastAsia="Arial" w:hAnsi="Arial"/>
          <w:sz w:val="21"/>
          <w:szCs w:val="21"/>
          <w:b w:val="1"/>
          <w:bCs w:val="1"/>
          <w:color w:val="auto"/>
        </w:rPr>
        <w:t xml:space="preserve"> </w:t>
      </w:r>
      <w:r>
        <w:rPr>
          <w:rFonts w:ascii="Arial" w:cs="Arial" w:eastAsia="Arial" w:hAnsi="Arial"/>
          <w:sz w:val="21"/>
          <w:szCs w:val="21"/>
          <w:color w:val="auto"/>
        </w:rPr>
        <w:t>faithfully and to the best of Executive’s ability and will devote Executive’s full business efforts and time to the Company. During the Employment Period, without the prior written approval of the Conflicts Committee, Executive shall not render services in</w:t>
      </w:r>
    </w:p>
    <w:p>
      <w:pPr>
        <w:sectPr>
          <w:pgSz w:w="11900" w:h="16838" w:orient="portrait"/>
          <w:cols w:equalWidth="0" w:num="1">
            <w:col w:w="11240"/>
          </w:cols>
          <w:pgMar w:left="320" w:top="1372" w:right="339" w:bottom="1440" w:gutter="0" w:footer="0" w:header="0"/>
        </w:sectPr>
      </w:pPr>
    </w:p>
    <w:bookmarkStart w:id="137" w:name="page138"/>
    <w:bookmarkEnd w:id="137"/>
    <w:p>
      <w:pPr>
        <w:spacing w:after="0" w:line="37" w:lineRule="exact"/>
        <w:rPr>
          <w:sz w:val="20"/>
          <w:szCs w:val="20"/>
          <w:color w:val="auto"/>
        </w:rPr>
      </w:pPr>
    </w:p>
    <w:p>
      <w:pPr>
        <w:jc w:val="both"/>
        <w:ind w:left="925"/>
        <w:spacing w:after="0" w:line="250" w:lineRule="auto"/>
        <w:rPr>
          <w:sz w:val="20"/>
          <w:szCs w:val="20"/>
          <w:color w:val="auto"/>
        </w:rPr>
      </w:pPr>
      <w:r>
        <w:rPr>
          <w:rFonts w:ascii="Arial" w:cs="Arial" w:eastAsia="Arial" w:hAnsi="Arial"/>
          <w:sz w:val="21"/>
          <w:szCs w:val="21"/>
          <w:color w:val="auto"/>
        </w:rPr>
        <w:t>any capacity to any other Person and shall not act as a sole proprietor, advisor or partner of any other Person or own more than five percent (5%) of the stock of any other corporation. Notwithstanding the foregoing, Executive may serve on civic or charitable boards or committees, deliver lectures, fulfill speaking engagements, teach at educational institutions, or manage personal investments without advance written consent of the Conflicts Committee; provided that such activities do not individually or in the aggregate interfere with the performance of Executive’s duties under this Agreement or create a potential business or fiduciary conflict. Executive shall comply with the Company’s policies and rules, as they may be in effect from time to time during Executive’s Employment. Executive represents and warrants to the Company (i) that Executive is not subject to any non-compete or other covenant that would restrict Executive’s ability to work for the Company and (ii) that Executive has returned all property and confidential information belonging to any prior employer.</w:t>
      </w:r>
    </w:p>
    <w:p>
      <w:pPr>
        <w:spacing w:after="0" w:line="76" w:lineRule="exact"/>
        <w:rPr>
          <w:sz w:val="20"/>
          <w:szCs w:val="20"/>
          <w:color w:val="auto"/>
        </w:rPr>
      </w:pPr>
    </w:p>
    <w:p>
      <w:pPr>
        <w:ind w:left="305" w:hanging="305"/>
        <w:spacing w:after="0"/>
        <w:tabs>
          <w:tab w:leader="none" w:pos="305" w:val="left"/>
        </w:tabs>
        <w:numPr>
          <w:ilvl w:val="0"/>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Cash and Incentive Compensation</w:t>
      </w:r>
    </w:p>
    <w:p>
      <w:pPr>
        <w:spacing w:after="0" w:line="108" w:lineRule="exact"/>
        <w:rPr>
          <w:rFonts w:ascii="Arial" w:cs="Arial" w:eastAsia="Arial" w:hAnsi="Arial"/>
          <w:sz w:val="21"/>
          <w:szCs w:val="21"/>
          <w:color w:val="auto"/>
        </w:rPr>
      </w:pPr>
    </w:p>
    <w:p>
      <w:pPr>
        <w:jc w:val="both"/>
        <w:ind w:left="925" w:hanging="302"/>
        <w:spacing w:after="0" w:line="252" w:lineRule="auto"/>
        <w:tabs>
          <w:tab w:leader="none" w:pos="916" w:val="left"/>
        </w:tabs>
        <w:numPr>
          <w:ilvl w:val="1"/>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Base Salary.</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as of the payroll period beginning October 30, 2023, the Company shall pay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as compensation for Executive’s services, a base salary at a gross annual rate of $450,000.00, earned and payable on a bi-weekly basis, less all required tax withholdings and other applicable deductions, in accordance with the Company’s standard payroll procedures. The annual compensation specified in this subsection (a), together with any modifications in such compensation that the Company may make from time to time, is referred to in this Agreement as the “</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67" w:lineRule="exact"/>
        <w:rPr>
          <w:rFonts w:ascii="Arial" w:cs="Arial" w:eastAsia="Arial" w:hAnsi="Arial"/>
          <w:sz w:val="21"/>
          <w:szCs w:val="21"/>
          <w:color w:val="auto"/>
        </w:rPr>
      </w:pPr>
    </w:p>
    <w:p>
      <w:pPr>
        <w:jc w:val="both"/>
        <w:ind w:left="925" w:hanging="302"/>
        <w:spacing w:after="0" w:line="251" w:lineRule="auto"/>
        <w:tabs>
          <w:tab w:leader="none" w:pos="916" w:val="left"/>
        </w:tabs>
        <w:numPr>
          <w:ilvl w:val="1"/>
          <w:numId w:val="39"/>
        </w:numPr>
        <w:rPr>
          <w:rFonts w:ascii="Arial" w:cs="Arial" w:eastAsia="Arial" w:hAnsi="Arial"/>
          <w:sz w:val="21"/>
          <w:szCs w:val="21"/>
          <w:color w:val="auto"/>
        </w:rPr>
      </w:pPr>
      <w:r>
        <w:rPr>
          <w:rFonts w:ascii="Arial" w:cs="Arial" w:eastAsia="Arial" w:hAnsi="Arial"/>
          <w:sz w:val="21"/>
          <w:szCs w:val="21"/>
          <w:b w:val="1"/>
          <w:bCs w:val="1"/>
          <w:u w:val="single" w:color="auto"/>
          <w:color w:val="auto"/>
        </w:rPr>
        <w:t>Cash Incentive Bonus.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will be eligible to be considered for a cash incentive bonus (the “</w:t>
      </w:r>
      <w:r>
        <w:rPr>
          <w:rFonts w:ascii="Arial" w:cs="Arial" w:eastAsia="Arial" w:hAnsi="Arial"/>
          <w:sz w:val="21"/>
          <w:szCs w:val="21"/>
          <w:b w:val="1"/>
          <w:bCs w:val="1"/>
          <w:i w:val="1"/>
          <w:iCs w:val="1"/>
          <w:color w:val="auto"/>
        </w:rPr>
        <w:t>Cash</w:t>
      </w:r>
      <w:r>
        <w:rPr>
          <w:rFonts w:ascii="Arial" w:cs="Arial" w:eastAsia="Arial" w:hAnsi="Arial"/>
          <w:sz w:val="21"/>
          <w:szCs w:val="21"/>
          <w:b w:val="1"/>
          <w:bCs w:val="1"/>
          <w:color w:val="auto"/>
        </w:rPr>
        <w:t xml:space="preserve"> </w:t>
      </w:r>
      <w:r>
        <w:rPr>
          <w:rFonts w:ascii="Arial" w:cs="Arial" w:eastAsia="Arial" w:hAnsi="Arial"/>
          <w:sz w:val="21"/>
          <w:szCs w:val="21"/>
          <w:b w:val="1"/>
          <w:bCs w:val="1"/>
          <w:i w:val="1"/>
          <w:iCs w:val="1"/>
          <w:color w:val="auto"/>
        </w:rPr>
        <w:t>Bonus</w:t>
      </w:r>
      <w:r>
        <w:rPr>
          <w:rFonts w:ascii="Arial" w:cs="Arial" w:eastAsia="Arial" w:hAnsi="Arial"/>
          <w:sz w:val="21"/>
          <w:szCs w:val="21"/>
          <w:color w:val="auto"/>
        </w:rPr>
        <w:t>”) each Company bonus cycle during the Employment Period (the “</w:t>
      </w:r>
      <w:r>
        <w:rPr>
          <w:rFonts w:ascii="Arial" w:cs="Arial" w:eastAsia="Arial" w:hAnsi="Arial"/>
          <w:sz w:val="21"/>
          <w:szCs w:val="21"/>
          <w:b w:val="1"/>
          <w:bCs w:val="1"/>
          <w:i w:val="1"/>
          <w:iCs w:val="1"/>
          <w:color w:val="auto"/>
        </w:rPr>
        <w:t>Performance Period</w:t>
      </w:r>
      <w:r>
        <w:rPr>
          <w:rFonts w:ascii="Arial" w:cs="Arial" w:eastAsia="Arial" w:hAnsi="Arial"/>
          <w:sz w:val="21"/>
          <w:szCs w:val="21"/>
          <w:color w:val="auto"/>
        </w:rPr>
        <w:t>”) based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upon the achievement of certain objective or subjective criteria (collectively, the “</w:t>
      </w:r>
      <w:r>
        <w:rPr>
          <w:rFonts w:ascii="Arial" w:cs="Arial" w:eastAsia="Arial" w:hAnsi="Arial"/>
          <w:sz w:val="21"/>
          <w:szCs w:val="21"/>
          <w:b w:val="1"/>
          <w:bCs w:val="1"/>
          <w:i w:val="1"/>
          <w:iCs w:val="1"/>
          <w:color w:val="auto"/>
        </w:rPr>
        <w:t>Performance Goals</w:t>
      </w:r>
      <w:r>
        <w:rPr>
          <w:rFonts w:ascii="Arial" w:cs="Arial" w:eastAsia="Arial" w:hAnsi="Arial"/>
          <w:sz w:val="21"/>
          <w:szCs w:val="21"/>
          <w:color w:val="auto"/>
        </w:rPr>
        <w:t>”). In compliance with all relevant legal requirements and based on Executive’s level within the Company, the Performance Goals for Executive’s Cash Bonus for a particular cycle will be established by, and in the sole discretion of, the Company’s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any Compensation Committee of the Board (the “</w:t>
      </w:r>
      <w:r>
        <w:rPr>
          <w:rFonts w:ascii="Arial" w:cs="Arial" w:eastAsia="Arial" w:hAnsi="Arial"/>
          <w:sz w:val="21"/>
          <w:szCs w:val="21"/>
          <w:b w:val="1"/>
          <w:bCs w:val="1"/>
          <w:i w:val="1"/>
          <w:iCs w:val="1"/>
          <w:color w:val="auto"/>
        </w:rPr>
        <w:t>Committee</w:t>
      </w:r>
      <w:r>
        <w:rPr>
          <w:rFonts w:ascii="Arial" w:cs="Arial" w:eastAsia="Arial" w:hAnsi="Arial"/>
          <w:sz w:val="21"/>
          <w:szCs w:val="21"/>
          <w:color w:val="auto"/>
        </w:rPr>
        <w:t>”), or a delegate of either the Board or the Committee (the “</w:t>
      </w:r>
      <w:r>
        <w:rPr>
          <w:rFonts w:ascii="Arial" w:cs="Arial" w:eastAsia="Arial" w:hAnsi="Arial"/>
          <w:sz w:val="21"/>
          <w:szCs w:val="21"/>
          <w:b w:val="1"/>
          <w:bCs w:val="1"/>
          <w:i w:val="1"/>
          <w:iCs w:val="1"/>
          <w:color w:val="auto"/>
        </w:rPr>
        <w:t>Delegate</w:t>
      </w:r>
      <w:r>
        <w:rPr>
          <w:rFonts w:ascii="Arial" w:cs="Arial" w:eastAsia="Arial" w:hAnsi="Arial"/>
          <w:sz w:val="21"/>
          <w:szCs w:val="21"/>
          <w:color w:val="auto"/>
        </w:rPr>
        <w:t>”), as applicable. Beginning October 31, 2023, the target amount for any such Cash Bonus will be up to 75% of Executive’s Base Salary (the “</w:t>
      </w:r>
      <w:r>
        <w:rPr>
          <w:rFonts w:ascii="Arial" w:cs="Arial" w:eastAsia="Arial" w:hAnsi="Arial"/>
          <w:sz w:val="21"/>
          <w:szCs w:val="21"/>
          <w:b w:val="1"/>
          <w:bCs w:val="1"/>
          <w:i w:val="1"/>
          <w:iCs w:val="1"/>
          <w:color w:val="auto"/>
        </w:rPr>
        <w:t>Target Bonus Percentage</w:t>
      </w:r>
      <w:r>
        <w:rPr>
          <w:rFonts w:ascii="Arial" w:cs="Arial" w:eastAsia="Arial" w:hAnsi="Arial"/>
          <w:sz w:val="21"/>
          <w:szCs w:val="21"/>
          <w:color w:val="auto"/>
        </w:rPr>
        <w:t>”), less all required tax withholdings and other</w:t>
      </w:r>
    </w:p>
    <w:p>
      <w:pPr>
        <w:sectPr>
          <w:pgSz w:w="11900" w:h="16838" w:orient="portrait"/>
          <w:cols w:equalWidth="0" w:num="1">
            <w:col w:w="10925"/>
          </w:cols>
          <w:pgMar w:left="635" w:top="1440" w:right="339" w:bottom="1440" w:gutter="0" w:footer="0" w:header="0"/>
        </w:sectPr>
      </w:pPr>
    </w:p>
    <w:bookmarkStart w:id="138" w:name="page139"/>
    <w:bookmarkEnd w:id="138"/>
    <w:p>
      <w:pPr>
        <w:spacing w:after="0" w:line="37" w:lineRule="exact"/>
        <w:rPr>
          <w:sz w:val="20"/>
          <w:szCs w:val="20"/>
          <w:color w:val="auto"/>
        </w:rPr>
      </w:pPr>
    </w:p>
    <w:p>
      <w:pPr>
        <w:jc w:val="both"/>
        <w:ind w:left="302"/>
        <w:spacing w:after="0" w:line="250" w:lineRule="auto"/>
        <w:rPr>
          <w:sz w:val="20"/>
          <w:szCs w:val="20"/>
          <w:color w:val="auto"/>
        </w:rPr>
      </w:pPr>
      <w:r>
        <w:rPr>
          <w:rFonts w:ascii="Arial" w:cs="Arial" w:eastAsia="Arial" w:hAnsi="Arial"/>
          <w:sz w:val="21"/>
          <w:szCs w:val="21"/>
          <w:color w:val="auto"/>
        </w:rPr>
        <w:t>applicable deductions. The determinations of the Board, the Committee or the Delegate, as applicable, with respect to such Cash Bonus or the Target Bonus Percentage shall be final and binding. Employee’s Target Bonus Percentage for any subsequent cycle may be adjusted up or down, as determined in the sole discretion of the Board, the Committee or the Delegate, as applicable. Employee shall not earn a Cash Bonus unless Employee (i) has been employed by the Company for a minimum of three (3) months of the Performance Period and (ii) is employed by and in good standing with the Company on the date when such Cash Bonus is actually paid by the Company. If Employee has not been employed by the Company for the full Performance Period associated with the Cash Bonus, Employee will not be eligible for the full Cash Bonus that cycle; instead, Employee’s Cash Bonus will be prorated based on the number of completed months Employee has been employed with the Company. For purposes of clarity, the Target Bonus Percentage and Base Salary, as reflected in this Agreement, will be pro-rated for purposes of determining the Cash Bonus for the 2023 Performance Period.</w:t>
      </w:r>
    </w:p>
    <w:p>
      <w:pPr>
        <w:spacing w:after="0" w:line="71" w:lineRule="exact"/>
        <w:rPr>
          <w:sz w:val="20"/>
          <w:szCs w:val="20"/>
          <w:color w:val="auto"/>
        </w:rPr>
      </w:pPr>
    </w:p>
    <w:p>
      <w:pPr>
        <w:jc w:val="both"/>
        <w:ind w:left="302" w:hanging="302"/>
        <w:spacing w:after="0" w:line="250" w:lineRule="auto"/>
        <w:tabs>
          <w:tab w:leader="none" w:pos="294" w:val="left"/>
        </w:tabs>
        <w:numPr>
          <w:ilvl w:val="0"/>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Promotional Equity Awards.</w:t>
      </w:r>
      <w:r>
        <w:rPr>
          <w:rFonts w:ascii="Arial" w:cs="Arial" w:eastAsia="Arial" w:hAnsi="Arial"/>
          <w:sz w:val="21"/>
          <w:szCs w:val="21"/>
          <w:b w:val="1"/>
          <w:bCs w:val="1"/>
          <w:color w:val="auto"/>
        </w:rPr>
        <w:t xml:space="preserve"> </w:t>
      </w:r>
      <w:r>
        <w:rPr>
          <w:rFonts w:ascii="Arial" w:cs="Arial" w:eastAsia="Arial" w:hAnsi="Arial"/>
          <w:sz w:val="21"/>
          <w:szCs w:val="21"/>
          <w:color w:val="auto"/>
        </w:rPr>
        <w:t>In recognition of Executive’s new role with the Company as contemplated by</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on October 31, 2023, the Committee approved the following be provided to Executive: (i) a grant of 600,000 restricted stock units, and (ii) a grant of 400,000 performance stock units of the Company’s Class A common stock, with a grant date value of approximately $618,000 and $412,000 respectively, ((i) and (ii) together, the “</w:t>
      </w:r>
      <w:r>
        <w:rPr>
          <w:rFonts w:ascii="Arial" w:cs="Arial" w:eastAsia="Arial" w:hAnsi="Arial"/>
          <w:sz w:val="21"/>
          <w:szCs w:val="21"/>
          <w:b w:val="1"/>
          <w:bCs w:val="1"/>
          <w:i w:val="1"/>
          <w:iCs w:val="1"/>
          <w:color w:val="auto"/>
        </w:rPr>
        <w:t>Promotional Equity Award</w:t>
      </w:r>
      <w:r>
        <w:rPr>
          <w:rFonts w:ascii="Arial" w:cs="Arial" w:eastAsia="Arial" w:hAnsi="Arial"/>
          <w:sz w:val="21"/>
          <w:szCs w:val="21"/>
          <w:color w:val="auto"/>
        </w:rPr>
        <w:t>”). The number of shares subject to the Promotional RSU Award was determined in a manner generally consistent with the Company’s standard policy for equity grants as in effect at the time of grant, and a Form 4 reporting the grant was timely filed on November 2, 2023. Subject to any vesting acceleration rights Executive may have, the restricted stock unit portion of the Promotional Equity Award shall vest and become payable over two (2) years from the grant date, 50% after one year and the remaining vesting over four (4) quarters, subject to Executive continuing to provide services to the Company through the relevant vesting dates. The performance stock unit grant shall vest according to performance against the established metrics. The Promotional Equity Awards are subject to the terms, definitions and provisions of the Company’s 2020 Equity Plan and the relevant grant agreements by and between Executive and the Company (the “</w:t>
      </w:r>
      <w:r>
        <w:rPr>
          <w:rFonts w:ascii="Arial" w:cs="Arial" w:eastAsia="Arial" w:hAnsi="Arial"/>
          <w:sz w:val="21"/>
          <w:szCs w:val="21"/>
          <w:b w:val="1"/>
          <w:bCs w:val="1"/>
          <w:i w:val="1"/>
          <w:iCs w:val="1"/>
          <w:color w:val="auto"/>
        </w:rPr>
        <w:t>Equity Agreements</w:t>
      </w:r>
      <w:r>
        <w:rPr>
          <w:rFonts w:ascii="Arial" w:cs="Arial" w:eastAsia="Arial" w:hAnsi="Arial"/>
          <w:sz w:val="21"/>
          <w:szCs w:val="21"/>
          <w:color w:val="auto"/>
        </w:rPr>
        <w:t>”), both of which documents are incorporated herein by reference.</w:t>
      </w:r>
    </w:p>
    <w:p>
      <w:pPr>
        <w:spacing w:after="0" w:line="68" w:lineRule="exact"/>
        <w:rPr>
          <w:rFonts w:ascii="Arial" w:cs="Arial" w:eastAsia="Arial" w:hAnsi="Arial"/>
          <w:sz w:val="21"/>
          <w:szCs w:val="21"/>
          <w:color w:val="auto"/>
        </w:rPr>
      </w:pPr>
    </w:p>
    <w:p>
      <w:pPr>
        <w:jc w:val="both"/>
        <w:ind w:left="302" w:hanging="302"/>
        <w:spacing w:after="0" w:line="260" w:lineRule="auto"/>
        <w:tabs>
          <w:tab w:leader="none" w:pos="293" w:val="left"/>
        </w:tabs>
        <w:numPr>
          <w:ilvl w:val="0"/>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Ongoing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will be eligible to be considered for an annual grant of</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and/or time-based restricted stock units (the “Annual RSU Award”) each calendar year during the Performance Period based upon the achievement of certain objective or subjective criteria (collectively, the “Performance Goals”). For purposes</w:t>
      </w:r>
    </w:p>
    <w:p>
      <w:pPr>
        <w:sectPr>
          <w:pgSz w:w="11900" w:h="16838" w:orient="portrait"/>
          <w:cols w:equalWidth="0" w:num="1">
            <w:col w:w="10302"/>
          </w:cols>
          <w:pgMar w:left="1258" w:top="1440" w:right="339" w:bottom="1440" w:gutter="0" w:footer="0" w:header="0"/>
        </w:sectPr>
      </w:pPr>
    </w:p>
    <w:bookmarkStart w:id="139" w:name="page140"/>
    <w:bookmarkEnd w:id="139"/>
    <w:p>
      <w:pPr>
        <w:spacing w:after="0" w:line="36" w:lineRule="exact"/>
        <w:rPr>
          <w:sz w:val="20"/>
          <w:szCs w:val="20"/>
          <w:color w:val="auto"/>
        </w:rPr>
      </w:pPr>
    </w:p>
    <w:p>
      <w:pPr>
        <w:jc w:val="both"/>
        <w:ind w:left="925"/>
        <w:spacing w:after="0" w:line="251" w:lineRule="auto"/>
        <w:rPr>
          <w:sz w:val="20"/>
          <w:szCs w:val="20"/>
          <w:color w:val="auto"/>
        </w:rPr>
      </w:pPr>
      <w:r>
        <w:rPr>
          <w:rFonts w:ascii="Arial" w:cs="Arial" w:eastAsia="Arial" w:hAnsi="Arial"/>
          <w:sz w:val="21"/>
          <w:szCs w:val="21"/>
          <w:color w:val="auto"/>
        </w:rPr>
        <w:t>of clarity, the Performance Goals for the Annual RSU Award may differ from the Performance Goals for the Cash Bonus. The target Annual RSU Award will be in an amount and on terms in line with your peers, as determined by the Board, the Committee, or the Delegate, as applicable, under the terms of the Company’s 2020 Equity Plan or a replacement plan. The Annual RSU award may consist of multiple grants, and variable vesting schedules based upon time in service and/or performance goals. In compliance with all relevant legal requirements and based on Executive’s level within the Company, the Performance Goals for Executive’s Annual RSU Award for a particular year will be established by, and in the sole discretion of, the Board, the Committee, or the Delegate.</w:t>
      </w:r>
    </w:p>
    <w:p>
      <w:pPr>
        <w:spacing w:after="0" w:line="82" w:lineRule="exact"/>
        <w:rPr>
          <w:sz w:val="20"/>
          <w:szCs w:val="20"/>
          <w:color w:val="auto"/>
        </w:rPr>
      </w:pPr>
    </w:p>
    <w:p>
      <w:pPr>
        <w:jc w:val="both"/>
        <w:ind w:left="925" w:hanging="302"/>
        <w:spacing w:after="0" w:line="253" w:lineRule="auto"/>
        <w:tabs>
          <w:tab w:leader="none" w:pos="916" w:val="left"/>
        </w:tabs>
        <w:numPr>
          <w:ilvl w:val="1"/>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Additional Performance Awards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will also be eligible to participate in or receive additional cash-based or equity-based performance programs or awards if and when such programs are established or awards are granted and certain criteria are met. The amount and terms of cash-based or equity-based performance programs or awards, if any, will be subject to approval by the Board or the Committee, and values and terms and conditions will be in line with your peers.</w:t>
      </w:r>
    </w:p>
    <w:p>
      <w:pPr>
        <w:spacing w:after="0" w:line="64" w:lineRule="exact"/>
        <w:rPr>
          <w:rFonts w:ascii="Arial" w:cs="Arial" w:eastAsia="Arial" w:hAnsi="Arial"/>
          <w:sz w:val="21"/>
          <w:szCs w:val="21"/>
          <w:color w:val="auto"/>
        </w:rPr>
      </w:pPr>
    </w:p>
    <w:p>
      <w:pPr>
        <w:jc w:val="both"/>
        <w:ind w:left="305" w:hanging="305"/>
        <w:spacing w:after="0" w:line="254" w:lineRule="auto"/>
        <w:tabs>
          <w:tab w:leader="none" w:pos="296"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Employee Benefits.</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Employment Period, Executive shall be eligible to (a) receive flexible time off</w:t>
      </w:r>
      <w:r>
        <w:rPr>
          <w:rFonts w:ascii="Arial" w:cs="Arial" w:eastAsia="Arial" w:hAnsi="Arial"/>
          <w:sz w:val="21"/>
          <w:szCs w:val="21"/>
          <w:b w:val="1"/>
          <w:bCs w:val="1"/>
          <w:color w:val="auto"/>
        </w:rPr>
        <w:t xml:space="preserve"> </w:t>
      </w:r>
      <w:r>
        <w:rPr>
          <w:rFonts w:ascii="Arial" w:cs="Arial" w:eastAsia="Arial" w:hAnsi="Arial"/>
          <w:sz w:val="21"/>
          <w:szCs w:val="21"/>
          <w:color w:val="auto"/>
        </w:rPr>
        <w:t>(“FTO”) in accordance with the Company’s FTO policy, as it may be amended from time to time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spacing w:after="0" w:line="67" w:lineRule="exact"/>
        <w:rPr>
          <w:rFonts w:ascii="Arial" w:cs="Arial" w:eastAsia="Arial" w:hAnsi="Arial"/>
          <w:sz w:val="21"/>
          <w:szCs w:val="21"/>
          <w:color w:val="auto"/>
        </w:rPr>
      </w:pPr>
    </w:p>
    <w:p>
      <w:pPr>
        <w:jc w:val="both"/>
        <w:ind w:left="305" w:hanging="305"/>
        <w:spacing w:after="0" w:line="255" w:lineRule="auto"/>
        <w:tabs>
          <w:tab w:leader="none" w:pos="296"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Business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will reimburse Executive for necessary and reasonable business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incurred in connection with Executive’s duties hereunder upon presentation of an itemized account and appropriate supporting documentation, all in accordance with the Company’s generally applicable expense reimbursement policies as in effect from to time.</w:t>
      </w:r>
    </w:p>
    <w:p>
      <w:pPr>
        <w:spacing w:after="0" w:line="76" w:lineRule="exact"/>
        <w:rPr>
          <w:rFonts w:ascii="Arial" w:cs="Arial" w:eastAsia="Arial" w:hAnsi="Arial"/>
          <w:sz w:val="21"/>
          <w:szCs w:val="21"/>
          <w:color w:val="auto"/>
        </w:rPr>
      </w:pPr>
    </w:p>
    <w:p>
      <w:pPr>
        <w:jc w:val="both"/>
        <w:ind w:left="305" w:hanging="305"/>
        <w:spacing w:after="0" w:line="252" w:lineRule="auto"/>
        <w:tabs>
          <w:tab w:leader="none" w:pos="296"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Rights Upon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expressly provided in Section 6, upon the termination of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for the period preceding the effective date of the termination of Employment, Executive shall only be entitled to the following: (i) the accrued but unpaid Base Salary compensation and legacy PTO, (ii) the reimbursements for outstanding and unpaid business expenses described in Section 4 of this Agreement, and (iii) such other vested benefits earned under any Company-provided plans, policies, and arrangements in accordance with the governing documents and policies of any such, plans, policies and arrangements (collectively, the “Accrued Benefits”). The Accrued Benefits described in clauses</w:t>
      </w:r>
    </w:p>
    <w:p>
      <w:pPr>
        <w:sectPr>
          <w:pgSz w:w="11900" w:h="16838" w:orient="portrait"/>
          <w:cols w:equalWidth="0" w:num="1">
            <w:col w:w="10925"/>
          </w:cols>
          <w:pgMar w:left="635" w:top="1440" w:right="339" w:bottom="1440" w:gutter="0" w:footer="0" w:header="0"/>
        </w:sectPr>
      </w:pPr>
    </w:p>
    <w:bookmarkStart w:id="140" w:name="page141"/>
    <w:bookmarkEnd w:id="140"/>
    <w:p>
      <w:pPr>
        <w:spacing w:after="0" w:line="36" w:lineRule="exact"/>
        <w:rPr>
          <w:sz w:val="20"/>
          <w:szCs w:val="20"/>
          <w:color w:val="auto"/>
        </w:rPr>
      </w:pPr>
    </w:p>
    <w:p>
      <w:pPr>
        <w:jc w:val="both"/>
        <w:ind w:left="305" w:firstLine="7"/>
        <w:spacing w:after="0" w:line="260" w:lineRule="auto"/>
        <w:tabs>
          <w:tab w:leader="none" w:pos="552" w:val="left"/>
        </w:tabs>
        <w:numPr>
          <w:ilvl w:val="1"/>
          <w:numId w:val="43"/>
        </w:numPr>
        <w:rPr>
          <w:rFonts w:ascii="Arial" w:cs="Arial" w:eastAsia="Arial" w:hAnsi="Arial"/>
          <w:sz w:val="21"/>
          <w:szCs w:val="21"/>
          <w:color w:val="auto"/>
        </w:rPr>
      </w:pPr>
      <w:r>
        <w:rPr>
          <w:rFonts w:ascii="Arial" w:cs="Arial" w:eastAsia="Arial" w:hAnsi="Arial"/>
          <w:sz w:val="21"/>
          <w:szCs w:val="21"/>
          <w:color w:val="auto"/>
        </w:rPr>
        <w:t>and (ii) of the preceding sentence shall be paid within thirty (30) days after the date of termination of Executive’s Employment (or such earlier date as may be required by applicable law) and the Accrued Benefits described in clause (iii) of the preceding sentence shall be paid in accordance with the terms of the governing plan, policy or arrangement.</w:t>
      </w:r>
    </w:p>
    <w:p>
      <w:pPr>
        <w:spacing w:after="0" w:line="56" w:lineRule="exact"/>
        <w:rPr>
          <w:rFonts w:ascii="Arial" w:cs="Arial" w:eastAsia="Arial" w:hAnsi="Arial"/>
          <w:sz w:val="21"/>
          <w:szCs w:val="21"/>
          <w:color w:val="auto"/>
        </w:rPr>
      </w:pPr>
    </w:p>
    <w:p>
      <w:pPr>
        <w:ind w:left="305" w:hanging="305"/>
        <w:spacing w:after="0"/>
        <w:tabs>
          <w:tab w:leader="none" w:pos="305" w:val="left"/>
        </w:tabs>
        <w:numPr>
          <w:ilvl w:val="0"/>
          <w:numId w:val="44"/>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Benefits.</w:t>
      </w:r>
    </w:p>
    <w:p>
      <w:pPr>
        <w:spacing w:after="0" w:line="108" w:lineRule="exact"/>
        <w:rPr>
          <w:rFonts w:ascii="Arial" w:cs="Arial" w:eastAsia="Arial" w:hAnsi="Arial"/>
          <w:sz w:val="21"/>
          <w:szCs w:val="21"/>
          <w:color w:val="auto"/>
        </w:rPr>
      </w:pPr>
    </w:p>
    <w:p>
      <w:pPr>
        <w:jc w:val="both"/>
        <w:ind w:left="925" w:hanging="302"/>
        <w:spacing w:after="0" w:line="254" w:lineRule="auto"/>
        <w:tabs>
          <w:tab w:leader="none" w:pos="916" w:val="left"/>
        </w:tabs>
        <w:numPr>
          <w:ilvl w:val="2"/>
          <w:numId w:val="44"/>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without Cause outside of Change in Control Protection Period.</w:t>
      </w:r>
      <w:r>
        <w:rPr>
          <w:rFonts w:ascii="Arial" w:cs="Arial" w:eastAsia="Arial" w:hAnsi="Arial"/>
          <w:sz w:val="21"/>
          <w:szCs w:val="21"/>
          <w:b w:val="1"/>
          <w:bCs w:val="1"/>
          <w:color w:val="auto"/>
        </w:rPr>
        <w:t xml:space="preserve"> </w:t>
      </w:r>
      <w:r>
        <w:rPr>
          <w:rFonts w:ascii="Arial" w:cs="Arial" w:eastAsia="Arial" w:hAnsi="Arial"/>
          <w:sz w:val="21"/>
          <w:szCs w:val="21"/>
          <w:color w:val="auto"/>
        </w:rPr>
        <w:t>If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parent, subsidiary or successor of the Company) terminates Executive’s employment with the Company for a reason other than (i) DocuSign Envelope ID: 6F00E338-DD27-4E2F-9B8B-4D31AD309613 Cause, (ii) Executive becoming Disabled or (iii) Executive’s death, in each case, outside of the Change in Control Protection Period, then, subject to Section 7 (other than with respect to the Accrued Benefits), Executive will be entitled to the following:</w:t>
      </w:r>
    </w:p>
    <w:p>
      <w:pPr>
        <w:spacing w:after="0" w:line="63" w:lineRule="exact"/>
        <w:rPr>
          <w:rFonts w:ascii="Arial" w:cs="Arial" w:eastAsia="Arial" w:hAnsi="Arial"/>
          <w:sz w:val="21"/>
          <w:szCs w:val="21"/>
          <w:color w:val="auto"/>
        </w:rPr>
      </w:pPr>
    </w:p>
    <w:p>
      <w:pPr>
        <w:ind w:left="1565" w:hanging="422"/>
        <w:spacing w:after="0"/>
        <w:tabs>
          <w:tab w:leader="none" w:pos="1565" w:val="left"/>
        </w:tabs>
        <w:numPr>
          <w:ilvl w:val="3"/>
          <w:numId w:val="44"/>
        </w:numPr>
        <w:rPr>
          <w:rFonts w:ascii="Arial" w:cs="Arial" w:eastAsia="Arial" w:hAnsi="Arial"/>
          <w:sz w:val="21"/>
          <w:szCs w:val="21"/>
          <w:color w:val="auto"/>
        </w:rPr>
      </w:pPr>
      <w:r>
        <w:rPr>
          <w:rFonts w:ascii="Arial" w:cs="Arial" w:eastAsia="Arial" w:hAnsi="Arial"/>
          <w:sz w:val="21"/>
          <w:szCs w:val="21"/>
          <w:u w:val="single" w:color="auto"/>
          <w:color w:val="auto"/>
        </w:rPr>
        <w:t>Accrued Compensation.</w:t>
      </w:r>
      <w:r>
        <w:rPr>
          <w:rFonts w:ascii="Arial" w:cs="Arial" w:eastAsia="Arial" w:hAnsi="Arial"/>
          <w:sz w:val="21"/>
          <w:szCs w:val="21"/>
          <w:color w:val="auto"/>
        </w:rPr>
        <w:t xml:space="preserve"> The Company will pay Executive all Accrued Benefits.</w:t>
      </w:r>
    </w:p>
    <w:p>
      <w:pPr>
        <w:spacing w:after="0" w:line="108" w:lineRule="exact"/>
        <w:rPr>
          <w:rFonts w:ascii="Arial" w:cs="Arial" w:eastAsia="Arial" w:hAnsi="Arial"/>
          <w:sz w:val="21"/>
          <w:szCs w:val="21"/>
          <w:color w:val="auto"/>
        </w:rPr>
      </w:pPr>
    </w:p>
    <w:p>
      <w:pPr>
        <w:jc w:val="both"/>
        <w:ind w:left="1565" w:hanging="468"/>
        <w:spacing w:after="0" w:line="253" w:lineRule="auto"/>
        <w:tabs>
          <w:tab w:leader="none" w:pos="1565" w:val="left"/>
        </w:tabs>
        <w:numPr>
          <w:ilvl w:val="3"/>
          <w:numId w:val="44"/>
        </w:numPr>
        <w:rPr>
          <w:rFonts w:ascii="Arial" w:cs="Arial" w:eastAsia="Arial" w:hAnsi="Arial"/>
          <w:sz w:val="21"/>
          <w:szCs w:val="21"/>
          <w:color w:val="auto"/>
        </w:rPr>
      </w:pPr>
      <w:r>
        <w:rPr>
          <w:rFonts w:ascii="Arial" w:cs="Arial" w:eastAsia="Arial" w:hAnsi="Arial"/>
          <w:sz w:val="21"/>
          <w:szCs w:val="21"/>
          <w:u w:val="single" w:color="auto"/>
          <w:color w:val="auto"/>
        </w:rPr>
        <w:t>Severance Payment.</w:t>
      </w:r>
      <w:r>
        <w:rPr>
          <w:rFonts w:ascii="Arial" w:cs="Arial" w:eastAsia="Arial" w:hAnsi="Arial"/>
          <w:sz w:val="21"/>
          <w:szCs w:val="21"/>
          <w:color w:val="auto"/>
        </w:rPr>
        <w:t xml:space="preserve"> In exchange for Executive timely signing and not revoking the Release (as defined below) in accordance with the terms therein and in this Agreement, Executive will receive semi-monthly continuing payments of severance pay at a rate equal to Executive’s Base Salary, as then in effect, for twelve (12) months (the “</w:t>
      </w:r>
      <w:r>
        <w:rPr>
          <w:rFonts w:ascii="Arial" w:cs="Arial" w:eastAsia="Arial" w:hAnsi="Arial"/>
          <w:sz w:val="21"/>
          <w:szCs w:val="21"/>
          <w:b w:val="1"/>
          <w:bCs w:val="1"/>
          <w:i w:val="1"/>
          <w:iCs w:val="1"/>
          <w:color w:val="auto"/>
        </w:rPr>
        <w:t>Severance Period</w:t>
      </w:r>
      <w:r>
        <w:rPr>
          <w:rFonts w:ascii="Arial" w:cs="Arial" w:eastAsia="Arial" w:hAnsi="Arial"/>
          <w:sz w:val="21"/>
          <w:szCs w:val="21"/>
          <w:color w:val="auto"/>
        </w:rPr>
        <w:t>”), less all required tax withholdings and other applicable deductions, which will be paid in accordance with the Company’s regular payroll procedures commencing on the Release Deadline (as defined in Section 7(a)); provided that the first payment shall include any amounts that would have been paid to Executive if payment had commenced on the date of Executive’s separation from service.</w:t>
      </w:r>
    </w:p>
    <w:p>
      <w:pPr>
        <w:spacing w:after="0" w:line="66" w:lineRule="exact"/>
        <w:rPr>
          <w:rFonts w:ascii="Arial" w:cs="Arial" w:eastAsia="Arial" w:hAnsi="Arial"/>
          <w:sz w:val="21"/>
          <w:szCs w:val="21"/>
          <w:color w:val="auto"/>
        </w:rPr>
      </w:pPr>
    </w:p>
    <w:p>
      <w:pPr>
        <w:jc w:val="both"/>
        <w:ind w:left="1565" w:hanging="514"/>
        <w:spacing w:after="0" w:line="264" w:lineRule="auto"/>
        <w:tabs>
          <w:tab w:leader="none" w:pos="1565" w:val="left"/>
        </w:tabs>
        <w:numPr>
          <w:ilvl w:val="3"/>
          <w:numId w:val="44"/>
        </w:numPr>
        <w:rPr>
          <w:rFonts w:ascii="Arial" w:cs="Arial" w:eastAsia="Arial" w:hAnsi="Arial"/>
          <w:sz w:val="20"/>
          <w:szCs w:val="20"/>
          <w:color w:val="auto"/>
        </w:rPr>
      </w:pPr>
      <w:r>
        <w:rPr>
          <w:rFonts w:ascii="Arial" w:cs="Arial" w:eastAsia="Arial" w:hAnsi="Arial"/>
          <w:sz w:val="20"/>
          <w:szCs w:val="20"/>
          <w:u w:val="single" w:color="auto"/>
          <w:color w:val="auto"/>
        </w:rPr>
        <w:t>Continued Employee Benefits.</w:t>
      </w:r>
      <w:r>
        <w:rPr>
          <w:rFonts w:ascii="Arial" w:cs="Arial" w:eastAsia="Arial" w:hAnsi="Arial"/>
          <w:sz w:val="20"/>
          <w:szCs w:val="20"/>
          <w:color w:val="auto"/>
        </w:rPr>
        <w:t xml:space="preserve"> If Executive elects continuation coverage pursuant to the Consolidated Omnibus Budget Reconciliation Act of 1985, as amended (“</w:t>
      </w:r>
      <w:r>
        <w:rPr>
          <w:rFonts w:ascii="Arial" w:cs="Arial" w:eastAsia="Arial" w:hAnsi="Arial"/>
          <w:sz w:val="20"/>
          <w:szCs w:val="20"/>
          <w:b w:val="1"/>
          <w:bCs w:val="1"/>
          <w:i w:val="1"/>
          <w:iCs w:val="1"/>
          <w:color w:val="auto"/>
        </w:rPr>
        <w:t>COBRA</w:t>
      </w:r>
      <w:r>
        <w:rPr>
          <w:rFonts w:ascii="Arial" w:cs="Arial" w:eastAsia="Arial" w:hAnsi="Arial"/>
          <w:sz w:val="20"/>
          <w:szCs w:val="20"/>
          <w:color w:val="auto"/>
        </w:rPr>
        <w:t>”) for Executive and Executive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w:t>
      </w:r>
    </w:p>
    <w:p>
      <w:pPr>
        <w:sectPr>
          <w:pgSz w:w="11900" w:h="16838" w:orient="portrait"/>
          <w:cols w:equalWidth="0" w:num="1">
            <w:col w:w="10925"/>
          </w:cols>
          <w:pgMar w:left="635" w:top="1440" w:right="339" w:bottom="1440" w:gutter="0" w:footer="0" w:header="0"/>
        </w:sectPr>
      </w:pPr>
    </w:p>
    <w:bookmarkStart w:id="141" w:name="page142"/>
    <w:bookmarkEnd w:id="141"/>
    <w:p>
      <w:pPr>
        <w:spacing w:after="0" w:line="36" w:lineRule="exact"/>
        <w:rPr>
          <w:sz w:val="20"/>
          <w:szCs w:val="20"/>
          <w:color w:val="auto"/>
        </w:rPr>
      </w:pPr>
    </w:p>
    <w:p>
      <w:pPr>
        <w:ind w:left="942"/>
        <w:spacing w:after="0"/>
        <w:rPr>
          <w:sz w:val="20"/>
          <w:szCs w:val="20"/>
          <w:color w:val="auto"/>
        </w:rPr>
      </w:pPr>
      <w:r>
        <w:rPr>
          <w:rFonts w:ascii="Arial" w:cs="Arial" w:eastAsia="Arial" w:hAnsi="Arial"/>
          <w:sz w:val="21"/>
          <w:szCs w:val="21"/>
          <w:color w:val="auto"/>
        </w:rPr>
        <w:t>either Code Section 105(h) or the Patient Protection and Affordable Care Act of 2010.</w:t>
      </w:r>
    </w:p>
    <w:p>
      <w:pPr>
        <w:spacing w:after="0" w:line="109" w:lineRule="exact"/>
        <w:rPr>
          <w:sz w:val="20"/>
          <w:szCs w:val="20"/>
          <w:color w:val="auto"/>
        </w:rPr>
      </w:pPr>
    </w:p>
    <w:p>
      <w:pPr>
        <w:jc w:val="both"/>
        <w:ind w:left="302" w:hanging="302"/>
        <w:spacing w:after="0" w:line="256" w:lineRule="auto"/>
        <w:tabs>
          <w:tab w:leader="none" w:pos="293" w:val="left"/>
        </w:tabs>
        <w:numPr>
          <w:ilvl w:val="0"/>
          <w:numId w:val="45"/>
        </w:numPr>
        <w:rPr>
          <w:rFonts w:ascii="Arial" w:cs="Arial" w:eastAsia="Arial" w:hAnsi="Arial"/>
          <w:sz w:val="21"/>
          <w:szCs w:val="21"/>
          <w:color w:val="auto"/>
        </w:rPr>
      </w:pPr>
      <w:r>
        <w:rPr>
          <w:rFonts w:ascii="Arial" w:cs="Arial" w:eastAsia="Arial" w:hAnsi="Arial"/>
          <w:sz w:val="21"/>
          <w:szCs w:val="21"/>
          <w:b w:val="1"/>
          <w:bCs w:val="1"/>
          <w:u w:val="single" w:color="auto"/>
          <w:color w:val="auto"/>
        </w:rPr>
        <w:t>Termination without Cause or Resignation for Good Reason within the Change in Control Protection Period.</w:t>
      </w:r>
      <w:r>
        <w:rPr>
          <w:rFonts w:ascii="Arial" w:cs="Arial" w:eastAsia="Arial" w:hAnsi="Arial"/>
          <w:sz w:val="21"/>
          <w:szCs w:val="21"/>
          <w:b w:val="1"/>
          <w:bCs w:val="1"/>
          <w:color w:val="auto"/>
        </w:rPr>
        <w:t xml:space="preserve"> </w:t>
      </w:r>
      <w:r>
        <w:rPr>
          <w:rFonts w:ascii="Arial" w:cs="Arial" w:eastAsia="Arial" w:hAnsi="Arial"/>
          <w:sz w:val="21"/>
          <w:szCs w:val="21"/>
          <w:color w:val="auto"/>
        </w:rPr>
        <w:t>If, during the Change in Control Protection Period, (x) the Company terminates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with the Company without Cause, or (y) Executive resigns from such employment for Good Reason, then, subject to Section 7 (other than with respect to the Accrued Benefits), Executive will receive the following severance benefits from the Company in lieu of the benefits described in Section 6(a) above:</w:t>
      </w:r>
    </w:p>
    <w:p>
      <w:pPr>
        <w:spacing w:after="0" w:line="61" w:lineRule="exact"/>
        <w:rPr>
          <w:rFonts w:ascii="Arial" w:cs="Arial" w:eastAsia="Arial" w:hAnsi="Arial"/>
          <w:sz w:val="21"/>
          <w:szCs w:val="21"/>
          <w:color w:val="auto"/>
        </w:rPr>
      </w:pPr>
    </w:p>
    <w:p>
      <w:pPr>
        <w:ind w:left="942" w:hanging="422"/>
        <w:spacing w:after="0"/>
        <w:tabs>
          <w:tab w:leader="none" w:pos="942" w:val="left"/>
        </w:tabs>
        <w:numPr>
          <w:ilvl w:val="2"/>
          <w:numId w:val="45"/>
        </w:numPr>
        <w:rPr>
          <w:rFonts w:ascii="Arial" w:cs="Arial" w:eastAsia="Arial" w:hAnsi="Arial"/>
          <w:sz w:val="21"/>
          <w:szCs w:val="21"/>
          <w:color w:val="auto"/>
        </w:rPr>
      </w:pPr>
      <w:r>
        <w:rPr>
          <w:rFonts w:ascii="Arial" w:cs="Arial" w:eastAsia="Arial" w:hAnsi="Arial"/>
          <w:sz w:val="21"/>
          <w:szCs w:val="21"/>
          <w:u w:val="single" w:color="auto"/>
          <w:color w:val="auto"/>
        </w:rPr>
        <w:t>Accrued Compensation.</w:t>
      </w:r>
      <w:r>
        <w:rPr>
          <w:rFonts w:ascii="Arial" w:cs="Arial" w:eastAsia="Arial" w:hAnsi="Arial"/>
          <w:sz w:val="21"/>
          <w:szCs w:val="21"/>
          <w:color w:val="auto"/>
        </w:rPr>
        <w:t xml:space="preserve"> The Company will pay Executive all Accrued Benefits.</w:t>
      </w:r>
    </w:p>
    <w:p>
      <w:pPr>
        <w:spacing w:after="0" w:line="108" w:lineRule="exact"/>
        <w:rPr>
          <w:rFonts w:ascii="Arial" w:cs="Arial" w:eastAsia="Arial" w:hAnsi="Arial"/>
          <w:sz w:val="21"/>
          <w:szCs w:val="21"/>
          <w:color w:val="auto"/>
        </w:rPr>
      </w:pPr>
    </w:p>
    <w:p>
      <w:pPr>
        <w:jc w:val="both"/>
        <w:ind w:left="942" w:hanging="468"/>
        <w:spacing w:after="0" w:line="252" w:lineRule="auto"/>
        <w:tabs>
          <w:tab w:leader="none" w:pos="942" w:val="left"/>
        </w:tabs>
        <w:numPr>
          <w:ilvl w:val="2"/>
          <w:numId w:val="45"/>
        </w:numPr>
        <w:rPr>
          <w:rFonts w:ascii="Arial" w:cs="Arial" w:eastAsia="Arial" w:hAnsi="Arial"/>
          <w:sz w:val="21"/>
          <w:szCs w:val="21"/>
          <w:color w:val="auto"/>
        </w:rPr>
      </w:pPr>
      <w:r>
        <w:rPr>
          <w:rFonts w:ascii="Arial" w:cs="Arial" w:eastAsia="Arial" w:hAnsi="Arial"/>
          <w:sz w:val="21"/>
          <w:szCs w:val="21"/>
          <w:u w:val="single" w:color="auto"/>
          <w:color w:val="auto"/>
        </w:rPr>
        <w:t>Severance Payment.</w:t>
      </w:r>
      <w:r>
        <w:rPr>
          <w:rFonts w:ascii="Arial" w:cs="Arial" w:eastAsia="Arial" w:hAnsi="Arial"/>
          <w:sz w:val="21"/>
          <w:szCs w:val="21"/>
          <w:color w:val="auto"/>
        </w:rPr>
        <w:t xml:space="preserve"> In exchange for Executive timely signing and not revoking the Release in accordance with the terms therein and in this Agreement, Executive will receive a lump sum severance payment equal to twelve (12) months (the “CIC Severance Period”) of Executive’s Base Salary as in effect immediately prior to the date of Executive’s termination of employment plus applicable Cash Bonus, less all required tax withholdings and other applicable deductions, which will be paid in accordance with the Company’s regular payroll procedures, but no later than thirty (30) days following the Release Deadline.</w:t>
      </w:r>
    </w:p>
    <w:p>
      <w:pPr>
        <w:spacing w:after="0" w:line="81" w:lineRule="exact"/>
        <w:rPr>
          <w:rFonts w:ascii="Arial" w:cs="Arial" w:eastAsia="Arial" w:hAnsi="Arial"/>
          <w:sz w:val="21"/>
          <w:szCs w:val="21"/>
          <w:color w:val="auto"/>
        </w:rPr>
      </w:pPr>
    </w:p>
    <w:p>
      <w:pPr>
        <w:jc w:val="both"/>
        <w:ind w:left="942" w:hanging="514"/>
        <w:spacing w:after="0" w:line="264" w:lineRule="auto"/>
        <w:tabs>
          <w:tab w:leader="none" w:pos="942" w:val="left"/>
        </w:tabs>
        <w:numPr>
          <w:ilvl w:val="2"/>
          <w:numId w:val="45"/>
        </w:numPr>
        <w:rPr>
          <w:rFonts w:ascii="Arial" w:cs="Arial" w:eastAsia="Arial" w:hAnsi="Arial"/>
          <w:sz w:val="20"/>
          <w:szCs w:val="20"/>
          <w:color w:val="auto"/>
        </w:rPr>
      </w:pPr>
      <w:r>
        <w:rPr>
          <w:rFonts w:ascii="Arial" w:cs="Arial" w:eastAsia="Arial" w:hAnsi="Arial"/>
          <w:sz w:val="20"/>
          <w:szCs w:val="20"/>
          <w:u w:val="single" w:color="auto"/>
          <w:color w:val="auto"/>
        </w:rPr>
        <w:t>Continued Employee Benefits.</w:t>
      </w:r>
      <w:r>
        <w:rPr>
          <w:rFonts w:ascii="Arial" w:cs="Arial" w:eastAsia="Arial" w:hAnsi="Arial"/>
          <w:sz w:val="20"/>
          <w:szCs w:val="20"/>
          <w:color w:val="auto"/>
        </w:rPr>
        <w:t xml:space="preserve"> 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 until the earlier of (A) the end of the CIC Severance Period, or (B) the date upon which Executive and/or Executive’s eligible dependents become covered under similar plans. COBRA reimbursements will be made by the Company to Executive consistent with the Company’s normal expense reimbursement policy and will be taxable to the extent required to avoid adverse consequences to Executive or the Company under either Code Section 105(h) or the Patient Protection and Affordable Care Act of 2010.</w:t>
      </w:r>
    </w:p>
    <w:p>
      <w:pPr>
        <w:spacing w:after="0" w:line="59" w:lineRule="exact"/>
        <w:rPr>
          <w:rFonts w:ascii="Arial" w:cs="Arial" w:eastAsia="Arial" w:hAnsi="Arial"/>
          <w:sz w:val="20"/>
          <w:szCs w:val="20"/>
          <w:color w:val="auto"/>
        </w:rPr>
      </w:pPr>
    </w:p>
    <w:p>
      <w:pPr>
        <w:jc w:val="both"/>
        <w:ind w:left="942" w:hanging="526"/>
        <w:spacing w:after="0" w:line="256" w:lineRule="auto"/>
        <w:tabs>
          <w:tab w:leader="none" w:pos="926"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Equity.</w:t>
      </w:r>
      <w:r>
        <w:rPr>
          <w:rFonts w:ascii="Arial" w:cs="Arial" w:eastAsia="Arial" w:hAnsi="Arial"/>
          <w:sz w:val="21"/>
          <w:szCs w:val="21"/>
          <w:color w:val="auto"/>
        </w:rPr>
        <w:t xml:space="preserve"> All of Executive’s unvested and outstanding time-based equity awards shall immediately vest and become exercisable as of the date of Executive’s termination and any unvested and outstanding performance-based awards shall be subject to the terms and conditions of the Equity Plan and the award agreement by and between Executive and the Company pursuant to which such award was granted.</w:t>
      </w:r>
    </w:p>
    <w:p>
      <w:pPr>
        <w:sectPr>
          <w:pgSz w:w="11900" w:h="16838" w:orient="portrait"/>
          <w:cols w:equalWidth="0" w:num="1">
            <w:col w:w="10302"/>
          </w:cols>
          <w:pgMar w:left="1258" w:top="1440" w:right="339" w:bottom="1440" w:gutter="0" w:footer="0" w:header="0"/>
        </w:sectPr>
      </w:pPr>
    </w:p>
    <w:bookmarkStart w:id="142" w:name="page143"/>
    <w:bookmarkEnd w:id="142"/>
    <w:p>
      <w:pPr>
        <w:spacing w:after="0" w:line="37" w:lineRule="exact"/>
        <w:rPr>
          <w:sz w:val="20"/>
          <w:szCs w:val="20"/>
          <w:color w:val="auto"/>
        </w:rPr>
      </w:pPr>
    </w:p>
    <w:p>
      <w:pPr>
        <w:jc w:val="both"/>
        <w:ind w:left="925" w:hanging="302"/>
        <w:spacing w:after="0" w:line="252" w:lineRule="auto"/>
        <w:tabs>
          <w:tab w:leader="none" w:pos="917" w:val="left"/>
        </w:tabs>
        <w:numPr>
          <w:ilvl w:val="1"/>
          <w:numId w:val="46"/>
        </w:numPr>
        <w:rPr>
          <w:rFonts w:ascii="Arial" w:cs="Arial" w:eastAsia="Arial" w:hAnsi="Arial"/>
          <w:sz w:val="21"/>
          <w:szCs w:val="21"/>
          <w:color w:val="auto"/>
        </w:rPr>
      </w:pPr>
      <w:r>
        <w:rPr>
          <w:rFonts w:ascii="Arial" w:cs="Arial" w:eastAsia="Arial" w:hAnsi="Arial"/>
          <w:sz w:val="21"/>
          <w:szCs w:val="21"/>
          <w:b w:val="1"/>
          <w:bCs w:val="1"/>
          <w:u w:val="single" w:color="auto"/>
          <w:color w:val="auto"/>
        </w:rPr>
        <w:t>Disability; Death; Voluntary Resignation; Termination for Cause.</w:t>
      </w:r>
      <w:r>
        <w:rPr>
          <w:rFonts w:ascii="Arial" w:cs="Arial" w:eastAsia="Arial" w:hAnsi="Arial"/>
          <w:sz w:val="21"/>
          <w:szCs w:val="21"/>
          <w:b w:val="1"/>
          <w:bCs w:val="1"/>
          <w:color w:val="auto"/>
        </w:rPr>
        <w:t xml:space="preserve"> </w:t>
      </w:r>
      <w:r>
        <w:rPr>
          <w:rFonts w:ascii="Arial" w:cs="Arial" w:eastAsia="Arial" w:hAnsi="Arial"/>
          <w:sz w:val="21"/>
          <w:szCs w:val="21"/>
          <w:color w:val="auto"/>
        </w:rPr>
        <w:t>If Executive’s 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is terminated due to (i) Executive becoming Disabled or Executive’s death, (ii) Executive’s voluntary resignation (other than for Good Reason during the twelve (12) month period immediately following a Change in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spacing w:after="0" w:line="68" w:lineRule="exact"/>
        <w:rPr>
          <w:rFonts w:ascii="Arial" w:cs="Arial" w:eastAsia="Arial" w:hAnsi="Arial"/>
          <w:sz w:val="21"/>
          <w:szCs w:val="21"/>
          <w:color w:val="auto"/>
        </w:rPr>
      </w:pPr>
    </w:p>
    <w:p>
      <w:pPr>
        <w:jc w:val="both"/>
        <w:ind w:left="925" w:hanging="302"/>
        <w:spacing w:after="0" w:line="267" w:lineRule="auto"/>
        <w:tabs>
          <w:tab w:leader="none" w:pos="916" w:val="left"/>
        </w:tabs>
        <w:numPr>
          <w:ilvl w:val="1"/>
          <w:numId w:val="46"/>
        </w:numPr>
        <w:rPr>
          <w:rFonts w:ascii="Arial" w:cs="Arial" w:eastAsia="Arial" w:hAnsi="Arial"/>
          <w:sz w:val="21"/>
          <w:szCs w:val="21"/>
          <w:color w:val="auto"/>
        </w:rPr>
      </w:pPr>
      <w:r>
        <w:rPr>
          <w:rFonts w:ascii="Arial" w:cs="Arial" w:eastAsia="Arial" w:hAnsi="Arial"/>
          <w:sz w:val="21"/>
          <w:szCs w:val="21"/>
          <w:b w:val="1"/>
          <w:bCs w:val="1"/>
          <w:u w:val="single" w:color="auto"/>
          <w:color w:val="auto"/>
        </w:rPr>
        <w:t>Timing of Payments.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any specific timing provisions in Section 6(a), 6(b), or 6(c), as applicable, or</w:t>
      </w:r>
      <w:r>
        <w:rPr>
          <w:rFonts w:ascii="Arial" w:cs="Arial" w:eastAsia="Arial" w:hAnsi="Arial"/>
          <w:sz w:val="21"/>
          <w:szCs w:val="21"/>
          <w:b w:val="1"/>
          <w:bCs w:val="1"/>
          <w:color w:val="auto"/>
        </w:rPr>
        <w:t xml:space="preserve"> </w:t>
      </w:r>
      <w:r>
        <w:rPr>
          <w:rFonts w:ascii="Arial" w:cs="Arial" w:eastAsia="Arial" w:hAnsi="Arial"/>
          <w:sz w:val="21"/>
          <w:szCs w:val="21"/>
          <w:color w:val="auto"/>
        </w:rPr>
        <w:t>the provisions of Section 7, payment of the severance and benefits hereunder shall be made or commence to be made as soon as practicable following Executive’s termination of employment.</w:t>
      </w:r>
    </w:p>
    <w:p>
      <w:pPr>
        <w:spacing w:after="0" w:line="50" w:lineRule="exact"/>
        <w:rPr>
          <w:rFonts w:ascii="Arial" w:cs="Arial" w:eastAsia="Arial" w:hAnsi="Arial"/>
          <w:sz w:val="21"/>
          <w:szCs w:val="21"/>
          <w:color w:val="auto"/>
        </w:rPr>
      </w:pPr>
    </w:p>
    <w:p>
      <w:pPr>
        <w:jc w:val="both"/>
        <w:ind w:left="925" w:hanging="302"/>
        <w:spacing w:after="0" w:line="250" w:lineRule="auto"/>
        <w:tabs>
          <w:tab w:leader="none" w:pos="916" w:val="left"/>
        </w:tabs>
        <w:numPr>
          <w:ilvl w:val="1"/>
          <w:numId w:val="46"/>
        </w:numPr>
        <w:rPr>
          <w:rFonts w:ascii="Arial" w:cs="Arial" w:eastAsia="Arial" w:hAnsi="Arial"/>
          <w:sz w:val="21"/>
          <w:szCs w:val="21"/>
          <w:color w:val="auto"/>
        </w:rPr>
      </w:pPr>
      <w:r>
        <w:rPr>
          <w:rFonts w:ascii="Arial" w:cs="Arial" w:eastAsia="Arial" w:hAnsi="Arial"/>
          <w:sz w:val="21"/>
          <w:szCs w:val="21"/>
          <w:b w:val="1"/>
          <w:bCs w:val="1"/>
          <w:u w:val="single" w:color="auto"/>
          <w:color w:val="auto"/>
        </w:rPr>
        <w:t>Exclusive Remedy.</w:t>
      </w:r>
      <w:r>
        <w:rPr>
          <w:rFonts w:ascii="Arial" w:cs="Arial" w:eastAsia="Arial" w:hAnsi="Arial"/>
          <w:sz w:val="21"/>
          <w:szCs w:val="21"/>
          <w:b w:val="1"/>
          <w:bCs w:val="1"/>
          <w:color w:val="auto"/>
        </w:rPr>
        <w:t xml:space="preserve"> </w:t>
      </w:r>
      <w:r>
        <w:rPr>
          <w:rFonts w:ascii="Arial" w:cs="Arial" w:eastAsia="Arial" w:hAnsi="Arial"/>
          <w:sz w:val="21"/>
          <w:szCs w:val="21"/>
          <w:color w:val="auto"/>
        </w:rPr>
        <w:t>In the event of a termination of Executive’s employment with the Company (or any</w:t>
      </w:r>
      <w:r>
        <w:rPr>
          <w:rFonts w:ascii="Arial" w:cs="Arial" w:eastAsia="Arial" w:hAnsi="Arial"/>
          <w:sz w:val="21"/>
          <w:szCs w:val="21"/>
          <w:b w:val="1"/>
          <w:bCs w:val="1"/>
          <w:color w:val="auto"/>
        </w:rPr>
        <w:t xml:space="preserve"> </w:t>
      </w:r>
      <w:r>
        <w:rPr>
          <w:rFonts w:ascii="Arial" w:cs="Arial" w:eastAsia="Arial" w:hAnsi="Arial"/>
          <w:sz w:val="21"/>
          <w:szCs w:val="21"/>
          <w:color w:val="auto"/>
        </w:rPr>
        <w:t>parent, subsidiary or successor of the Company), the provisions of this Section 6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this Agreement, other than those benefits expressly set forth in Section 6 of this Agreement or pursuant to written equity award agreements with the Company.</w:t>
      </w:r>
    </w:p>
    <w:p>
      <w:pPr>
        <w:spacing w:after="0" w:line="85" w:lineRule="exact"/>
        <w:rPr>
          <w:rFonts w:ascii="Arial" w:cs="Arial" w:eastAsia="Arial" w:hAnsi="Arial"/>
          <w:sz w:val="21"/>
          <w:szCs w:val="21"/>
          <w:color w:val="auto"/>
        </w:rPr>
      </w:pPr>
    </w:p>
    <w:p>
      <w:pPr>
        <w:jc w:val="both"/>
        <w:ind w:left="925" w:hanging="302"/>
        <w:spacing w:after="0" w:line="261" w:lineRule="auto"/>
        <w:tabs>
          <w:tab w:leader="none" w:pos="923" w:val="left"/>
        </w:tabs>
        <w:numPr>
          <w:ilvl w:val="1"/>
          <w:numId w:val="46"/>
        </w:numPr>
        <w:rPr>
          <w:rFonts w:ascii="Arial" w:cs="Arial" w:eastAsia="Arial" w:hAnsi="Arial"/>
          <w:sz w:val="21"/>
          <w:szCs w:val="21"/>
          <w:color w:val="auto"/>
        </w:rPr>
      </w:pPr>
      <w:r>
        <w:rPr>
          <w:rFonts w:ascii="Arial" w:cs="Arial" w:eastAsia="Arial" w:hAnsi="Arial"/>
          <w:sz w:val="21"/>
          <w:szCs w:val="21"/>
          <w:b w:val="1"/>
          <w:bCs w:val="1"/>
          <w:u w:val="single" w:color="auto"/>
          <w:color w:val="auto"/>
        </w:rPr>
        <w:t>No Duty to Mitigate.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will not be required to mitigate the amount of any payment contemplated by</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nor will any earnings that Executive may receive from any other source reduce any such payment.</w:t>
      </w:r>
    </w:p>
    <w:p>
      <w:pPr>
        <w:spacing w:after="0" w:line="55" w:lineRule="exact"/>
        <w:rPr>
          <w:rFonts w:ascii="Arial" w:cs="Arial" w:eastAsia="Arial" w:hAnsi="Arial"/>
          <w:sz w:val="21"/>
          <w:szCs w:val="21"/>
          <w:color w:val="auto"/>
        </w:rPr>
      </w:pPr>
    </w:p>
    <w:p>
      <w:pPr>
        <w:ind w:left="305" w:hanging="305"/>
        <w:spacing w:after="0"/>
        <w:tabs>
          <w:tab w:leader="none" w:pos="305" w:val="left"/>
        </w:tabs>
        <w:numPr>
          <w:ilvl w:val="0"/>
          <w:numId w:val="47"/>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Conditions to Receipt of Severance.</w:t>
      </w:r>
    </w:p>
    <w:p>
      <w:pPr>
        <w:spacing w:after="0" w:line="108" w:lineRule="exact"/>
        <w:rPr>
          <w:rFonts w:ascii="Arial" w:cs="Arial" w:eastAsia="Arial" w:hAnsi="Arial"/>
          <w:sz w:val="21"/>
          <w:szCs w:val="21"/>
          <w:b w:val="1"/>
          <w:bCs w:val="1"/>
          <w:u w:val="single" w:color="auto"/>
          <w:color w:val="auto"/>
        </w:rPr>
      </w:pPr>
    </w:p>
    <w:p>
      <w:pPr>
        <w:jc w:val="both"/>
        <w:ind w:left="925" w:hanging="302"/>
        <w:spacing w:after="0" w:line="268" w:lineRule="auto"/>
        <w:tabs>
          <w:tab w:leader="none" w:pos="916" w:val="left"/>
        </w:tabs>
        <w:numPr>
          <w:ilvl w:val="1"/>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Release of Claims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receipt of any severance payments or benefits pursuant to Section 6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this Agreement is subject to Executive signing and not revoking a separation agreement and release of claims in a form substantially similar, as determined by the Company, as that attached hereto as </w:t>
      </w:r>
      <w:r>
        <w:rPr>
          <w:rFonts w:ascii="Arial" w:cs="Arial" w:eastAsia="Arial" w:hAnsi="Arial"/>
          <w:sz w:val="20"/>
          <w:szCs w:val="20"/>
          <w:u w:val="single" w:color="auto"/>
          <w:color w:val="auto"/>
        </w:rPr>
        <w:t>Attachment</w:t>
      </w:r>
    </w:p>
    <w:p>
      <w:pPr>
        <w:spacing w:after="0" w:line="2" w:lineRule="exact"/>
        <w:rPr>
          <w:rFonts w:ascii="Arial" w:cs="Arial" w:eastAsia="Arial" w:hAnsi="Arial"/>
          <w:sz w:val="20"/>
          <w:szCs w:val="20"/>
          <w:color w:val="auto"/>
        </w:rPr>
      </w:pPr>
    </w:p>
    <w:p>
      <w:pPr>
        <w:jc w:val="both"/>
        <w:ind w:left="925" w:firstLine="10"/>
        <w:spacing w:after="0" w:line="251" w:lineRule="auto"/>
        <w:tabs>
          <w:tab w:leader="none" w:pos="1249" w:val="left"/>
        </w:tabs>
        <w:numPr>
          <w:ilvl w:val="2"/>
          <w:numId w:val="47"/>
        </w:numPr>
        <w:rPr>
          <w:rFonts w:ascii="Arial" w:cs="Arial" w:eastAsia="Arial" w:hAnsi="Arial"/>
          <w:sz w:val="21"/>
          <w:szCs w:val="21"/>
          <w:u w:val="single" w:color="auto"/>
          <w:color w:val="auto"/>
        </w:rPr>
      </w:pPr>
      <w:r>
        <w:rPr>
          <w:rFonts w:ascii="Arial" w:cs="Arial" w:eastAsia="Arial" w:hAnsi="Arial"/>
          <w:sz w:val="21"/>
          <w:szCs w:val="21"/>
          <w:color w:val="auto"/>
        </w:rPr>
        <w:t>(the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which must become effective no later than the sixtieth (60th) day following Executive’s termination of employment (the “</w:t>
      </w:r>
      <w:r>
        <w:rPr>
          <w:rFonts w:ascii="Arial" w:cs="Arial" w:eastAsia="Arial" w:hAnsi="Arial"/>
          <w:sz w:val="21"/>
          <w:szCs w:val="21"/>
          <w:b w:val="1"/>
          <w:bCs w:val="1"/>
          <w:i w:val="1"/>
          <w:iCs w:val="1"/>
          <w:color w:val="auto"/>
        </w:rPr>
        <w:t>Release Deadline</w:t>
      </w:r>
      <w:r>
        <w:rPr>
          <w:rFonts w:ascii="Arial" w:cs="Arial" w:eastAsia="Arial" w:hAnsi="Arial"/>
          <w:sz w:val="21"/>
          <w:szCs w:val="21"/>
          <w:color w:val="auto"/>
        </w:rPr>
        <w:t>”), and if not, Executive will forfeit any right to severance payments or benefits under this Agreement. To become effective, the Release must be timely executed by Executive and any revocation periods (as required by statute, regulation, or otherwise) must have expired without Executive having revoked the</w:t>
      </w:r>
    </w:p>
    <w:p>
      <w:pPr>
        <w:sectPr>
          <w:pgSz w:w="11900" w:h="16838" w:orient="portrait"/>
          <w:cols w:equalWidth="0" w:num="1">
            <w:col w:w="10925"/>
          </w:cols>
          <w:pgMar w:left="635" w:top="1440" w:right="339" w:bottom="1440" w:gutter="0" w:footer="0" w:header="0"/>
        </w:sectPr>
      </w:pPr>
    </w:p>
    <w:bookmarkStart w:id="143" w:name="page144"/>
    <w:bookmarkEnd w:id="143"/>
    <w:p>
      <w:pPr>
        <w:spacing w:after="0" w:line="37" w:lineRule="exact"/>
        <w:rPr>
          <w:sz w:val="20"/>
          <w:szCs w:val="20"/>
          <w:color w:val="auto"/>
        </w:rPr>
      </w:pPr>
    </w:p>
    <w:p>
      <w:pPr>
        <w:jc w:val="both"/>
        <w:ind w:left="302"/>
        <w:spacing w:after="0" w:line="262" w:lineRule="auto"/>
        <w:rPr>
          <w:sz w:val="20"/>
          <w:szCs w:val="20"/>
          <w:color w:val="auto"/>
        </w:rPr>
      </w:pPr>
      <w:r>
        <w:rPr>
          <w:rFonts w:ascii="Arial" w:cs="Arial" w:eastAsia="Arial" w:hAnsi="Arial"/>
          <w:sz w:val="20"/>
          <w:szCs w:val="20"/>
          <w:color w:val="auto"/>
        </w:rPr>
        <w:t>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7(c)(i)) will be paid on the first payroll date to occur during the calendar year following the calendar year in which such termination occurs, or such later time as required by (i) the payment schedule applicable to each payment or benefit as set forth in Section 6,</w:t>
      </w:r>
    </w:p>
    <w:p>
      <w:pPr>
        <w:spacing w:after="0" w:line="2" w:lineRule="exact"/>
        <w:rPr>
          <w:sz w:val="20"/>
          <w:szCs w:val="20"/>
          <w:color w:val="auto"/>
        </w:rPr>
      </w:pPr>
    </w:p>
    <w:p>
      <w:pPr>
        <w:jc w:val="both"/>
        <w:ind w:left="302" w:firstLine="10"/>
        <w:spacing w:after="0" w:line="257" w:lineRule="auto"/>
        <w:tabs>
          <w:tab w:leader="none" w:pos="630"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date the Release becomes effective, or (iii) Section 7(c)(ii); provided that the first payment shall include all amounts that would have been paid to Executive if payment had commenced on the date of Executive’s termination of employment.</w:t>
      </w:r>
    </w:p>
    <w:p>
      <w:pPr>
        <w:spacing w:after="0" w:line="60" w:lineRule="exact"/>
        <w:rPr>
          <w:rFonts w:ascii="Arial" w:cs="Arial" w:eastAsia="Arial" w:hAnsi="Arial"/>
          <w:sz w:val="21"/>
          <w:szCs w:val="21"/>
          <w:color w:val="auto"/>
        </w:rPr>
      </w:pPr>
    </w:p>
    <w:p>
      <w:pPr>
        <w:jc w:val="both"/>
        <w:ind w:left="302" w:hanging="302"/>
        <w:spacing w:after="0" w:line="261" w:lineRule="auto"/>
        <w:tabs>
          <w:tab w:leader="none" w:pos="293" w:val="left"/>
        </w:tabs>
        <w:numPr>
          <w:ilvl w:val="0"/>
          <w:numId w:val="49"/>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receipt of any payments or benefits under Section 6 will be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Executive continuing to comply with the terms of the Confidentiality Agreement (as defined in Section 11 below).</w:t>
      </w:r>
    </w:p>
    <w:p>
      <w:pPr>
        <w:spacing w:after="0" w:line="55" w:lineRule="exact"/>
        <w:rPr>
          <w:rFonts w:ascii="Arial" w:cs="Arial" w:eastAsia="Arial" w:hAnsi="Arial"/>
          <w:sz w:val="21"/>
          <w:szCs w:val="21"/>
          <w:color w:val="auto"/>
        </w:rPr>
      </w:pPr>
    </w:p>
    <w:p>
      <w:pPr>
        <w:ind w:left="302" w:hanging="302"/>
        <w:spacing w:after="0"/>
        <w:tabs>
          <w:tab w:leader="none" w:pos="302" w:val="left"/>
        </w:tabs>
        <w:numPr>
          <w:ilvl w:val="0"/>
          <w:numId w:val="49"/>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Section 409A.</w:t>
      </w:r>
    </w:p>
    <w:p>
      <w:pPr>
        <w:spacing w:after="0" w:line="121" w:lineRule="exact"/>
        <w:rPr>
          <w:rFonts w:ascii="Arial" w:cs="Arial" w:eastAsia="Arial" w:hAnsi="Arial"/>
          <w:sz w:val="21"/>
          <w:szCs w:val="21"/>
          <w:b w:val="1"/>
          <w:bCs w:val="1"/>
          <w:u w:val="single" w:color="auto"/>
          <w:color w:val="auto"/>
        </w:rPr>
      </w:pPr>
    </w:p>
    <w:p>
      <w:pPr>
        <w:jc w:val="both"/>
        <w:ind w:left="942" w:hanging="422"/>
        <w:spacing w:after="0" w:line="263" w:lineRule="auto"/>
        <w:tabs>
          <w:tab w:leader="none" w:pos="942" w:val="left"/>
        </w:tabs>
        <w:numPr>
          <w:ilvl w:val="2"/>
          <w:numId w:val="49"/>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not exempt under Section 409A (together, the “</w:t>
      </w:r>
      <w:r>
        <w:rPr>
          <w:rFonts w:ascii="Arial" w:cs="Arial" w:eastAsia="Arial" w:hAnsi="Arial"/>
          <w:sz w:val="20"/>
          <w:szCs w:val="20"/>
          <w:b w:val="1"/>
          <w:bCs w:val="1"/>
          <w:i w:val="1"/>
          <w:iCs w:val="1"/>
          <w:color w:val="auto"/>
        </w:rPr>
        <w:t>Deferred Payments</w:t>
      </w:r>
      <w:r>
        <w:rPr>
          <w:rFonts w:ascii="Arial" w:cs="Arial" w:eastAsia="Arial" w:hAnsi="Arial"/>
          <w:sz w:val="20"/>
          <w:szCs w:val="20"/>
          <w:color w:val="auto"/>
        </w:rPr>
        <w:t>”) will be paid or otherwise provided until Executive has a “separation from service” within the meaning of Section 409A. And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75" w:lineRule="exact"/>
        <w:rPr>
          <w:rFonts w:ascii="Arial" w:cs="Arial" w:eastAsia="Arial" w:hAnsi="Arial"/>
          <w:sz w:val="20"/>
          <w:szCs w:val="20"/>
          <w:color w:val="auto"/>
        </w:rPr>
      </w:pPr>
    </w:p>
    <w:p>
      <w:pPr>
        <w:jc w:val="both"/>
        <w:ind w:left="942" w:hanging="468"/>
        <w:spacing w:after="0" w:line="251" w:lineRule="auto"/>
        <w:tabs>
          <w:tab w:leader="none" w:pos="942" w:val="left"/>
        </w:tabs>
        <w:numPr>
          <w:ilvl w:val="2"/>
          <w:numId w:val="49"/>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if Executive is a “</w:t>
      </w:r>
      <w:r>
        <w:rPr>
          <w:rFonts w:ascii="Arial" w:cs="Arial" w:eastAsia="Arial" w:hAnsi="Arial"/>
          <w:sz w:val="21"/>
          <w:szCs w:val="21"/>
          <w:b w:val="1"/>
          <w:bCs w:val="1"/>
          <w:i w:val="1"/>
          <w:iCs w:val="1"/>
          <w:color w:val="auto"/>
        </w:rPr>
        <w:t>specified employee</w:t>
      </w:r>
      <w:r>
        <w:rPr>
          <w:rFonts w:ascii="Arial" w:cs="Arial" w:eastAsia="Arial" w:hAnsi="Arial"/>
          <w:sz w:val="21"/>
          <w:szCs w:val="21"/>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w:t>
      </w:r>
    </w:p>
    <w:p>
      <w:pPr>
        <w:sectPr>
          <w:pgSz w:w="11900" w:h="16838" w:orient="portrait"/>
          <w:cols w:equalWidth="0" w:num="1">
            <w:col w:w="10302"/>
          </w:cols>
          <w:pgMar w:left="1258" w:top="1440" w:right="339" w:bottom="1440" w:gutter="0" w:footer="0" w:header="0"/>
        </w:sectPr>
      </w:pPr>
    </w:p>
    <w:bookmarkStart w:id="144" w:name="page145"/>
    <w:bookmarkEnd w:id="144"/>
    <w:p>
      <w:pPr>
        <w:spacing w:after="0" w:line="37" w:lineRule="exact"/>
        <w:rPr>
          <w:sz w:val="20"/>
          <w:szCs w:val="20"/>
          <w:color w:val="auto"/>
        </w:rPr>
      </w:pPr>
    </w:p>
    <w:p>
      <w:pPr>
        <w:jc w:val="both"/>
        <w:ind w:left="760"/>
        <w:spacing w:after="0" w:line="251" w:lineRule="auto"/>
        <w:rPr>
          <w:sz w:val="20"/>
          <w:szCs w:val="20"/>
          <w:color w:val="auto"/>
        </w:rPr>
      </w:pPr>
      <w:r>
        <w:rPr>
          <w:rFonts w:ascii="Arial" w:cs="Arial" w:eastAsia="Arial" w:hAnsi="Arial"/>
          <w:sz w:val="21"/>
          <w:szCs w:val="21"/>
          <w:color w:val="auto"/>
        </w:rPr>
        <w:t>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82" w:lineRule="exact"/>
        <w:rPr>
          <w:sz w:val="20"/>
          <w:szCs w:val="20"/>
          <w:color w:val="auto"/>
        </w:rPr>
      </w:pPr>
    </w:p>
    <w:p>
      <w:pPr>
        <w:jc w:val="both"/>
        <w:ind w:left="760" w:hanging="514"/>
        <w:spacing w:after="0" w:line="261" w:lineRule="auto"/>
        <w:tabs>
          <w:tab w:leader="none" w:pos="761" w:val="left"/>
        </w:tabs>
        <w:numPr>
          <w:ilvl w:val="1"/>
          <w:numId w:val="50"/>
        </w:numPr>
        <w:rPr>
          <w:rFonts w:ascii="Arial" w:cs="Arial" w:eastAsia="Arial" w:hAnsi="Arial"/>
          <w:sz w:val="21"/>
          <w:szCs w:val="21"/>
          <w:color w:val="auto"/>
        </w:rPr>
      </w:pPr>
      <w:r>
        <w:rPr>
          <w:rFonts w:ascii="Arial" w:cs="Arial" w:eastAsia="Arial" w:hAnsi="Arial"/>
          <w:sz w:val="21"/>
          <w:szCs w:val="21"/>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55" w:lineRule="exact"/>
        <w:rPr>
          <w:rFonts w:ascii="Arial" w:cs="Arial" w:eastAsia="Arial" w:hAnsi="Arial"/>
          <w:sz w:val="21"/>
          <w:szCs w:val="21"/>
          <w:color w:val="auto"/>
        </w:rPr>
      </w:pPr>
    </w:p>
    <w:p>
      <w:pPr>
        <w:jc w:val="both"/>
        <w:ind w:left="760" w:hanging="526"/>
        <w:spacing w:after="0" w:line="254" w:lineRule="auto"/>
        <w:tabs>
          <w:tab w:leader="none" w:pos="745" w:val="left"/>
        </w:tabs>
        <w:numPr>
          <w:ilvl w:val="0"/>
          <w:numId w:val="51"/>
        </w:numPr>
        <w:rPr>
          <w:rFonts w:ascii="Arial" w:cs="Arial" w:eastAsia="Arial" w:hAnsi="Arial"/>
          <w:sz w:val="21"/>
          <w:szCs w:val="21"/>
          <w:color w:val="auto"/>
        </w:rPr>
      </w:pPr>
      <w:r>
        <w:rPr>
          <w:rFonts w:ascii="Arial" w:cs="Arial" w:eastAsia="Arial" w:hAnsi="Arial"/>
          <w:sz w:val="21"/>
          <w:szCs w:val="21"/>
          <w:color w:val="auto"/>
        </w:rPr>
        <w:t>Without limitation, any amount paid under this Agreement that qualifies as a payment made as a result of an involuntary separation from service pursuant to Section 1.409A-1(b)(9)(iii) of the Treasury Regulations that does not exceed the Section 409A Limit is not intended to constitute Deferred Payments for purposes of clause (i) above. Any payment intended to qualify under this exemption must be made within the allowable time period specified in Section 1.409A-1(b)(9)(iii) of the Treasury Regulations.</w:t>
      </w:r>
    </w:p>
    <w:p>
      <w:pPr>
        <w:spacing w:after="0" w:line="63" w:lineRule="exact"/>
        <w:rPr>
          <w:rFonts w:ascii="Arial" w:cs="Arial" w:eastAsia="Arial" w:hAnsi="Arial"/>
          <w:sz w:val="21"/>
          <w:szCs w:val="21"/>
          <w:color w:val="auto"/>
        </w:rPr>
      </w:pPr>
    </w:p>
    <w:p>
      <w:pPr>
        <w:jc w:val="both"/>
        <w:ind w:left="760" w:hanging="480"/>
        <w:spacing w:after="0" w:line="267" w:lineRule="auto"/>
        <w:tabs>
          <w:tab w:leader="none" w:pos="745" w:val="left"/>
        </w:tabs>
        <w:numPr>
          <w:ilvl w:val="0"/>
          <w:numId w:val="51"/>
        </w:numPr>
        <w:rPr>
          <w:rFonts w:ascii="Arial" w:cs="Arial" w:eastAsia="Arial" w:hAnsi="Arial"/>
          <w:sz w:val="20"/>
          <w:szCs w:val="20"/>
          <w:color w:val="auto"/>
        </w:rPr>
      </w:pPr>
      <w:r>
        <w:rPr>
          <w:rFonts w:ascii="Arial" w:cs="Arial" w:eastAsia="Arial" w:hAnsi="Arial"/>
          <w:sz w:val="20"/>
          <w:szCs w:val="20"/>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65" w:lineRule="exact"/>
        <w:rPr>
          <w:rFonts w:ascii="Arial" w:cs="Arial" w:eastAsia="Arial" w:hAnsi="Arial"/>
          <w:sz w:val="20"/>
          <w:szCs w:val="20"/>
          <w:color w:val="auto"/>
        </w:rPr>
      </w:pPr>
    </w:p>
    <w:p>
      <w:pPr>
        <w:jc w:val="both"/>
        <w:ind w:left="760" w:hanging="526"/>
        <w:spacing w:after="0" w:line="253" w:lineRule="auto"/>
        <w:tabs>
          <w:tab w:leader="none" w:pos="760"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payments and benefits provided under Sections 6(a) and 6(b)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w:t>
      </w:r>
    </w:p>
    <w:p>
      <w:pPr>
        <w:sectPr>
          <w:pgSz w:w="11900" w:h="16838" w:orient="portrait"/>
          <w:cols w:equalWidth="0" w:num="1">
            <w:col w:w="10120"/>
          </w:cols>
          <w:pgMar w:left="1440" w:top="1440" w:right="339" w:bottom="1440" w:gutter="0" w:footer="0" w:header="0"/>
        </w:sectPr>
      </w:pPr>
    </w:p>
    <w:bookmarkStart w:id="145" w:name="page146"/>
    <w:bookmarkEnd w:id="145"/>
    <w:p>
      <w:pPr>
        <w:spacing w:after="0" w:line="37" w:lineRule="exact"/>
        <w:rPr>
          <w:sz w:val="20"/>
          <w:szCs w:val="20"/>
          <w:color w:val="auto"/>
        </w:rPr>
      </w:pPr>
    </w:p>
    <w:p>
      <w:pPr>
        <w:jc w:val="both"/>
        <w:ind w:left="1565"/>
        <w:spacing w:after="0" w:line="261" w:lineRule="auto"/>
        <w:rPr>
          <w:sz w:val="20"/>
          <w:szCs w:val="20"/>
          <w:color w:val="auto"/>
        </w:rPr>
      </w:pPr>
      <w:r>
        <w:rPr>
          <w:rFonts w:ascii="Arial" w:cs="Arial" w:eastAsia="Arial" w:hAnsi="Arial"/>
          <w:sz w:val="21"/>
          <w:szCs w:val="21"/>
          <w:color w:val="auto"/>
        </w:rPr>
        <w:t>consider amendments to this Agreement and to take such reasonable actions that are necessary, appropriate or desirable to avoid imposition of any additional tax or income recognition prior to actual payment to Executive under Section 409A.</w:t>
      </w:r>
    </w:p>
    <w:p>
      <w:pPr>
        <w:spacing w:after="0" w:line="69" w:lineRule="exact"/>
        <w:rPr>
          <w:sz w:val="20"/>
          <w:szCs w:val="20"/>
          <w:color w:val="auto"/>
        </w:rPr>
      </w:pPr>
    </w:p>
    <w:p>
      <w:pPr>
        <w:ind w:left="305" w:hanging="305"/>
        <w:spacing w:after="0"/>
        <w:tabs>
          <w:tab w:leader="none" w:pos="305" w:val="left"/>
        </w:tabs>
        <w:numPr>
          <w:ilvl w:val="0"/>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 of Terms.</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terms referred to in this Agreement will have the following meanings:</w:t>
      </w:r>
    </w:p>
    <w:p>
      <w:pPr>
        <w:spacing w:after="0" w:line="108" w:lineRule="exact"/>
        <w:rPr>
          <w:rFonts w:ascii="Arial" w:cs="Arial" w:eastAsia="Arial" w:hAnsi="Arial"/>
          <w:sz w:val="21"/>
          <w:szCs w:val="21"/>
          <w:color w:val="auto"/>
        </w:rPr>
      </w:pPr>
    </w:p>
    <w:p>
      <w:pPr>
        <w:ind w:left="925" w:hanging="302"/>
        <w:spacing w:after="0"/>
        <w:tabs>
          <w:tab w:leader="none" w:pos="925" w:val="left"/>
        </w:tabs>
        <w:numPr>
          <w:ilvl w:val="1"/>
          <w:numId w:val="52"/>
        </w:numPr>
        <w:rPr>
          <w:rFonts w:ascii="Arial" w:cs="Arial" w:eastAsia="Arial" w:hAnsi="Arial"/>
          <w:sz w:val="21"/>
          <w:szCs w:val="21"/>
          <w:color w:val="auto"/>
        </w:rPr>
      </w:pPr>
      <w:r>
        <w:rPr>
          <w:rFonts w:ascii="Arial" w:cs="Arial" w:eastAsia="Arial" w:hAnsi="Arial"/>
          <w:sz w:val="21"/>
          <w:szCs w:val="21"/>
          <w:b w:val="1"/>
          <w:bCs w:val="1"/>
          <w:u w:val="single" w:color="auto"/>
          <w:color w:val="auto"/>
        </w:rPr>
        <w:t>Cause.</w:t>
      </w:r>
      <w:r>
        <w:rPr>
          <w:rFonts w:ascii="Arial" w:cs="Arial" w:eastAsia="Arial" w:hAnsi="Arial"/>
          <w:sz w:val="21"/>
          <w:szCs w:val="21"/>
          <w:b w:val="1"/>
          <w:bCs w:val="1"/>
          <w:color w:val="auto"/>
        </w:rPr>
        <w:t xml:space="preserve"> </w:t>
      </w:r>
      <w:r>
        <w:rPr>
          <w:rFonts w:ascii="Arial" w:cs="Arial" w:eastAsia="Arial" w:hAnsi="Arial"/>
          <w:sz w:val="21"/>
          <w:szCs w:val="21"/>
          <w:color w:val="auto"/>
        </w:rPr>
        <w:t>“Cause” means:</w:t>
      </w:r>
    </w:p>
    <w:p>
      <w:pPr>
        <w:spacing w:after="0" w:line="108" w:lineRule="exact"/>
        <w:rPr>
          <w:rFonts w:ascii="Arial" w:cs="Arial" w:eastAsia="Arial" w:hAnsi="Arial"/>
          <w:sz w:val="21"/>
          <w:szCs w:val="21"/>
          <w:color w:val="auto"/>
        </w:rPr>
      </w:pPr>
    </w:p>
    <w:p>
      <w:pPr>
        <w:ind w:left="1565" w:hanging="422"/>
        <w:spacing w:after="0" w:line="277" w:lineRule="auto"/>
        <w:tabs>
          <w:tab w:leader="none" w:pos="1565" w:val="left"/>
        </w:tabs>
        <w:numPr>
          <w:ilvl w:val="4"/>
          <w:numId w:val="52"/>
        </w:numPr>
        <w:rPr>
          <w:rFonts w:ascii="Arial" w:cs="Arial" w:eastAsia="Arial" w:hAnsi="Arial"/>
          <w:sz w:val="21"/>
          <w:szCs w:val="21"/>
          <w:color w:val="auto"/>
        </w:rPr>
      </w:pPr>
      <w:r>
        <w:rPr>
          <w:rFonts w:ascii="Arial" w:cs="Arial" w:eastAsia="Arial" w:hAnsi="Arial"/>
          <w:sz w:val="21"/>
          <w:szCs w:val="21"/>
          <w:color w:val="auto"/>
        </w:rPr>
        <w:t>Executive’s gross negligence or willful misconduct in the performance of his or her duties and responsibilities to the Company or Executive’s violation of any written Company policy;</w:t>
      </w:r>
    </w:p>
    <w:p>
      <w:pPr>
        <w:spacing w:after="0" w:line="39" w:lineRule="exact"/>
        <w:rPr>
          <w:rFonts w:ascii="Arial" w:cs="Arial" w:eastAsia="Arial" w:hAnsi="Arial"/>
          <w:sz w:val="21"/>
          <w:szCs w:val="21"/>
          <w:color w:val="auto"/>
        </w:rPr>
      </w:pPr>
    </w:p>
    <w:p>
      <w:pPr>
        <w:jc w:val="both"/>
        <w:ind w:left="1565" w:hanging="468"/>
        <w:spacing w:after="0" w:line="267" w:lineRule="auto"/>
        <w:tabs>
          <w:tab w:leader="none" w:pos="1565" w:val="left"/>
        </w:tabs>
        <w:numPr>
          <w:ilvl w:val="4"/>
          <w:numId w:val="52"/>
        </w:numPr>
        <w:rPr>
          <w:rFonts w:ascii="Arial" w:cs="Arial" w:eastAsia="Arial" w:hAnsi="Arial"/>
          <w:sz w:val="21"/>
          <w:szCs w:val="21"/>
          <w:color w:val="auto"/>
        </w:rPr>
      </w:pPr>
      <w:r>
        <w:rPr>
          <w:rFonts w:ascii="Arial" w:cs="Arial" w:eastAsia="Arial" w:hAnsi="Arial"/>
          <w:sz w:val="21"/>
          <w:szCs w:val="21"/>
          <w:color w:val="auto"/>
        </w:rPr>
        <w:t>Executive’s commission of any act of fraud, theft, embezzlement, financial dishonesty, misappropriation from the Company or any other willful misconduct that has caused or is reasonably expected to result in injury to the Company;</w:t>
      </w:r>
    </w:p>
    <w:p>
      <w:pPr>
        <w:spacing w:after="0" w:line="50" w:lineRule="exact"/>
        <w:rPr>
          <w:rFonts w:ascii="Arial" w:cs="Arial" w:eastAsia="Arial" w:hAnsi="Arial"/>
          <w:sz w:val="21"/>
          <w:szCs w:val="21"/>
          <w:color w:val="auto"/>
        </w:rPr>
      </w:pPr>
    </w:p>
    <w:p>
      <w:pPr>
        <w:ind w:left="1565" w:hanging="514"/>
        <w:spacing w:after="0" w:line="277" w:lineRule="auto"/>
        <w:tabs>
          <w:tab w:leader="none" w:pos="1565" w:val="left"/>
        </w:tabs>
        <w:numPr>
          <w:ilvl w:val="4"/>
          <w:numId w:val="52"/>
        </w:numPr>
        <w:rPr>
          <w:rFonts w:ascii="Arial" w:cs="Arial" w:eastAsia="Arial" w:hAnsi="Arial"/>
          <w:sz w:val="21"/>
          <w:szCs w:val="21"/>
          <w:color w:val="auto"/>
        </w:rPr>
      </w:pPr>
      <w:r>
        <w:rPr>
          <w:rFonts w:ascii="Arial" w:cs="Arial" w:eastAsia="Arial" w:hAnsi="Arial"/>
          <w:sz w:val="21"/>
          <w:szCs w:val="21"/>
          <w:color w:val="auto"/>
        </w:rPr>
        <w:t>Executive’s conviction of, or pleading guilty or nolo contendre to, any felony or a lesser crime involving dishonesty or moral turpitude;</w:t>
      </w:r>
    </w:p>
    <w:p>
      <w:pPr>
        <w:spacing w:after="0" w:line="39" w:lineRule="exact"/>
        <w:rPr>
          <w:rFonts w:ascii="Arial" w:cs="Arial" w:eastAsia="Arial" w:hAnsi="Arial"/>
          <w:sz w:val="21"/>
          <w:szCs w:val="21"/>
          <w:color w:val="auto"/>
        </w:rPr>
      </w:pPr>
    </w:p>
    <w:p>
      <w:pPr>
        <w:jc w:val="both"/>
        <w:ind w:left="1565" w:hanging="526"/>
        <w:spacing w:after="0" w:line="303" w:lineRule="auto"/>
        <w:tabs>
          <w:tab w:leader="none" w:pos="1549" w:val="left"/>
        </w:tabs>
        <w:numPr>
          <w:ilvl w:val="3"/>
          <w:numId w:val="52"/>
        </w:numPr>
        <w:rPr>
          <w:rFonts w:ascii="Arial" w:cs="Arial" w:eastAsia="Arial" w:hAnsi="Arial"/>
          <w:sz w:val="20"/>
          <w:szCs w:val="20"/>
          <w:color w:val="auto"/>
        </w:rPr>
      </w:pPr>
      <w:r>
        <w:rPr>
          <w:rFonts w:ascii="Arial" w:cs="Arial" w:eastAsia="Arial" w:hAnsi="Arial"/>
          <w:sz w:val="20"/>
          <w:szCs w:val="20"/>
          <w:color w:val="auto"/>
        </w:rPr>
        <w:t>Executive’s unlawful use (including being under the influence) or possession of illegal drugs on the premises of the Company or while performing Executive’s duties and responsibilities for the Company</w:t>
      </w:r>
    </w:p>
    <w:p>
      <w:pPr>
        <w:spacing w:after="0" w:line="29" w:lineRule="exact"/>
        <w:rPr>
          <w:rFonts w:ascii="Arial" w:cs="Arial" w:eastAsia="Arial" w:hAnsi="Arial"/>
          <w:sz w:val="20"/>
          <w:szCs w:val="20"/>
          <w:color w:val="auto"/>
        </w:rPr>
      </w:pPr>
    </w:p>
    <w:p>
      <w:pPr>
        <w:jc w:val="both"/>
        <w:ind w:left="1565" w:hanging="480"/>
        <w:spacing w:after="0" w:line="261" w:lineRule="auto"/>
        <w:tabs>
          <w:tab w:leader="none" w:pos="1549" w:val="left"/>
        </w:tabs>
        <w:numPr>
          <w:ilvl w:val="3"/>
          <w:numId w:val="52"/>
        </w:numPr>
        <w:rPr>
          <w:rFonts w:ascii="Arial" w:cs="Arial" w:eastAsia="Arial" w:hAnsi="Arial"/>
          <w:sz w:val="21"/>
          <w:szCs w:val="21"/>
          <w:color w:val="auto"/>
        </w:rPr>
      </w:pPr>
      <w:r>
        <w:rPr>
          <w:rFonts w:ascii="Arial" w:cs="Arial" w:eastAsia="Arial" w:hAnsi="Arial"/>
          <w:sz w:val="21"/>
          <w:szCs w:val="21"/>
          <w:color w:val="auto"/>
        </w:rPr>
        <w:t>Executive’s unauthorized use or disclosure of any proprietary information or trade secrets of the Company or any other party to whom Executive owes an obligation of nondisclosure as a result of his or her relationship with the Company; or</w:t>
      </w:r>
    </w:p>
    <w:p>
      <w:pPr>
        <w:spacing w:after="0" w:line="55" w:lineRule="exact"/>
        <w:rPr>
          <w:rFonts w:ascii="Arial" w:cs="Arial" w:eastAsia="Arial" w:hAnsi="Arial"/>
          <w:sz w:val="21"/>
          <w:szCs w:val="21"/>
          <w:color w:val="auto"/>
        </w:rPr>
      </w:pPr>
    </w:p>
    <w:p>
      <w:pPr>
        <w:ind w:left="1565" w:hanging="526"/>
        <w:spacing w:after="0" w:line="277" w:lineRule="auto"/>
        <w:tabs>
          <w:tab w:leader="none" w:pos="1565" w:val="left"/>
        </w:tabs>
        <w:numPr>
          <w:ilvl w:val="4"/>
          <w:numId w:val="53"/>
        </w:numPr>
        <w:rPr>
          <w:rFonts w:ascii="Arial" w:cs="Arial" w:eastAsia="Arial" w:hAnsi="Arial"/>
          <w:sz w:val="21"/>
          <w:szCs w:val="21"/>
          <w:color w:val="auto"/>
        </w:rPr>
      </w:pPr>
      <w:r>
        <w:rPr>
          <w:rFonts w:ascii="Arial" w:cs="Arial" w:eastAsia="Arial" w:hAnsi="Arial"/>
          <w:sz w:val="21"/>
          <w:szCs w:val="21"/>
          <w:color w:val="auto"/>
        </w:rPr>
        <w:t>Executive’s material breach of any of his or her obligations under any written agreement or covenant with the Company.</w:t>
      </w:r>
    </w:p>
    <w:p>
      <w:pPr>
        <w:spacing w:after="0" w:line="52" w:lineRule="exact"/>
        <w:rPr>
          <w:rFonts w:ascii="Arial" w:cs="Arial" w:eastAsia="Arial" w:hAnsi="Arial"/>
          <w:sz w:val="21"/>
          <w:szCs w:val="21"/>
          <w:color w:val="auto"/>
        </w:rPr>
      </w:pPr>
    </w:p>
    <w:p>
      <w:pPr>
        <w:ind w:left="925" w:hanging="302"/>
        <w:spacing w:after="0"/>
        <w:tabs>
          <w:tab w:leader="none" w:pos="925" w:val="left"/>
        </w:tabs>
        <w:numPr>
          <w:ilvl w:val="1"/>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“Change in Control” shall have the meaning ascribed to such term in the Equity Plan.</w:t>
      </w:r>
    </w:p>
    <w:p>
      <w:pPr>
        <w:spacing w:after="0" w:line="108" w:lineRule="exact"/>
        <w:rPr>
          <w:rFonts w:ascii="Arial" w:cs="Arial" w:eastAsia="Arial" w:hAnsi="Arial"/>
          <w:sz w:val="21"/>
          <w:szCs w:val="21"/>
          <w:color w:val="auto"/>
        </w:rPr>
      </w:pPr>
    </w:p>
    <w:p>
      <w:pPr>
        <w:jc w:val="both"/>
        <w:ind w:left="925" w:hanging="302"/>
        <w:spacing w:after="0" w:line="261" w:lineRule="auto"/>
        <w:tabs>
          <w:tab w:leader="none" w:pos="917" w:val="left"/>
        </w:tabs>
        <w:numPr>
          <w:ilvl w:val="1"/>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Protection Period.</w:t>
      </w:r>
      <w:r>
        <w:rPr>
          <w:rFonts w:ascii="Arial" w:cs="Arial" w:eastAsia="Arial" w:hAnsi="Arial"/>
          <w:sz w:val="21"/>
          <w:szCs w:val="21"/>
          <w:b w:val="1"/>
          <w:bCs w:val="1"/>
          <w:color w:val="auto"/>
        </w:rPr>
        <w:t xml:space="preserve"> </w:t>
      </w:r>
      <w:r>
        <w:rPr>
          <w:rFonts w:ascii="Arial" w:cs="Arial" w:eastAsia="Arial" w:hAnsi="Arial"/>
          <w:sz w:val="21"/>
          <w:szCs w:val="21"/>
          <w:color w:val="auto"/>
        </w:rPr>
        <w:t>“Change in Control Protection Period” means the period beginning</w:t>
      </w:r>
      <w:r>
        <w:rPr>
          <w:rFonts w:ascii="Arial" w:cs="Arial" w:eastAsia="Arial" w:hAnsi="Arial"/>
          <w:sz w:val="21"/>
          <w:szCs w:val="21"/>
          <w:b w:val="1"/>
          <w:bCs w:val="1"/>
          <w:color w:val="auto"/>
        </w:rPr>
        <w:t xml:space="preserve"> </w:t>
      </w:r>
      <w:r>
        <w:rPr>
          <w:rFonts w:ascii="Arial" w:cs="Arial" w:eastAsia="Arial" w:hAnsi="Arial"/>
          <w:sz w:val="21"/>
          <w:szCs w:val="21"/>
          <w:color w:val="auto"/>
        </w:rPr>
        <w:t>one month prior to and ending twelve (12) months immediately following the consummation of a Change in Control.</w:t>
      </w:r>
    </w:p>
    <w:p>
      <w:pPr>
        <w:spacing w:after="0" w:line="55" w:lineRule="exact"/>
        <w:rPr>
          <w:rFonts w:ascii="Arial" w:cs="Arial" w:eastAsia="Arial" w:hAnsi="Arial"/>
          <w:sz w:val="21"/>
          <w:szCs w:val="21"/>
          <w:color w:val="auto"/>
        </w:rPr>
      </w:pPr>
    </w:p>
    <w:p>
      <w:pPr>
        <w:ind w:left="925" w:hanging="302"/>
        <w:spacing w:after="0"/>
        <w:tabs>
          <w:tab w:leader="none" w:pos="925" w:val="left"/>
        </w:tabs>
        <w:numPr>
          <w:ilvl w:val="1"/>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Code.</w:t>
      </w:r>
      <w:r>
        <w:rPr>
          <w:rFonts w:ascii="Arial" w:cs="Arial" w:eastAsia="Arial" w:hAnsi="Arial"/>
          <w:sz w:val="21"/>
          <w:szCs w:val="21"/>
          <w:b w:val="1"/>
          <w:bCs w:val="1"/>
          <w:color w:val="auto"/>
        </w:rPr>
        <w:t xml:space="preserve"> </w:t>
      </w:r>
      <w:r>
        <w:rPr>
          <w:rFonts w:ascii="Arial" w:cs="Arial" w:eastAsia="Arial" w:hAnsi="Arial"/>
          <w:sz w:val="21"/>
          <w:szCs w:val="21"/>
          <w:color w:val="auto"/>
        </w:rPr>
        <w:t>“Code” means the Internal Revenue Code of 1986, as amended.</w:t>
      </w:r>
    </w:p>
    <w:p>
      <w:pPr>
        <w:spacing w:after="0" w:line="121" w:lineRule="exact"/>
        <w:rPr>
          <w:rFonts w:ascii="Arial" w:cs="Arial" w:eastAsia="Arial" w:hAnsi="Arial"/>
          <w:sz w:val="21"/>
          <w:szCs w:val="21"/>
          <w:color w:val="auto"/>
        </w:rPr>
      </w:pPr>
    </w:p>
    <w:p>
      <w:pPr>
        <w:jc w:val="both"/>
        <w:ind w:left="925" w:hanging="302"/>
        <w:spacing w:after="0" w:line="251" w:lineRule="auto"/>
        <w:tabs>
          <w:tab w:leader="none" w:pos="916" w:val="left"/>
        </w:tabs>
        <w:numPr>
          <w:ilvl w:val="1"/>
          <w:numId w:val="54"/>
        </w:numPr>
        <w:rPr>
          <w:rFonts w:ascii="Arial" w:cs="Arial" w:eastAsia="Arial" w:hAnsi="Arial"/>
          <w:sz w:val="21"/>
          <w:szCs w:val="21"/>
          <w:color w:val="auto"/>
        </w:rPr>
      </w:pPr>
      <w:r>
        <w:rPr>
          <w:rFonts w:ascii="Arial" w:cs="Arial" w:eastAsia="Arial" w:hAnsi="Arial"/>
          <w:sz w:val="21"/>
          <w:szCs w:val="21"/>
          <w:b w:val="1"/>
          <w:bCs w:val="1"/>
          <w:u w:val="single" w:color="auto"/>
          <w:color w:val="auto"/>
        </w:rPr>
        <w:t>Disability.</w:t>
      </w:r>
      <w:r>
        <w:rPr>
          <w:rFonts w:ascii="Arial" w:cs="Arial" w:eastAsia="Arial" w:hAnsi="Arial"/>
          <w:sz w:val="21"/>
          <w:szCs w:val="21"/>
          <w:b w:val="1"/>
          <w:bCs w:val="1"/>
          <w:color w:val="auto"/>
        </w:rPr>
        <w:t xml:space="preserve"> </w:t>
      </w:r>
      <w:r>
        <w:rPr>
          <w:rFonts w:ascii="Arial" w:cs="Arial" w:eastAsia="Arial" w:hAnsi="Arial"/>
          <w:sz w:val="21"/>
          <w:szCs w:val="21"/>
          <w:color w:val="auto"/>
        </w:rPr>
        <w:t>“Disability” or “Disabled” means that Executive is unable to engage in any substantial gainful</w:t>
      </w:r>
      <w:r>
        <w:rPr>
          <w:rFonts w:ascii="Arial" w:cs="Arial" w:eastAsia="Arial" w:hAnsi="Arial"/>
          <w:sz w:val="21"/>
          <w:szCs w:val="21"/>
          <w:b w:val="1"/>
          <w:bCs w:val="1"/>
          <w:color w:val="auto"/>
        </w:rPr>
        <w:t xml:space="preserve"> </w:t>
      </w:r>
      <w:r>
        <w:rPr>
          <w:rFonts w:ascii="Arial" w:cs="Arial" w:eastAsia="Arial" w:hAnsi="Arial"/>
          <w:sz w:val="21"/>
          <w:szCs w:val="21"/>
          <w:color w:val="auto"/>
        </w:rPr>
        <w:t>activity by reason of any medically determinable physical or mental impairment which can be expected to result in death or which has lasted, or can be expected to last, for a continuous period of not less than one</w:t>
      </w:r>
    </w:p>
    <w:p>
      <w:pPr>
        <w:spacing w:after="0" w:line="2" w:lineRule="exact"/>
        <w:rPr>
          <w:rFonts w:ascii="Arial" w:cs="Arial" w:eastAsia="Arial" w:hAnsi="Arial"/>
          <w:sz w:val="21"/>
          <w:szCs w:val="21"/>
          <w:color w:val="auto"/>
        </w:rPr>
      </w:pPr>
    </w:p>
    <w:p>
      <w:pPr>
        <w:ind w:left="1245" w:hanging="310"/>
        <w:spacing w:after="0"/>
        <w:tabs>
          <w:tab w:leader="none" w:pos="1245" w:val="left"/>
        </w:tabs>
        <w:numPr>
          <w:ilvl w:val="2"/>
          <w:numId w:val="54"/>
        </w:numPr>
        <w:rPr>
          <w:rFonts w:ascii="Arial" w:cs="Arial" w:eastAsia="Arial" w:hAnsi="Arial"/>
          <w:sz w:val="21"/>
          <w:szCs w:val="21"/>
          <w:color w:val="auto"/>
        </w:rPr>
      </w:pPr>
      <w:r>
        <w:rPr>
          <w:rFonts w:ascii="Arial" w:cs="Arial" w:eastAsia="Arial" w:hAnsi="Arial"/>
          <w:sz w:val="21"/>
          <w:szCs w:val="21"/>
          <w:color w:val="auto"/>
        </w:rPr>
        <w:t>year.</w:t>
      </w:r>
    </w:p>
    <w:p>
      <w:pPr>
        <w:sectPr>
          <w:pgSz w:w="11900" w:h="16838" w:orient="portrait"/>
          <w:cols w:equalWidth="0" w:num="1">
            <w:col w:w="10925"/>
          </w:cols>
          <w:pgMar w:left="635" w:top="1440" w:right="339" w:bottom="1440" w:gutter="0" w:footer="0" w:header="0"/>
        </w:sectPr>
      </w:pPr>
    </w:p>
    <w:bookmarkStart w:id="146" w:name="page147"/>
    <w:bookmarkEnd w:id="146"/>
    <w:p>
      <w:pPr>
        <w:spacing w:after="0" w:line="36" w:lineRule="exact"/>
        <w:rPr>
          <w:sz w:val="20"/>
          <w:szCs w:val="20"/>
          <w:color w:val="auto"/>
        </w:rPr>
      </w:pPr>
    </w:p>
    <w:p>
      <w:pPr>
        <w:jc w:val="both"/>
        <w:ind w:left="302" w:hanging="302"/>
        <w:spacing w:after="0" w:line="261" w:lineRule="auto"/>
        <w:tabs>
          <w:tab w:leader="none" w:pos="300" w:val="left"/>
        </w:tabs>
        <w:numPr>
          <w:ilvl w:val="0"/>
          <w:numId w:val="55"/>
        </w:numPr>
        <w:rPr>
          <w:rFonts w:ascii="Arial" w:cs="Arial" w:eastAsia="Arial" w:hAnsi="Arial"/>
          <w:sz w:val="21"/>
          <w:szCs w:val="21"/>
          <w:color w:val="auto"/>
        </w:rPr>
      </w:pPr>
      <w:r>
        <w:rPr>
          <w:rFonts w:ascii="Arial" w:cs="Arial" w:eastAsia="Arial" w:hAnsi="Arial"/>
          <w:sz w:val="21"/>
          <w:szCs w:val="21"/>
          <w:b w:val="1"/>
          <w:bCs w:val="1"/>
          <w:u w:val="single" w:color="auto"/>
          <w:color w:val="auto"/>
        </w:rPr>
        <w:t>Good Reason.</w:t>
      </w:r>
      <w:r>
        <w:rPr>
          <w:rFonts w:ascii="Arial" w:cs="Arial" w:eastAsia="Arial" w:hAnsi="Arial"/>
          <w:sz w:val="21"/>
          <w:szCs w:val="21"/>
          <w:b w:val="1"/>
          <w:bCs w:val="1"/>
          <w:color w:val="auto"/>
        </w:rPr>
        <w:t xml:space="preserve"> </w:t>
      </w:r>
      <w:r>
        <w:rPr>
          <w:rFonts w:ascii="Arial" w:cs="Arial" w:eastAsia="Arial" w:hAnsi="Arial"/>
          <w:sz w:val="21"/>
          <w:szCs w:val="21"/>
          <w:color w:val="auto"/>
        </w:rPr>
        <w:t>“Good Reason” means Executive’s resignation or termination of employment within thirty</w:t>
      </w:r>
      <w:r>
        <w:rPr>
          <w:rFonts w:ascii="Arial" w:cs="Arial" w:eastAsia="Arial" w:hAnsi="Arial"/>
          <w:sz w:val="21"/>
          <w:szCs w:val="21"/>
          <w:b w:val="1"/>
          <w:bCs w:val="1"/>
          <w:color w:val="auto"/>
        </w:rPr>
        <w:t xml:space="preserve"> </w:t>
      </w:r>
      <w:r>
        <w:rPr>
          <w:rFonts w:ascii="Arial" w:cs="Arial" w:eastAsia="Arial" w:hAnsi="Arial"/>
          <w:sz w:val="21"/>
          <w:szCs w:val="21"/>
          <w:color w:val="auto"/>
        </w:rPr>
        <w:t>(30) days following the expiration of any cure period (discussed below) following the occurrence of one or more of the following without Executive’s consent:</w:t>
      </w:r>
    </w:p>
    <w:p>
      <w:pPr>
        <w:spacing w:after="0" w:line="69" w:lineRule="exact"/>
        <w:rPr>
          <w:sz w:val="20"/>
          <w:szCs w:val="20"/>
          <w:color w:val="auto"/>
        </w:rPr>
      </w:pPr>
    </w:p>
    <w:p>
      <w:pPr>
        <w:jc w:val="both"/>
        <w:ind w:left="942" w:hanging="422"/>
        <w:spacing w:after="0" w:line="254" w:lineRule="auto"/>
        <w:tabs>
          <w:tab w:leader="none" w:pos="942" w:val="left"/>
        </w:tabs>
        <w:numPr>
          <w:ilvl w:val="1"/>
          <w:numId w:val="56"/>
        </w:numPr>
        <w:rPr>
          <w:rFonts w:ascii="Arial" w:cs="Arial" w:eastAsia="Arial" w:hAnsi="Arial"/>
          <w:sz w:val="21"/>
          <w:szCs w:val="21"/>
          <w:color w:val="auto"/>
        </w:rPr>
      </w:pPr>
      <w:r>
        <w:rPr>
          <w:rFonts w:ascii="Arial" w:cs="Arial" w:eastAsia="Arial" w:hAnsi="Arial"/>
          <w:sz w:val="21"/>
          <w:szCs w:val="21"/>
          <w:color w:val="auto"/>
        </w:rPr>
        <w:t>A material reduction of Executive’s duties, authority or responsibilities, relative to Executive’s duties, authority or responsibilities in effect immediately prior to such reduction; provided, however, that a reduction in duties, authority or responsibilities solely by virtue of the Company being acquired and made part of a larger entity (as, for example, when the General Counsel of the Company remains as such following a Change in Control but is not made the General Counsel of the acquiring corporation) will not constitute Good Reason;</w:t>
      </w:r>
    </w:p>
    <w:p>
      <w:pPr>
        <w:spacing w:after="0" w:line="63" w:lineRule="exact"/>
        <w:rPr>
          <w:rFonts w:ascii="Arial" w:cs="Arial" w:eastAsia="Arial" w:hAnsi="Arial"/>
          <w:sz w:val="21"/>
          <w:szCs w:val="21"/>
          <w:color w:val="auto"/>
        </w:rPr>
      </w:pPr>
    </w:p>
    <w:p>
      <w:pPr>
        <w:jc w:val="both"/>
        <w:ind w:left="942" w:hanging="468"/>
        <w:spacing w:after="0" w:line="261" w:lineRule="auto"/>
        <w:tabs>
          <w:tab w:leader="none" w:pos="942" w:val="left"/>
        </w:tabs>
        <w:numPr>
          <w:ilvl w:val="1"/>
          <w:numId w:val="56"/>
        </w:numPr>
        <w:rPr>
          <w:rFonts w:ascii="Arial" w:cs="Arial" w:eastAsia="Arial" w:hAnsi="Arial"/>
          <w:sz w:val="21"/>
          <w:szCs w:val="21"/>
          <w:color w:val="auto"/>
        </w:rPr>
      </w:pPr>
      <w:r>
        <w:rPr>
          <w:rFonts w:ascii="Arial" w:cs="Arial" w:eastAsia="Arial" w:hAnsi="Arial"/>
          <w:sz w:val="21"/>
          <w:szCs w:val="21"/>
          <w:color w:val="auto"/>
        </w:rPr>
        <w:t>A material reduction in Executive’s Base Salary (except where there is a reduction applicable to all similarly situated executive officers generally); provided, that a reduction of less than ten percent (10%) will not be considered a material reduction in Base Salary;</w:t>
      </w:r>
    </w:p>
    <w:p>
      <w:pPr>
        <w:spacing w:after="0" w:line="55" w:lineRule="exact"/>
        <w:rPr>
          <w:rFonts w:ascii="Arial" w:cs="Arial" w:eastAsia="Arial" w:hAnsi="Arial"/>
          <w:sz w:val="21"/>
          <w:szCs w:val="21"/>
          <w:color w:val="auto"/>
        </w:rPr>
      </w:pPr>
    </w:p>
    <w:p>
      <w:pPr>
        <w:jc w:val="both"/>
        <w:ind w:left="942" w:hanging="514"/>
        <w:spacing w:after="0" w:line="267" w:lineRule="auto"/>
        <w:tabs>
          <w:tab w:leader="none" w:pos="942" w:val="left"/>
        </w:tabs>
        <w:numPr>
          <w:ilvl w:val="1"/>
          <w:numId w:val="56"/>
        </w:numPr>
        <w:rPr>
          <w:rFonts w:ascii="Arial" w:cs="Arial" w:eastAsia="Arial" w:hAnsi="Arial"/>
          <w:sz w:val="21"/>
          <w:szCs w:val="21"/>
          <w:color w:val="auto"/>
        </w:rPr>
      </w:pPr>
      <w:r>
        <w:rPr>
          <w:rFonts w:ascii="Arial" w:cs="Arial" w:eastAsia="Arial" w:hAnsi="Arial"/>
          <w:sz w:val="21"/>
          <w:szCs w:val="21"/>
          <w:color w:val="auto"/>
        </w:rPr>
        <w:t>A material change in the geographic location of Executive’s primary work facility or location; provided, that a relocation of less than fifty (50) miles from Executive’s then-present work location will not be considered a material change in geographic location; or</w:t>
      </w:r>
    </w:p>
    <w:p>
      <w:pPr>
        <w:spacing w:after="0" w:line="50" w:lineRule="exact"/>
        <w:rPr>
          <w:rFonts w:ascii="Arial" w:cs="Arial" w:eastAsia="Arial" w:hAnsi="Arial"/>
          <w:sz w:val="21"/>
          <w:szCs w:val="21"/>
          <w:color w:val="auto"/>
        </w:rPr>
      </w:pPr>
    </w:p>
    <w:p>
      <w:pPr>
        <w:ind w:left="922" w:hanging="506"/>
        <w:spacing w:after="0"/>
        <w:tabs>
          <w:tab w:leader="none" w:pos="922" w:val="left"/>
        </w:tabs>
        <w:numPr>
          <w:ilvl w:val="0"/>
          <w:numId w:val="57"/>
        </w:numPr>
        <w:rPr>
          <w:rFonts w:ascii="Arial" w:cs="Arial" w:eastAsia="Arial" w:hAnsi="Arial"/>
          <w:sz w:val="21"/>
          <w:szCs w:val="21"/>
          <w:color w:val="auto"/>
        </w:rPr>
      </w:pPr>
      <w:r>
        <w:rPr>
          <w:rFonts w:ascii="Arial" w:cs="Arial" w:eastAsia="Arial" w:hAnsi="Arial"/>
          <w:sz w:val="21"/>
          <w:szCs w:val="21"/>
          <w:color w:val="auto"/>
        </w:rPr>
        <w:t>A material breach by the Company of a material provision of this Agreement.</w:t>
      </w:r>
    </w:p>
    <w:p>
      <w:pPr>
        <w:spacing w:after="0" w:line="109" w:lineRule="exact"/>
        <w:rPr>
          <w:sz w:val="20"/>
          <w:szCs w:val="20"/>
          <w:color w:val="auto"/>
        </w:rPr>
      </w:pPr>
    </w:p>
    <w:p>
      <w:pPr>
        <w:jc w:val="both"/>
        <w:ind w:left="302"/>
        <w:spacing w:after="0" w:line="260" w:lineRule="auto"/>
        <w:rPr>
          <w:sz w:val="20"/>
          <w:szCs w:val="20"/>
          <w:color w:val="auto"/>
        </w:rPr>
      </w:pPr>
      <w:r>
        <w:rPr>
          <w:rFonts w:ascii="Arial" w:cs="Arial" w:eastAsia="Arial" w:hAnsi="Arial"/>
          <w:sz w:val="21"/>
          <w:szCs w:val="21"/>
          <w:color w:val="auto"/>
        </w:rPr>
        <w:t>Executive will not resign for Good Reason without first providing the Company with written notice of the acts or omissions constituting the grounds for Good Reason within thirty (30) days of the initial existence of the grounds for Good Reason and a reasonable cure period of not less than thirty (30) days following the date the Company receives such notice during which such condition must not have been cured.</w:t>
      </w:r>
    </w:p>
    <w:p>
      <w:pPr>
        <w:spacing w:after="0" w:line="57" w:lineRule="exact"/>
        <w:rPr>
          <w:sz w:val="20"/>
          <w:szCs w:val="20"/>
          <w:color w:val="auto"/>
        </w:rPr>
      </w:pPr>
    </w:p>
    <w:p>
      <w:pPr>
        <w:jc w:val="both"/>
        <w:ind w:left="302" w:hanging="302"/>
        <w:spacing w:after="0" w:line="261" w:lineRule="auto"/>
        <w:tabs>
          <w:tab w:leader="none" w:pos="293" w:val="left"/>
        </w:tabs>
        <w:numPr>
          <w:ilvl w:val="0"/>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Governmental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Authority” means any federal, state, municipal, foreign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 governmental department, commission, board, bureau, agency or instrumentality, or any private or public court or tribunal.</w:t>
      </w:r>
    </w:p>
    <w:p>
      <w:pPr>
        <w:spacing w:after="0" w:line="55" w:lineRule="exact"/>
        <w:rPr>
          <w:rFonts w:ascii="Arial" w:cs="Arial" w:eastAsia="Arial" w:hAnsi="Arial"/>
          <w:sz w:val="21"/>
          <w:szCs w:val="21"/>
          <w:color w:val="auto"/>
        </w:rPr>
      </w:pPr>
    </w:p>
    <w:p>
      <w:pPr>
        <w:jc w:val="both"/>
        <w:ind w:left="302" w:hanging="302"/>
        <w:spacing w:after="0" w:line="267" w:lineRule="auto"/>
        <w:tabs>
          <w:tab w:leader="none" w:pos="293" w:val="left"/>
        </w:tabs>
        <w:numPr>
          <w:ilvl w:val="0"/>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Person.</w:t>
      </w:r>
      <w:r>
        <w:rPr>
          <w:rFonts w:ascii="Arial" w:cs="Arial" w:eastAsia="Arial" w:hAnsi="Arial"/>
          <w:sz w:val="21"/>
          <w:szCs w:val="21"/>
          <w:b w:val="1"/>
          <w:bCs w:val="1"/>
          <w:color w:val="auto"/>
        </w:rPr>
        <w:t xml:space="preserve"> </w:t>
      </w:r>
      <w:r>
        <w:rPr>
          <w:rFonts w:ascii="Arial" w:cs="Arial" w:eastAsia="Arial" w:hAnsi="Arial"/>
          <w:sz w:val="21"/>
          <w:szCs w:val="21"/>
          <w:color w:val="auto"/>
        </w:rPr>
        <w:t>“Person” shall be construed in the broadest sense and means and includes any natural person, a</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partnership, a corporation, an association, a joint stock company, a limited liability company, a trust, a joint venture, an unincorporated organization and other entity or Governmental Authority.</w:t>
      </w:r>
    </w:p>
    <w:p>
      <w:pPr>
        <w:spacing w:after="0" w:line="50" w:lineRule="exact"/>
        <w:rPr>
          <w:rFonts w:ascii="Arial" w:cs="Arial" w:eastAsia="Arial" w:hAnsi="Arial"/>
          <w:sz w:val="21"/>
          <w:szCs w:val="21"/>
          <w:color w:val="auto"/>
        </w:rPr>
      </w:pPr>
    </w:p>
    <w:p>
      <w:pPr>
        <w:ind w:left="302" w:hanging="302"/>
        <w:spacing w:after="0" w:line="277" w:lineRule="auto"/>
        <w:tabs>
          <w:tab w:leader="none" w:pos="302" w:val="left"/>
        </w:tabs>
        <w:numPr>
          <w:ilvl w:val="0"/>
          <w:numId w:val="58"/>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409A” means Section 409A of the Code, and the final regulations and any guidance</w:t>
      </w:r>
      <w:r>
        <w:rPr>
          <w:rFonts w:ascii="Arial" w:cs="Arial" w:eastAsia="Arial" w:hAnsi="Arial"/>
          <w:sz w:val="21"/>
          <w:szCs w:val="21"/>
          <w:b w:val="1"/>
          <w:bCs w:val="1"/>
          <w:color w:val="auto"/>
        </w:rPr>
        <w:t xml:space="preserve"> </w:t>
      </w:r>
      <w:r>
        <w:rPr>
          <w:rFonts w:ascii="Arial" w:cs="Arial" w:eastAsia="Arial" w:hAnsi="Arial"/>
          <w:sz w:val="21"/>
          <w:szCs w:val="21"/>
          <w:color w:val="auto"/>
        </w:rPr>
        <w:t>promulgated thereunder or any state law equivalent.</w:t>
      </w:r>
    </w:p>
    <w:p>
      <w:pPr>
        <w:sectPr>
          <w:pgSz w:w="11900" w:h="16838" w:orient="portrait"/>
          <w:cols w:equalWidth="0" w:num="1">
            <w:col w:w="10302"/>
          </w:cols>
          <w:pgMar w:left="1258" w:top="1440" w:right="339" w:bottom="1440" w:gutter="0" w:footer="0" w:header="0"/>
        </w:sectPr>
      </w:pPr>
    </w:p>
    <w:bookmarkStart w:id="147" w:name="page148"/>
    <w:bookmarkEnd w:id="147"/>
    <w:p>
      <w:pPr>
        <w:spacing w:after="0" w:line="36" w:lineRule="exact"/>
        <w:rPr>
          <w:sz w:val="20"/>
          <w:szCs w:val="20"/>
          <w:color w:val="auto"/>
        </w:rPr>
      </w:pPr>
    </w:p>
    <w:p>
      <w:pPr>
        <w:jc w:val="both"/>
        <w:ind w:left="925" w:hanging="302"/>
        <w:spacing w:after="0" w:line="254" w:lineRule="auto"/>
        <w:tabs>
          <w:tab w:leader="none" w:pos="925" w:val="left"/>
        </w:tabs>
        <w:numPr>
          <w:ilvl w:val="1"/>
          <w:numId w:val="59"/>
        </w:numPr>
        <w:rPr>
          <w:rFonts w:ascii="Arial" w:cs="Arial" w:eastAsia="Arial" w:hAnsi="Arial"/>
          <w:sz w:val="21"/>
          <w:szCs w:val="21"/>
          <w:color w:val="auto"/>
        </w:rPr>
      </w:pPr>
      <w:r>
        <w:rPr>
          <w:rFonts w:ascii="Arial" w:cs="Arial" w:eastAsia="Arial" w:hAnsi="Arial"/>
          <w:sz w:val="21"/>
          <w:szCs w:val="21"/>
          <w:b w:val="1"/>
          <w:bCs w:val="1"/>
          <w:u w:val="single" w:color="auto"/>
          <w:color w:val="auto"/>
        </w:rPr>
        <w:t>Section 409A Limit.</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409A Limit” shall mean two (2) times the lesser of: (i) Executive’s annualized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separation from service occurred.</w:t>
      </w:r>
    </w:p>
    <w:p>
      <w:pPr>
        <w:spacing w:after="0" w:line="63" w:lineRule="exact"/>
        <w:rPr>
          <w:rFonts w:ascii="Arial" w:cs="Arial" w:eastAsia="Arial" w:hAnsi="Arial"/>
          <w:sz w:val="21"/>
          <w:szCs w:val="21"/>
          <w:color w:val="auto"/>
        </w:rPr>
      </w:pPr>
    </w:p>
    <w:p>
      <w:pPr>
        <w:ind w:left="305" w:hanging="305"/>
        <w:spacing w:after="0"/>
        <w:tabs>
          <w:tab w:leader="none" w:pos="305" w:val="left"/>
        </w:tabs>
        <w:numPr>
          <w:ilvl w:val="0"/>
          <w:numId w:val="60"/>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Golden Parachute.</w:t>
      </w:r>
    </w:p>
    <w:p>
      <w:pPr>
        <w:spacing w:after="0" w:line="108" w:lineRule="exact"/>
        <w:rPr>
          <w:rFonts w:ascii="Arial" w:cs="Arial" w:eastAsia="Arial" w:hAnsi="Arial"/>
          <w:sz w:val="21"/>
          <w:szCs w:val="21"/>
          <w:b w:val="1"/>
          <w:bCs w:val="1"/>
          <w:u w:val="single" w:color="auto"/>
          <w:color w:val="auto"/>
        </w:rPr>
      </w:pPr>
    </w:p>
    <w:p>
      <w:pPr>
        <w:jc w:val="both"/>
        <w:ind w:left="925" w:hanging="302"/>
        <w:spacing w:after="0" w:line="262" w:lineRule="auto"/>
        <w:tabs>
          <w:tab w:leader="none" w:pos="916" w:val="left"/>
        </w:tabs>
        <w:numPr>
          <w:ilvl w:val="1"/>
          <w:numId w:val="60"/>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if any payment or benefit Executive would receive from the Company or otherwise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0"/>
          <w:szCs w:val="20"/>
          <w:b w:val="1"/>
          <w:bCs w:val="1"/>
          <w:i w:val="1"/>
          <w:iCs w:val="1"/>
          <w:color w:val="auto"/>
        </w:rPr>
        <w:t>Excise Tax</w:t>
      </w:r>
      <w:r>
        <w:rPr>
          <w:rFonts w:ascii="Arial" w:cs="Arial" w:eastAsia="Arial" w:hAnsi="Arial"/>
          <w:sz w:val="20"/>
          <w:szCs w:val="20"/>
          <w:color w:val="auto"/>
        </w:rPr>
        <w:t>”), then such Payment shall be equal to the Reduced Amount. The “</w:t>
      </w:r>
      <w:r>
        <w:rPr>
          <w:rFonts w:ascii="Arial" w:cs="Arial" w:eastAsia="Arial" w:hAnsi="Arial"/>
          <w:sz w:val="20"/>
          <w:szCs w:val="20"/>
          <w:b w:val="1"/>
          <w:bCs w:val="1"/>
          <w:i w:val="1"/>
          <w:iCs w:val="1"/>
          <w:color w:val="auto"/>
        </w:rPr>
        <w:t>Reduced Amount</w:t>
      </w:r>
      <w:r>
        <w:rPr>
          <w:rFonts w:ascii="Arial" w:cs="Arial" w:eastAsia="Arial" w:hAnsi="Arial"/>
          <w:sz w:val="20"/>
          <w:szCs w:val="20"/>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9(a) shall be made in accordance with the following order of priority: (i) stock options whose exercise price exceeds the fair market value of the optioned stock (“</w:t>
      </w:r>
      <w:r>
        <w:rPr>
          <w:rFonts w:ascii="Arial" w:cs="Arial" w:eastAsia="Arial" w:hAnsi="Arial"/>
          <w:sz w:val="20"/>
          <w:szCs w:val="20"/>
          <w:b w:val="1"/>
          <w:bCs w:val="1"/>
          <w:i w:val="1"/>
          <w:iCs w:val="1"/>
          <w:color w:val="auto"/>
        </w:rPr>
        <w:t>Underwater Options</w:t>
      </w:r>
      <w:r>
        <w:rPr>
          <w:rFonts w:ascii="Arial" w:cs="Arial" w:eastAsia="Arial" w:hAnsi="Arial"/>
          <w:sz w:val="20"/>
          <w:szCs w:val="20"/>
          <w:color w:val="auto"/>
        </w:rPr>
        <w:t>”) (ii) Full Credit Payments (as defined below) that are payable in cash, (iii) 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pro-rata in the event payments or benefits are owed at the same time). “</w:t>
      </w:r>
      <w:r>
        <w:rPr>
          <w:rFonts w:ascii="Arial" w:cs="Arial" w:eastAsia="Arial" w:hAnsi="Arial"/>
          <w:sz w:val="20"/>
          <w:szCs w:val="20"/>
          <w:b w:val="1"/>
          <w:bCs w:val="1"/>
          <w:i w:val="1"/>
          <w:iCs w:val="1"/>
          <w:color w:val="auto"/>
        </w:rPr>
        <w:t>Full Credit Payment</w:t>
      </w:r>
      <w:r>
        <w:rPr>
          <w:rFonts w:ascii="Arial" w:cs="Arial" w:eastAsia="Arial" w:hAnsi="Arial"/>
          <w:sz w:val="20"/>
          <w:szCs w:val="20"/>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Arial" w:cs="Arial" w:eastAsia="Arial" w:hAnsi="Arial"/>
          <w:sz w:val="20"/>
          <w:szCs w:val="20"/>
          <w:b w:val="1"/>
          <w:bCs w:val="1"/>
          <w:i w:val="1"/>
          <w:iCs w:val="1"/>
          <w:color w:val="auto"/>
        </w:rPr>
        <w:t>Partial Credit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means any payment, distribution or benefit that is not a Full Credit Payment.</w:t>
      </w:r>
    </w:p>
    <w:p>
      <w:pPr>
        <w:sectPr>
          <w:pgSz w:w="11900" w:h="16838" w:orient="portrait"/>
          <w:cols w:equalWidth="0" w:num="1">
            <w:col w:w="10925"/>
          </w:cols>
          <w:pgMar w:left="635" w:top="1440" w:right="339" w:bottom="1440" w:gutter="0" w:footer="0" w:header="0"/>
        </w:sectPr>
      </w:pPr>
    </w:p>
    <w:bookmarkStart w:id="148" w:name="page149"/>
    <w:bookmarkEnd w:id="148"/>
    <w:p>
      <w:pPr>
        <w:spacing w:after="0" w:line="36" w:lineRule="exact"/>
        <w:rPr>
          <w:sz w:val="20"/>
          <w:szCs w:val="20"/>
          <w:color w:val="auto"/>
        </w:rPr>
      </w:pPr>
    </w:p>
    <w:p>
      <w:pPr>
        <w:jc w:val="both"/>
        <w:ind w:left="925" w:hanging="302"/>
        <w:spacing w:after="0" w:line="256" w:lineRule="auto"/>
        <w:tabs>
          <w:tab w:leader="none" w:pos="916" w:val="left"/>
        </w:tabs>
        <w:numPr>
          <w:ilvl w:val="1"/>
          <w:numId w:val="61"/>
        </w:numPr>
        <w:rPr>
          <w:rFonts w:ascii="Arial" w:cs="Arial" w:eastAsia="Arial" w:hAnsi="Arial"/>
          <w:sz w:val="21"/>
          <w:szCs w:val="21"/>
          <w:color w:val="auto"/>
        </w:rPr>
      </w:pPr>
      <w:r>
        <w:rPr>
          <w:rFonts w:ascii="Arial" w:cs="Arial" w:eastAsia="Arial" w:hAnsi="Arial"/>
          <w:sz w:val="21"/>
          <w:szCs w:val="21"/>
          <w:color w:val="auto"/>
        </w:rPr>
        <w:t>A nationally recognized certified public accounting Company selected by the Company (the “</w:t>
      </w:r>
      <w:r>
        <w:rPr>
          <w:rFonts w:ascii="Arial" w:cs="Arial" w:eastAsia="Arial" w:hAnsi="Arial"/>
          <w:sz w:val="21"/>
          <w:szCs w:val="21"/>
          <w:b w:val="1"/>
          <w:bCs w:val="1"/>
          <w:i w:val="1"/>
          <w:iCs w:val="1"/>
          <w:color w:val="auto"/>
        </w:rPr>
        <w:t>Accounting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perform the foregoing calculations related to the Excise Tax. If a reduction is required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pursuant to Section 9(a), the Accounting Company shall administer the ordering of the reduction as set forth in Section 9(a). The Company shall bear all expenses with respect to the determinations by such accounting Company required to be made hereunder.</w:t>
      </w:r>
    </w:p>
    <w:p>
      <w:pPr>
        <w:spacing w:after="0" w:line="61" w:lineRule="exact"/>
        <w:rPr>
          <w:rFonts w:ascii="Arial" w:cs="Arial" w:eastAsia="Arial" w:hAnsi="Arial"/>
          <w:sz w:val="21"/>
          <w:szCs w:val="21"/>
          <w:color w:val="auto"/>
        </w:rPr>
      </w:pPr>
    </w:p>
    <w:p>
      <w:pPr>
        <w:jc w:val="both"/>
        <w:ind w:left="925" w:hanging="302"/>
        <w:spacing w:after="0" w:line="256" w:lineRule="auto"/>
        <w:tabs>
          <w:tab w:leader="none" w:pos="917"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Accounting Company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Company made hereunder shall be final, binding, and conclusive upon Executive and the Company.</w:t>
      </w:r>
    </w:p>
    <w:p>
      <w:pPr>
        <w:spacing w:after="0" w:line="61" w:lineRule="exact"/>
        <w:rPr>
          <w:rFonts w:ascii="Arial" w:cs="Arial" w:eastAsia="Arial" w:hAnsi="Arial"/>
          <w:sz w:val="21"/>
          <w:szCs w:val="21"/>
          <w:color w:val="auto"/>
        </w:rPr>
      </w:pPr>
    </w:p>
    <w:p>
      <w:pPr>
        <w:jc w:val="both"/>
        <w:ind w:left="305" w:hanging="305"/>
        <w:spacing w:after="0" w:line="249" w:lineRule="auto"/>
        <w:tabs>
          <w:tab w:leader="none" w:pos="295" w:val="left"/>
        </w:tabs>
        <w:numPr>
          <w:ilvl w:val="0"/>
          <w:numId w:val="62"/>
        </w:numPr>
        <w:rPr>
          <w:rFonts w:ascii="Arial" w:cs="Arial" w:eastAsia="Arial" w:hAnsi="Arial"/>
          <w:sz w:val="21"/>
          <w:szCs w:val="21"/>
          <w:color w:val="auto"/>
        </w:rPr>
      </w:pPr>
      <w:r>
        <w:rPr>
          <w:rFonts w:ascii="Arial" w:cs="Arial" w:eastAsia="Arial" w:hAnsi="Arial"/>
          <w:sz w:val="21"/>
          <w:szCs w:val="21"/>
          <w:b w:val="1"/>
          <w:bCs w:val="1"/>
          <w:u w:val="single" w:color="auto"/>
          <w:color w:val="auto"/>
        </w:rPr>
        <w:t>Arbitration.</w:t>
      </w:r>
      <w:r>
        <w:rPr>
          <w:rFonts w:ascii="Arial" w:cs="Arial" w:eastAsia="Arial" w:hAnsi="Arial"/>
          <w:sz w:val="21"/>
          <w:szCs w:val="21"/>
          <w:b w:val="1"/>
          <w:bCs w:val="1"/>
          <w:color w:val="auto"/>
        </w:rPr>
        <w:t xml:space="preserve"> </w:t>
      </w:r>
      <w:r>
        <w:rPr>
          <w:rFonts w:ascii="Arial" w:cs="Arial" w:eastAsia="Arial" w:hAnsi="Arial"/>
          <w:sz w:val="21"/>
          <w:szCs w:val="21"/>
          <w:color w:val="auto"/>
        </w:rPr>
        <w:t>To the fullest extent permitted by applicable law, Executive and the Company agree that any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disputes, demands, claims, or controversies (“claims”) 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 and binding arbitration before a single arbitrator in the State of California (or another mutually agreeable location). This does not prevent either Executive or the Company from seeking and obtaining temporary or preliminary injunctive relief in court to prevent irreparable harm to Executive’s or its confidential information or trade secrets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 basis only, and not on a class, collective, or representative basis on behalf of other employees to the fullest extent permitted by applicable law (“Class Waiver”). Any claim that all or part of the Class Waiver is invalid, unenforceable, or unconscionable may be determined only by a court. In no case may class, collective or representative claims proceed in arbitration on behalf of other employees.</w:t>
      </w:r>
    </w:p>
    <w:p>
      <w:pPr>
        <w:spacing w:after="0" w:line="76" w:lineRule="exact"/>
        <w:rPr>
          <w:rFonts w:ascii="Arial" w:cs="Arial" w:eastAsia="Arial" w:hAnsi="Arial"/>
          <w:sz w:val="21"/>
          <w:szCs w:val="21"/>
          <w:color w:val="auto"/>
        </w:rPr>
      </w:pPr>
    </w:p>
    <w:p>
      <w:pPr>
        <w:jc w:val="both"/>
        <w:ind w:left="305"/>
        <w:spacing w:after="0" w:line="260" w:lineRule="auto"/>
        <w:rPr>
          <w:rFonts w:ascii="Arial" w:cs="Arial" w:eastAsia="Arial" w:hAnsi="Arial"/>
          <w:sz w:val="21"/>
          <w:szCs w:val="21"/>
          <w:color w:val="auto"/>
        </w:rPr>
      </w:pPr>
      <w:r>
        <w:rPr>
          <w:rFonts w:ascii="Arial" w:cs="Arial" w:eastAsia="Arial" w:hAnsi="Arial"/>
          <w:sz w:val="21"/>
          <w:szCs w:val="21"/>
          <w:color w:val="auto"/>
        </w:rPr>
        <w:t>The parties agree that the arbitration shall be conducted by a single neutral arbitrator through JAMS in accordance with JAMS Employment Arbitration Rules and Procedures (available at www.jamsadr.com/rules-employment-arbitration). Except as to the Class Waiver, the arbitrator shall determine arbitrability. The Company will bear all JAMS arbitration fees and administrative costs in excess of</w:t>
      </w:r>
    </w:p>
    <w:p>
      <w:pPr>
        <w:sectPr>
          <w:pgSz w:w="11900" w:h="16838" w:orient="portrait"/>
          <w:cols w:equalWidth="0" w:num="1">
            <w:col w:w="10925"/>
          </w:cols>
          <w:pgMar w:left="635" w:top="1440" w:right="339" w:bottom="1440" w:gutter="0" w:footer="0" w:header="0"/>
        </w:sectPr>
      </w:pPr>
    </w:p>
    <w:bookmarkStart w:id="149" w:name="page150"/>
    <w:bookmarkEnd w:id="149"/>
    <w:p>
      <w:pPr>
        <w:spacing w:after="0" w:line="36" w:lineRule="exact"/>
        <w:rPr>
          <w:sz w:val="20"/>
          <w:szCs w:val="20"/>
          <w:color w:val="auto"/>
        </w:rPr>
      </w:pPr>
    </w:p>
    <w:p>
      <w:pPr>
        <w:jc w:val="both"/>
        <w:ind w:left="305"/>
        <w:spacing w:after="0" w:line="251" w:lineRule="auto"/>
        <w:rPr>
          <w:sz w:val="20"/>
          <w:szCs w:val="20"/>
          <w:color w:val="auto"/>
        </w:rPr>
      </w:pPr>
      <w:r>
        <w:rPr>
          <w:rFonts w:ascii="Arial" w:cs="Arial" w:eastAsia="Arial" w:hAnsi="Arial"/>
          <w:sz w:val="21"/>
          <w:szCs w:val="21"/>
          <w:color w:val="auto"/>
        </w:rPr>
        <w:t>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this Agreement, Executive acknowledges and agrees that Executive has read this arbitration agreement carefully, are bound by it and are WAIVING ANY RIGHT TO HAVE A TRIAL BEFORE A COURT OR JURY OF ANY AND ALL CLAIMS SUBJECT TO ARBITRATION UNDER THIS ARBITRATION AGREEMENT.</w:t>
      </w:r>
    </w:p>
    <w:p>
      <w:pPr>
        <w:spacing w:after="0" w:line="70" w:lineRule="exact"/>
        <w:rPr>
          <w:sz w:val="20"/>
          <w:szCs w:val="20"/>
          <w:color w:val="auto"/>
        </w:rPr>
      </w:pPr>
    </w:p>
    <w:p>
      <w:pPr>
        <w:jc w:val="both"/>
        <w:ind w:left="305" w:hanging="305"/>
        <w:spacing w:after="0" w:line="262" w:lineRule="auto"/>
        <w:tabs>
          <w:tab w:leader="none" w:pos="279" w:val="left"/>
        </w:tabs>
        <w:numPr>
          <w:ilvl w:val="0"/>
          <w:numId w:val="63"/>
        </w:numPr>
        <w:rPr>
          <w:rFonts w:ascii="Arial" w:cs="Arial" w:eastAsia="Arial" w:hAnsi="Arial"/>
          <w:sz w:val="20"/>
          <w:szCs w:val="20"/>
          <w:color w:val="auto"/>
        </w:rPr>
      </w:pPr>
      <w:r>
        <w:rPr>
          <w:rFonts w:ascii="Arial" w:cs="Arial" w:eastAsia="Arial" w:hAnsi="Arial"/>
          <w:sz w:val="20"/>
          <w:szCs w:val="20"/>
          <w:b w:val="1"/>
          <w:bCs w:val="1"/>
          <w:u w:val="single" w:color="auto"/>
          <w:color w:val="auto"/>
        </w:rPr>
        <w:t>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Employee Covenants Agreement] entered into by and between Executive and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dated August 23, 2018 (the “</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remains in full force and effect, a copy of which is attached hereto as Attachment [B]. Nothing herein nor in the Confidentiality Agreement shall preclude Executive’s right to communicate, cooperate or file a complaint with any U.S. federal, state or local governmental or law enforcement branch, agency or entity (collectively, a “</w:t>
      </w:r>
      <w:r>
        <w:rPr>
          <w:rFonts w:ascii="Arial" w:cs="Arial" w:eastAsia="Arial" w:hAnsi="Arial"/>
          <w:sz w:val="20"/>
          <w:szCs w:val="20"/>
          <w:b w:val="1"/>
          <w:bCs w:val="1"/>
          <w:i w:val="1"/>
          <w:iCs w:val="1"/>
          <w:color w:val="auto"/>
        </w:rPr>
        <w:t>Governmental Entity</w:t>
      </w:r>
      <w:r>
        <w:rPr>
          <w:rFonts w:ascii="Arial" w:cs="Arial" w:eastAsia="Arial" w:hAnsi="Arial"/>
          <w:sz w:val="20"/>
          <w:szCs w:val="20"/>
          <w:color w:val="auto"/>
        </w:rPr>
        <w:t>”) with respect to possible violations of any U.S. federal, state or local law or regulation, or otherwise make disclosures to any Governmental Entity, in each case, that are protected under the whistleblower or similar provisions of any such law or regulation; provided, that, in each case such communications and disclosures are consistent with applicable law. Executive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Executive shall not be held criminally or civilly liable under any federal or state trade secret law for the disclosure of a trade secret that is made in a complaint or other document filed in a lawsuit or other proceeding, provided that such filing is made under seal. If Executive files a lawsuit for retaliation by the Company for reporting a suspected violation of law, Executive may disclose the trade secret to Executive’s attorney and use the trade secret information in any related court proceeding, provided that Executive files any document containing the trade secret under seal and does not disclose the trade secret except pursuant to court order.</w:t>
      </w:r>
    </w:p>
    <w:p>
      <w:pPr>
        <w:spacing w:after="0" w:line="318" w:lineRule="exact"/>
        <w:rPr>
          <w:rFonts w:ascii="Arial" w:cs="Arial" w:eastAsia="Arial" w:hAnsi="Arial"/>
          <w:sz w:val="20"/>
          <w:szCs w:val="20"/>
          <w:color w:val="auto"/>
        </w:rPr>
      </w:pPr>
    </w:p>
    <w:p>
      <w:pPr>
        <w:jc w:val="both"/>
        <w:ind w:left="305" w:hanging="305"/>
        <w:spacing w:after="0" w:line="261" w:lineRule="auto"/>
        <w:tabs>
          <w:tab w:leader="none" w:pos="295" w:val="left"/>
        </w:tabs>
        <w:numPr>
          <w:ilvl w:val="0"/>
          <w:numId w:val="63"/>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 to Work.</w:t>
      </w:r>
      <w:r>
        <w:rPr>
          <w:rFonts w:ascii="Arial" w:cs="Arial" w:eastAsia="Arial" w:hAnsi="Arial"/>
          <w:sz w:val="21"/>
          <w:szCs w:val="21"/>
          <w:b w:val="1"/>
          <w:bCs w:val="1"/>
          <w:color w:val="auto"/>
        </w:rPr>
        <w:t xml:space="preserve"> </w:t>
      </w:r>
      <w:r>
        <w:rPr>
          <w:rFonts w:ascii="Arial" w:cs="Arial" w:eastAsia="Arial" w:hAnsi="Arial"/>
          <w:sz w:val="21"/>
          <w:szCs w:val="21"/>
          <w:color w:val="auto"/>
        </w:rPr>
        <w:t>For purposes of federal immigration law, Executive will be required, to provide, if Executive has not</w:t>
      </w:r>
      <w:r>
        <w:rPr>
          <w:rFonts w:ascii="Arial" w:cs="Arial" w:eastAsia="Arial" w:hAnsi="Arial"/>
          <w:sz w:val="21"/>
          <w:szCs w:val="21"/>
          <w:b w:val="1"/>
          <w:bCs w:val="1"/>
          <w:color w:val="auto"/>
        </w:rPr>
        <w:t xml:space="preserve"> </w:t>
      </w:r>
      <w:r>
        <w:rPr>
          <w:rFonts w:ascii="Arial" w:cs="Arial" w:eastAsia="Arial" w:hAnsi="Arial"/>
          <w:sz w:val="21"/>
          <w:szCs w:val="21"/>
          <w:color w:val="auto"/>
        </w:rPr>
        <w:t>already provided, to the Company documentary evidence of Executive’s identity and eligibility for employment in the United States. Such documentation must be provided to the Company upon</w:t>
      </w:r>
    </w:p>
    <w:p>
      <w:pPr>
        <w:sectPr>
          <w:pgSz w:w="11900" w:h="16838" w:orient="portrait"/>
          <w:cols w:equalWidth="0" w:num="1">
            <w:col w:w="10925"/>
          </w:cols>
          <w:pgMar w:left="635" w:top="1440" w:right="339" w:bottom="1440" w:gutter="0" w:footer="0" w:header="0"/>
        </w:sectPr>
      </w:pPr>
    </w:p>
    <w:bookmarkStart w:id="150" w:name="page151"/>
    <w:bookmarkEnd w:id="150"/>
    <w:p>
      <w:pPr>
        <w:spacing w:after="0" w:line="37" w:lineRule="exact"/>
        <w:rPr>
          <w:sz w:val="20"/>
          <w:szCs w:val="20"/>
          <w:color w:val="auto"/>
        </w:rPr>
      </w:pPr>
    </w:p>
    <w:p>
      <w:pPr>
        <w:ind w:left="305"/>
        <w:spacing w:after="0"/>
        <w:rPr>
          <w:sz w:val="20"/>
          <w:szCs w:val="20"/>
          <w:color w:val="auto"/>
        </w:rPr>
      </w:pPr>
      <w:r>
        <w:rPr>
          <w:rFonts w:ascii="Arial" w:cs="Arial" w:eastAsia="Arial" w:hAnsi="Arial"/>
          <w:sz w:val="21"/>
          <w:szCs w:val="21"/>
          <w:color w:val="auto"/>
        </w:rPr>
        <w:t>request of the Company, or the Employment relationship with Executive may be terminated.</w:t>
      </w:r>
    </w:p>
    <w:p>
      <w:pPr>
        <w:spacing w:after="0" w:line="109" w:lineRule="exact"/>
        <w:rPr>
          <w:sz w:val="20"/>
          <w:szCs w:val="20"/>
          <w:color w:val="auto"/>
        </w:rPr>
      </w:pPr>
    </w:p>
    <w:p>
      <w:pPr>
        <w:ind w:left="365" w:hanging="365"/>
        <w:spacing w:after="0"/>
        <w:tabs>
          <w:tab w:leader="none" w:pos="365"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w:t>
      </w:r>
    </w:p>
    <w:p>
      <w:pPr>
        <w:spacing w:after="0" w:line="108" w:lineRule="exact"/>
        <w:rPr>
          <w:rFonts w:ascii="Arial" w:cs="Arial" w:eastAsia="Arial" w:hAnsi="Arial"/>
          <w:sz w:val="21"/>
          <w:szCs w:val="21"/>
          <w:color w:val="auto"/>
        </w:rPr>
      </w:pPr>
    </w:p>
    <w:p>
      <w:pPr>
        <w:jc w:val="both"/>
        <w:ind w:left="925" w:hanging="302"/>
        <w:spacing w:after="0" w:line="256" w:lineRule="auto"/>
        <w:tabs>
          <w:tab w:leader="none" w:pos="916" w:val="left"/>
        </w:tabs>
        <w:numPr>
          <w:ilvl w:val="1"/>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Company’s Successors.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binding upon any successor (whether direct or indirect</w:t>
      </w:r>
      <w:r>
        <w:rPr>
          <w:rFonts w:ascii="Arial" w:cs="Arial" w:eastAsia="Arial" w:hAnsi="Arial"/>
          <w:sz w:val="21"/>
          <w:szCs w:val="21"/>
          <w:b w:val="1"/>
          <w:bCs w:val="1"/>
          <w:color w:val="auto"/>
        </w:rPr>
        <w:t xml:space="preserve"> </w:t>
      </w:r>
      <w:r>
        <w:rPr>
          <w:rFonts w:ascii="Arial" w:cs="Arial" w:eastAsia="Arial" w:hAnsi="Arial"/>
          <w:sz w:val="21"/>
          <w:szCs w:val="21"/>
          <w:color w:val="auto"/>
        </w:rPr>
        <w:t>and whether by purchase, lease, merger, consolidation, liquidation or otherwise) to all or substantially all of the Company’s business and/or assets. For all purposes under this Agreement, the term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shall include any successor to the Company’s business or assets that become bound by this Agreement or any affiliate of any such successor that employs Executive.</w:t>
      </w:r>
    </w:p>
    <w:p>
      <w:pPr>
        <w:spacing w:after="0" w:line="61" w:lineRule="exact"/>
        <w:rPr>
          <w:rFonts w:ascii="Arial" w:cs="Arial" w:eastAsia="Arial" w:hAnsi="Arial"/>
          <w:sz w:val="21"/>
          <w:szCs w:val="21"/>
          <w:color w:val="auto"/>
        </w:rPr>
      </w:pPr>
    </w:p>
    <w:p>
      <w:pPr>
        <w:jc w:val="both"/>
        <w:ind w:left="925" w:hanging="302"/>
        <w:spacing w:after="0" w:line="267" w:lineRule="auto"/>
        <w:tabs>
          <w:tab w:leader="none" w:pos="916" w:val="left"/>
        </w:tabs>
        <w:numPr>
          <w:ilvl w:val="1"/>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Executive’s Successors.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all of Executive’s rights hereunder shall inure to the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of, and be enforceable by, Executive’s personal or legal representatives, executors, administrators, successors, heirs, distributees, devisees and legatees.</w:t>
      </w:r>
    </w:p>
    <w:p>
      <w:pPr>
        <w:spacing w:after="0" w:line="50" w:lineRule="exact"/>
        <w:rPr>
          <w:rFonts w:ascii="Arial" w:cs="Arial" w:eastAsia="Arial" w:hAnsi="Arial"/>
          <w:sz w:val="21"/>
          <w:szCs w:val="21"/>
          <w:color w:val="auto"/>
        </w:rPr>
      </w:pPr>
    </w:p>
    <w:p>
      <w:pPr>
        <w:jc w:val="both"/>
        <w:ind w:left="305" w:hanging="305"/>
        <w:spacing w:after="0" w:line="258" w:lineRule="auto"/>
        <w:tabs>
          <w:tab w:leader="none" w:pos="295" w:val="left"/>
        </w:tabs>
        <w:numPr>
          <w:ilvl w:val="0"/>
          <w:numId w:val="64"/>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 Prior to Resignation without Good Reason.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agrees that it is reasonable and necessary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to protect its confidential and proprietary information and to ensure a smooth transition in the event that Executive’s employment is terminated. Thus, Executive agrees that, in the event Executive resigns from employment with the Company without Good Reason, Executive will provide thirty (30) days advance written notice of Executive’s resignation to Executive’s immediate manager (the “</w:t>
      </w:r>
      <w:r>
        <w:rPr>
          <w:rFonts w:ascii="Arial" w:cs="Arial" w:eastAsia="Arial" w:hAnsi="Arial"/>
          <w:sz w:val="21"/>
          <w:szCs w:val="21"/>
          <w:b w:val="1"/>
          <w:bCs w:val="1"/>
          <w:i w:val="1"/>
          <w:iCs w:val="1"/>
          <w:color w:val="auto"/>
        </w:rPr>
        <w:t>Notice Period</w:t>
      </w:r>
      <w:r>
        <w:rPr>
          <w:rFonts w:ascii="Arial" w:cs="Arial" w:eastAsia="Arial" w:hAnsi="Arial"/>
          <w:sz w:val="21"/>
          <w:szCs w:val="21"/>
          <w:color w:val="auto"/>
        </w:rPr>
        <w:t>”).</w:t>
      </w:r>
    </w:p>
    <w:p>
      <w:pPr>
        <w:spacing w:after="0" w:line="51" w:lineRule="exact"/>
        <w:rPr>
          <w:rFonts w:ascii="Arial" w:cs="Arial" w:eastAsia="Arial" w:hAnsi="Arial"/>
          <w:sz w:val="21"/>
          <w:szCs w:val="21"/>
          <w:color w:val="auto"/>
        </w:rPr>
      </w:pPr>
    </w:p>
    <w:p>
      <w:pPr>
        <w:jc w:val="both"/>
        <w:ind w:left="925" w:hanging="302"/>
        <w:spacing w:after="0" w:line="252" w:lineRule="auto"/>
        <w:tabs>
          <w:tab w:leader="none" w:pos="916" w:val="left"/>
        </w:tabs>
        <w:numPr>
          <w:ilvl w:val="1"/>
          <w:numId w:val="64"/>
        </w:numPr>
        <w:rPr>
          <w:rFonts w:ascii="Arial" w:cs="Arial" w:eastAsia="Arial" w:hAnsi="Arial"/>
          <w:sz w:val="21"/>
          <w:szCs w:val="21"/>
          <w:color w:val="auto"/>
        </w:rPr>
      </w:pPr>
      <w:r>
        <w:rPr>
          <w:rFonts w:ascii="Arial" w:cs="Arial" w:eastAsia="Arial" w:hAnsi="Arial"/>
          <w:sz w:val="21"/>
          <w:szCs w:val="21"/>
          <w:color w:val="auto"/>
        </w:rPr>
        <w:t>Subject to the terms of this Agreement, during the Notice Period, Executive (i) will remain an Executive of the Company; (ii) will undertake all such duties and responsibilities as may reasonably be assigned by the Company including, but not limited to, assisting the Company with the transition of Executive’s duties with the Company and maintaining the Company’s business, business relationships and goodwill; (iii) will comply with all Company policies, this Agreement, and any other agreement with the Company concerning Executive’s employment; and (iv) will not work, consult or provide services on a full or part time basis for another person, Company, entity or corporation on a paid or unpaid basis.</w:t>
      </w:r>
    </w:p>
    <w:p>
      <w:pPr>
        <w:spacing w:after="0" w:line="68" w:lineRule="exact"/>
        <w:rPr>
          <w:rFonts w:ascii="Arial" w:cs="Arial" w:eastAsia="Arial" w:hAnsi="Arial"/>
          <w:sz w:val="21"/>
          <w:szCs w:val="21"/>
          <w:color w:val="auto"/>
        </w:rPr>
      </w:pPr>
    </w:p>
    <w:p>
      <w:pPr>
        <w:jc w:val="both"/>
        <w:ind w:left="925" w:hanging="302"/>
        <w:spacing w:after="0" w:line="252" w:lineRule="auto"/>
        <w:tabs>
          <w:tab w:leader="none" w:pos="916" w:val="left"/>
        </w:tabs>
        <w:numPr>
          <w:ilvl w:val="1"/>
          <w:numId w:val="64"/>
        </w:numPr>
        <w:rPr>
          <w:rFonts w:ascii="Arial" w:cs="Arial" w:eastAsia="Arial" w:hAnsi="Arial"/>
          <w:sz w:val="21"/>
          <w:szCs w:val="21"/>
          <w:color w:val="auto"/>
        </w:rPr>
      </w:pPr>
      <w:r>
        <w:rPr>
          <w:rFonts w:ascii="Arial" w:cs="Arial" w:eastAsia="Arial" w:hAnsi="Arial"/>
          <w:sz w:val="21"/>
          <w:szCs w:val="21"/>
          <w:color w:val="auto"/>
        </w:rPr>
        <w:t>Provided Executive remains employed during the Notice Period, Executive will (i) continue to receive Executive’s base salary; and (ii) remain eligible to participate in the Company’s benefit plans and programs in which Executive is participating at the time of Executive’s resignation, subject to the terms of those plans and programs. However, after Executive has provided notice, Executive will no longer be eligible to receive any commission, bonus, or other discretionary incentive payments or awards, even if the Notice Period includes the date on which a commission, bonus, or other discretionary incentive payment or award would have been paid to Executive had Executive not provided notice.</w:t>
      </w:r>
    </w:p>
    <w:p>
      <w:pPr>
        <w:sectPr>
          <w:pgSz w:w="11900" w:h="16838" w:orient="portrait"/>
          <w:cols w:equalWidth="0" w:num="1">
            <w:col w:w="10925"/>
          </w:cols>
          <w:pgMar w:left="635" w:top="1440" w:right="339" w:bottom="1440" w:gutter="0" w:footer="0" w:header="0"/>
        </w:sectPr>
      </w:pPr>
    </w:p>
    <w:bookmarkStart w:id="151" w:name="page152"/>
    <w:bookmarkEnd w:id="151"/>
    <w:p>
      <w:pPr>
        <w:spacing w:after="0" w:line="37" w:lineRule="exact"/>
        <w:rPr>
          <w:sz w:val="20"/>
          <w:szCs w:val="20"/>
          <w:color w:val="auto"/>
        </w:rPr>
      </w:pPr>
    </w:p>
    <w:p>
      <w:pPr>
        <w:jc w:val="both"/>
        <w:ind w:left="925" w:hanging="302"/>
        <w:spacing w:after="0" w:line="254" w:lineRule="auto"/>
        <w:tabs>
          <w:tab w:leader="none" w:pos="917" w:val="left"/>
        </w:tabs>
        <w:numPr>
          <w:ilvl w:val="0"/>
          <w:numId w:val="65"/>
        </w:numPr>
        <w:rPr>
          <w:rFonts w:ascii="Arial" w:cs="Arial" w:eastAsia="Arial" w:hAnsi="Arial"/>
          <w:sz w:val="21"/>
          <w:szCs w:val="21"/>
          <w:color w:val="auto"/>
        </w:rPr>
      </w:pPr>
      <w:r>
        <w:rPr>
          <w:rFonts w:ascii="Arial" w:cs="Arial" w:eastAsia="Arial" w:hAnsi="Arial"/>
          <w:sz w:val="21"/>
          <w:szCs w:val="21"/>
          <w:color w:val="auto"/>
        </w:rPr>
        <w:t>Executive agrees that the Company, in its sole discretion, may reduce the Notice Period by accelerating the termination of Executive’s employment to an earlier date that the Company selects, and the payment of all compensation and benefits shall cease as of such earlier termination date. Executive further agrees that, during the Notice Period, the Company may elect, in its sole discretion, to: (i) withdraw any powers vested in, or duties assigned to, the Executive; (ii) discontinue or limit the Executive’s access to information or the Company’s systems; and (iii) prohibit the Executive from further entry to its premises.</w:t>
      </w:r>
    </w:p>
    <w:p>
      <w:pPr>
        <w:spacing w:after="0" w:line="63" w:lineRule="exact"/>
        <w:rPr>
          <w:sz w:val="20"/>
          <w:szCs w:val="20"/>
          <w:color w:val="auto"/>
        </w:rPr>
      </w:pPr>
    </w:p>
    <w:p>
      <w:pPr>
        <w:jc w:val="both"/>
        <w:ind w:left="305"/>
        <w:spacing w:after="0" w:line="267" w:lineRule="auto"/>
        <w:rPr>
          <w:sz w:val="20"/>
          <w:szCs w:val="20"/>
          <w:color w:val="auto"/>
        </w:rPr>
      </w:pPr>
      <w:r>
        <w:rPr>
          <w:rFonts w:ascii="Arial" w:cs="Arial" w:eastAsia="Arial" w:hAnsi="Arial"/>
          <w:sz w:val="21"/>
          <w:szCs w:val="21"/>
          <w:color w:val="auto"/>
        </w:rPr>
        <w:t>Executive agrees that this Paragraph does not confer any guarantee with respect to the continuation of Executive’s employment with the Company nor in any way limits the Company’s right to terminate Executive’s employment at-will</w:t>
      </w:r>
    </w:p>
    <w:p>
      <w:pPr>
        <w:spacing w:after="0" w:line="51" w:lineRule="exact"/>
        <w:rPr>
          <w:sz w:val="20"/>
          <w:szCs w:val="20"/>
          <w:color w:val="auto"/>
        </w:rPr>
      </w:pPr>
    </w:p>
    <w:p>
      <w:pPr>
        <w:jc w:val="both"/>
        <w:ind w:left="305" w:hanging="305"/>
        <w:spacing w:after="0" w:line="255" w:lineRule="auto"/>
        <w:tabs>
          <w:tab w:leader="none" w:pos="295" w:val="left"/>
        </w:tabs>
        <w:numPr>
          <w:ilvl w:val="0"/>
          <w:numId w:val="66"/>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Limitations on Publicity.</w:t>
      </w:r>
      <w:r>
        <w:rPr>
          <w:rFonts w:ascii="Arial" w:cs="Arial" w:eastAsia="Arial" w:hAnsi="Arial"/>
          <w:sz w:val="21"/>
          <w:szCs w:val="21"/>
          <w:b w:val="1"/>
          <w:bCs w:val="1"/>
          <w:color w:val="auto"/>
        </w:rPr>
        <w:t xml:space="preserve"> </w:t>
      </w:r>
      <w:r>
        <w:rPr>
          <w:rFonts w:ascii="Arial" w:cs="Arial" w:eastAsia="Arial" w:hAnsi="Arial"/>
          <w:sz w:val="21"/>
          <w:szCs w:val="21"/>
          <w:color w:val="auto"/>
        </w:rPr>
        <w:t>Except for actions in the course of employment for the benefit of the Company or as may</w:t>
      </w:r>
      <w:r>
        <w:rPr>
          <w:rFonts w:ascii="Arial" w:cs="Arial" w:eastAsia="Arial" w:hAnsi="Arial"/>
          <w:sz w:val="21"/>
          <w:szCs w:val="21"/>
          <w:b w:val="1"/>
          <w:bCs w:val="1"/>
          <w:color w:val="auto"/>
        </w:rPr>
        <w:t xml:space="preserve"> </w:t>
      </w:r>
      <w:r>
        <w:rPr>
          <w:rFonts w:ascii="Arial" w:cs="Arial" w:eastAsia="Arial" w:hAnsi="Arial"/>
          <w:sz w:val="21"/>
          <w:szCs w:val="21"/>
          <w:color w:val="auto"/>
        </w:rPr>
        <w:t>be authorized by the Company in writing, Executive will not be involved in the preparation of any book, article, story, video or film about the Company, its business or activities, and Executive will not give interviews about those subjects.</w:t>
      </w:r>
    </w:p>
    <w:p>
      <w:pPr>
        <w:spacing w:after="0" w:line="63" w:lineRule="exact"/>
        <w:rPr>
          <w:rFonts w:ascii="Arial" w:cs="Arial" w:eastAsia="Arial" w:hAnsi="Arial"/>
          <w:sz w:val="21"/>
          <w:szCs w:val="21"/>
          <w:color w:val="auto"/>
        </w:rPr>
      </w:pPr>
    </w:p>
    <w:p>
      <w:pPr>
        <w:ind w:left="305" w:hanging="305"/>
        <w:spacing w:after="0"/>
        <w:tabs>
          <w:tab w:leader="none" w:pos="305" w:val="left"/>
        </w:tabs>
        <w:numPr>
          <w:ilvl w:val="0"/>
          <w:numId w:val="66"/>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Miscellaneous Provisions.</w:t>
      </w:r>
    </w:p>
    <w:p>
      <w:pPr>
        <w:spacing w:after="0" w:line="121" w:lineRule="exact"/>
        <w:rPr>
          <w:rFonts w:ascii="Arial" w:cs="Arial" w:eastAsia="Arial" w:hAnsi="Arial"/>
          <w:sz w:val="21"/>
          <w:szCs w:val="21"/>
          <w:b w:val="1"/>
          <w:bCs w:val="1"/>
          <w:u w:val="single" w:color="auto"/>
          <w:color w:val="auto"/>
        </w:rPr>
      </w:pPr>
    </w:p>
    <w:p>
      <w:pPr>
        <w:jc w:val="both"/>
        <w:ind w:left="925" w:hanging="302"/>
        <w:spacing w:after="0" w:line="255" w:lineRule="auto"/>
        <w:tabs>
          <w:tab w:leader="none" w:pos="916" w:val="left"/>
        </w:tabs>
        <w:numPr>
          <w:ilvl w:val="1"/>
          <w:numId w:val="66"/>
        </w:numPr>
        <w:rPr>
          <w:rFonts w:ascii="Arial" w:cs="Arial" w:eastAsia="Arial" w:hAnsi="Arial"/>
          <w:sz w:val="21"/>
          <w:szCs w:val="21"/>
          <w:color w:val="auto"/>
        </w:rPr>
      </w:pPr>
      <w:r>
        <w:rPr>
          <w:rFonts w:ascii="Arial" w:cs="Arial" w:eastAsia="Arial" w:hAnsi="Arial"/>
          <w:sz w:val="21"/>
          <w:szCs w:val="21"/>
          <w:b w:val="1"/>
          <w:bCs w:val="1"/>
          <w:u w:val="single" w:color="auto"/>
          <w:color w:val="auto"/>
        </w:rPr>
        <w:t>Indemnification.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shall indemnify Executive to the maximum extent permitted by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law and the Company’s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63" w:lineRule="exact"/>
        <w:rPr>
          <w:rFonts w:ascii="Arial" w:cs="Arial" w:eastAsia="Arial" w:hAnsi="Arial"/>
          <w:sz w:val="21"/>
          <w:szCs w:val="21"/>
          <w:color w:val="auto"/>
        </w:rPr>
      </w:pPr>
    </w:p>
    <w:p>
      <w:pPr>
        <w:ind w:left="925" w:hanging="302"/>
        <w:spacing w:after="0" w:line="290" w:lineRule="auto"/>
        <w:tabs>
          <w:tab w:leader="none" w:pos="916" w:val="left"/>
        </w:tabs>
        <w:numPr>
          <w:ilvl w:val="1"/>
          <w:numId w:val="66"/>
        </w:numPr>
        <w:rPr>
          <w:rFonts w:ascii="Arial" w:cs="Arial" w:eastAsia="Arial" w:hAnsi="Arial"/>
          <w:sz w:val="21"/>
          <w:szCs w:val="21"/>
          <w:color w:val="auto"/>
        </w:rPr>
      </w:pPr>
      <w:r>
        <w:rPr>
          <w:rFonts w:ascii="Arial" w:cs="Arial" w:eastAsia="Arial" w:hAnsi="Arial"/>
          <w:sz w:val="21"/>
          <w:szCs w:val="21"/>
          <w:b w:val="1"/>
          <w:bCs w:val="1"/>
          <w:u w:val="single" w:color="auto"/>
          <w:color w:val="auto"/>
        </w:rPr>
        <w:t>Headings.</w:t>
      </w:r>
      <w:r>
        <w:rPr>
          <w:rFonts w:ascii="Arial" w:cs="Arial" w:eastAsia="Arial" w:hAnsi="Arial"/>
          <w:sz w:val="21"/>
          <w:szCs w:val="21"/>
          <w:b w:val="1"/>
          <w:bCs w:val="1"/>
          <w:color w:val="auto"/>
        </w:rPr>
        <w:t xml:space="preserve"> </w:t>
      </w:r>
      <w:r>
        <w:rPr>
          <w:rFonts w:ascii="Arial" w:cs="Arial" w:eastAsia="Arial" w:hAnsi="Arial"/>
          <w:sz w:val="21"/>
          <w:szCs w:val="21"/>
          <w:color w:val="auto"/>
        </w:rPr>
        <w:t>All captions and section headings used in this Agreement are for convenient reference only and</w:t>
      </w:r>
      <w:r>
        <w:rPr>
          <w:rFonts w:ascii="Arial" w:cs="Arial" w:eastAsia="Arial" w:hAnsi="Arial"/>
          <w:sz w:val="21"/>
          <w:szCs w:val="21"/>
          <w:b w:val="1"/>
          <w:bCs w:val="1"/>
          <w:color w:val="auto"/>
        </w:rPr>
        <w:t xml:space="preserve"> </w:t>
      </w:r>
      <w:r>
        <w:rPr>
          <w:rFonts w:ascii="Arial" w:cs="Arial" w:eastAsia="Arial" w:hAnsi="Arial"/>
          <w:sz w:val="21"/>
          <w:szCs w:val="21"/>
          <w:color w:val="auto"/>
        </w:rPr>
        <w:t>do not form a part of this Agreement.</w:t>
      </w:r>
    </w:p>
    <w:p>
      <w:pPr>
        <w:spacing w:after="0" w:line="26" w:lineRule="exact"/>
        <w:rPr>
          <w:rFonts w:ascii="Arial" w:cs="Arial" w:eastAsia="Arial" w:hAnsi="Arial"/>
          <w:sz w:val="21"/>
          <w:szCs w:val="21"/>
          <w:color w:val="auto"/>
        </w:rPr>
      </w:pPr>
    </w:p>
    <w:p>
      <w:pPr>
        <w:ind w:left="925" w:hanging="302"/>
        <w:spacing w:after="0"/>
        <w:tabs>
          <w:tab w:leader="none" w:pos="925" w:val="left"/>
        </w:tabs>
        <w:numPr>
          <w:ilvl w:val="1"/>
          <w:numId w:val="66"/>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Notice.</w:t>
      </w:r>
    </w:p>
    <w:p>
      <w:pPr>
        <w:spacing w:after="0" w:line="108" w:lineRule="exact"/>
        <w:rPr>
          <w:rFonts w:ascii="Arial" w:cs="Arial" w:eastAsia="Arial" w:hAnsi="Arial"/>
          <w:sz w:val="21"/>
          <w:szCs w:val="21"/>
          <w:b w:val="1"/>
          <w:bCs w:val="1"/>
          <w:u w:val="single" w:color="auto"/>
          <w:color w:val="auto"/>
        </w:rPr>
      </w:pPr>
    </w:p>
    <w:p>
      <w:pPr>
        <w:jc w:val="both"/>
        <w:ind w:left="1565" w:hanging="422"/>
        <w:spacing w:after="0" w:line="252" w:lineRule="auto"/>
        <w:tabs>
          <w:tab w:leader="none" w:pos="1565" w:val="left"/>
        </w:tabs>
        <w:numPr>
          <w:ilvl w:val="2"/>
          <w:numId w:val="66"/>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Secretary.</w:t>
      </w:r>
    </w:p>
    <w:p>
      <w:pPr>
        <w:spacing w:after="0" w:line="68" w:lineRule="exact"/>
        <w:rPr>
          <w:rFonts w:ascii="Arial" w:cs="Arial" w:eastAsia="Arial" w:hAnsi="Arial"/>
          <w:sz w:val="21"/>
          <w:szCs w:val="21"/>
          <w:color w:val="auto"/>
        </w:rPr>
      </w:pPr>
    </w:p>
    <w:p>
      <w:pPr>
        <w:jc w:val="both"/>
        <w:ind w:left="1565" w:hanging="468"/>
        <w:spacing w:after="0" w:line="267" w:lineRule="auto"/>
        <w:tabs>
          <w:tab w:leader="none" w:pos="1565" w:val="left"/>
        </w:tabs>
        <w:numPr>
          <w:ilvl w:val="2"/>
          <w:numId w:val="66"/>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xml:space="preserve"> Any termination by the Company for Cause or by Executive for Good Reason will be communicated by a notice of termination to the other party hereto given in accordance with Section 16(c)(i) of this Agreement. Such notice will indicate the</w:t>
      </w:r>
    </w:p>
    <w:p>
      <w:pPr>
        <w:sectPr>
          <w:pgSz w:w="11900" w:h="16838" w:orient="portrait"/>
          <w:cols w:equalWidth="0" w:num="1">
            <w:col w:w="10925"/>
          </w:cols>
          <w:pgMar w:left="635" w:top="1440" w:right="339" w:bottom="1440" w:gutter="0" w:footer="0" w:header="0"/>
        </w:sectPr>
      </w:pPr>
    </w:p>
    <w:bookmarkStart w:id="152" w:name="page153"/>
    <w:bookmarkEnd w:id="152"/>
    <w:p>
      <w:pPr>
        <w:spacing w:after="0" w:line="37" w:lineRule="exact"/>
        <w:rPr>
          <w:sz w:val="20"/>
          <w:szCs w:val="20"/>
          <w:color w:val="auto"/>
        </w:rPr>
      </w:pPr>
    </w:p>
    <w:p>
      <w:pPr>
        <w:jc w:val="both"/>
        <w:ind w:left="942"/>
        <w:spacing w:after="0" w:line="266" w:lineRule="auto"/>
        <w:rPr>
          <w:sz w:val="20"/>
          <w:szCs w:val="20"/>
          <w:color w:val="auto"/>
        </w:rPr>
      </w:pPr>
      <w:r>
        <w:rPr>
          <w:rFonts w:ascii="Arial" w:cs="Arial" w:eastAsia="Arial" w:hAnsi="Arial"/>
          <w:sz w:val="20"/>
          <w:szCs w:val="20"/>
          <w:color w:val="auto"/>
        </w:rPr>
        <w:t>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subject to any applicable cure period.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 Any termination by Executive without Good Reason will be communicated by Executive to the Company upon thirty (30) days advance written notice.</w:t>
      </w:r>
    </w:p>
    <w:p>
      <w:pPr>
        <w:spacing w:after="0" w:line="55" w:lineRule="exact"/>
        <w:rPr>
          <w:sz w:val="20"/>
          <w:szCs w:val="20"/>
          <w:color w:val="auto"/>
        </w:rPr>
      </w:pPr>
    </w:p>
    <w:p>
      <w:pPr>
        <w:jc w:val="both"/>
        <w:ind w:left="302" w:hanging="302"/>
        <w:spacing w:after="0" w:line="253" w:lineRule="auto"/>
        <w:tabs>
          <w:tab w:leader="none" w:pos="293"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Modifications and Waivers.</w:t>
      </w:r>
      <w:r>
        <w:rPr>
          <w:rFonts w:ascii="Arial" w:cs="Arial" w:eastAsia="Arial" w:hAnsi="Arial"/>
          <w:sz w:val="21"/>
          <w:szCs w:val="21"/>
          <w:b w:val="1"/>
          <w:bCs w:val="1"/>
          <w:color w:val="auto"/>
        </w:rPr>
        <w:t xml:space="preserve"> </w:t>
      </w:r>
      <w:r>
        <w:rPr>
          <w:rFonts w:ascii="Arial" w:cs="Arial" w:eastAsia="Arial" w:hAnsi="Arial"/>
          <w:sz w:val="21"/>
          <w:szCs w:val="21"/>
          <w:color w:val="auto"/>
        </w:rPr>
        <w:t>No provision of this Agreement shall be modified, waived or discharged unless</w:t>
      </w:r>
      <w:r>
        <w:rPr>
          <w:rFonts w:ascii="Arial" w:cs="Arial" w:eastAsia="Arial" w:hAnsi="Arial"/>
          <w:sz w:val="21"/>
          <w:szCs w:val="21"/>
          <w:b w:val="1"/>
          <w:bCs w:val="1"/>
          <w:color w:val="auto"/>
        </w:rPr>
        <w:t xml:space="preserve"> </w:t>
      </w:r>
      <w:r>
        <w:rPr>
          <w:rFonts w:ascii="Arial" w:cs="Arial" w:eastAsia="Arial" w:hAnsi="Arial"/>
          <w:sz w:val="21"/>
          <w:szCs w:val="21"/>
          <w:color w:val="auto"/>
        </w:rPr>
        <w:t>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77" w:lineRule="exact"/>
        <w:rPr>
          <w:rFonts w:ascii="Arial" w:cs="Arial" w:eastAsia="Arial" w:hAnsi="Arial"/>
          <w:sz w:val="21"/>
          <w:szCs w:val="21"/>
          <w:color w:val="auto"/>
        </w:rPr>
      </w:pPr>
    </w:p>
    <w:p>
      <w:pPr>
        <w:jc w:val="both"/>
        <w:ind w:left="302" w:hanging="302"/>
        <w:spacing w:after="0" w:line="255" w:lineRule="auto"/>
        <w:tabs>
          <w:tab w:leader="none" w:pos="293"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the Confidentiality Agreement contain the entire understanding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with respect to the subject matter hereof and supersede all other prior or contemporaneous discussions, understandings and agreements, whether oral or written, between them relating to the subject matter hereof.</w:t>
      </w:r>
    </w:p>
    <w:p>
      <w:pPr>
        <w:spacing w:after="0" w:line="63" w:lineRule="exact"/>
        <w:rPr>
          <w:rFonts w:ascii="Arial" w:cs="Arial" w:eastAsia="Arial" w:hAnsi="Arial"/>
          <w:sz w:val="21"/>
          <w:szCs w:val="21"/>
          <w:color w:val="auto"/>
        </w:rPr>
      </w:pPr>
    </w:p>
    <w:p>
      <w:pPr>
        <w:ind w:left="302" w:hanging="302"/>
        <w:spacing w:after="0" w:line="290" w:lineRule="auto"/>
        <w:tabs>
          <w:tab w:leader="none" w:pos="300"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 Taxes.</w:t>
      </w:r>
      <w:r>
        <w:rPr>
          <w:rFonts w:ascii="Arial" w:cs="Arial" w:eastAsia="Arial" w:hAnsi="Arial"/>
          <w:sz w:val="21"/>
          <w:szCs w:val="21"/>
          <w:b w:val="1"/>
          <w:bCs w:val="1"/>
          <w:color w:val="auto"/>
        </w:rPr>
        <w:t xml:space="preserve"> </w:t>
      </w:r>
      <w:r>
        <w:rPr>
          <w:rFonts w:ascii="Arial" w:cs="Arial" w:eastAsia="Arial" w:hAnsi="Arial"/>
          <w:sz w:val="21"/>
          <w:szCs w:val="21"/>
          <w:color w:val="auto"/>
        </w:rPr>
        <w:t>All payments made under this Agreement shall be subject to reduction to reflect taxes</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 deductions required to be withheld by law.</w:t>
      </w:r>
    </w:p>
    <w:p>
      <w:pPr>
        <w:spacing w:after="0" w:line="26" w:lineRule="exact"/>
        <w:rPr>
          <w:rFonts w:ascii="Arial" w:cs="Arial" w:eastAsia="Arial" w:hAnsi="Arial"/>
          <w:sz w:val="21"/>
          <w:szCs w:val="21"/>
          <w:color w:val="auto"/>
        </w:rPr>
      </w:pPr>
    </w:p>
    <w:p>
      <w:pPr>
        <w:jc w:val="both"/>
        <w:ind w:left="302" w:hanging="302"/>
        <w:spacing w:after="0" w:line="250" w:lineRule="auto"/>
        <w:tabs>
          <w:tab w:leader="none" w:pos="293" w:val="left"/>
        </w:tabs>
        <w:numPr>
          <w:ilvl w:val="0"/>
          <w:numId w:val="67"/>
        </w:numPr>
        <w:rPr>
          <w:rFonts w:ascii="Arial" w:cs="Arial" w:eastAsia="Arial" w:hAnsi="Arial"/>
          <w:sz w:val="21"/>
          <w:szCs w:val="21"/>
          <w:color w:val="auto"/>
        </w:rPr>
      </w:pPr>
      <w:r>
        <w:rPr>
          <w:rFonts w:ascii="Arial" w:cs="Arial" w:eastAsia="Arial" w:hAnsi="Arial"/>
          <w:sz w:val="21"/>
          <w:szCs w:val="21"/>
          <w:b w:val="1"/>
          <w:bCs w:val="1"/>
          <w:u w:val="single" w:color="auto"/>
          <w:color w:val="auto"/>
        </w:rPr>
        <w:t>Choice of Law and Severability.</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shall be interpreted in accordance with the laws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State of California without giving effect to provisions governing the choice of law. If any provision of this Agreement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“Law”) then that provision shall be curtailed or limited only to the minimum extent</w:t>
      </w:r>
    </w:p>
    <w:p>
      <w:pPr>
        <w:sectPr>
          <w:pgSz w:w="11900" w:h="16838" w:orient="portrait"/>
          <w:cols w:equalWidth="0" w:num="1">
            <w:col w:w="10302"/>
          </w:cols>
          <w:pgMar w:left="1258" w:top="1440" w:right="339" w:bottom="1440" w:gutter="0" w:footer="0" w:header="0"/>
        </w:sectPr>
      </w:pPr>
    </w:p>
    <w:bookmarkStart w:id="153" w:name="page154"/>
    <w:bookmarkEnd w:id="153"/>
    <w:p>
      <w:pPr>
        <w:spacing w:after="0" w:line="37" w:lineRule="exact"/>
        <w:rPr>
          <w:sz w:val="20"/>
          <w:szCs w:val="20"/>
          <w:color w:val="auto"/>
        </w:rPr>
      </w:pPr>
    </w:p>
    <w:p>
      <w:pPr>
        <w:ind w:left="302"/>
        <w:spacing w:after="0" w:line="277" w:lineRule="auto"/>
        <w:rPr>
          <w:sz w:val="20"/>
          <w:szCs w:val="20"/>
          <w:color w:val="auto"/>
        </w:rPr>
      </w:pPr>
      <w:r>
        <w:rPr>
          <w:rFonts w:ascii="Arial" w:cs="Arial" w:eastAsia="Arial" w:hAnsi="Arial"/>
          <w:sz w:val="21"/>
          <w:szCs w:val="21"/>
          <w:color w:val="auto"/>
        </w:rPr>
        <w:t>necessary to bring the provision into compliance with the Law. All the other terms and provisions of this Agreement shall continue in full force and effect without impairment or limitation.</w:t>
      </w:r>
    </w:p>
    <w:p>
      <w:pPr>
        <w:spacing w:after="0" w:line="40" w:lineRule="exact"/>
        <w:rPr>
          <w:sz w:val="20"/>
          <w:szCs w:val="20"/>
          <w:color w:val="auto"/>
        </w:rPr>
      </w:pPr>
    </w:p>
    <w:p>
      <w:pPr>
        <w:jc w:val="both"/>
        <w:ind w:left="302" w:hanging="302"/>
        <w:spacing w:after="0" w:line="260" w:lineRule="auto"/>
        <w:tabs>
          <w:tab w:leader="none" w:pos="293"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No Assignment.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all of Executive’s rights and obligations hereunder are personal to</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and may not be transferred or assigned by Executive at any time. The Company may assign its rights under this Agreement to any entity that assumes the Company’s obligations hereunder in connection with any sale or transfer to such entity of all or a substantial portion of the Company’s assets.</w:t>
      </w:r>
    </w:p>
    <w:p>
      <w:pPr>
        <w:spacing w:after="0" w:line="56" w:lineRule="exact"/>
        <w:rPr>
          <w:rFonts w:ascii="Arial" w:cs="Arial" w:eastAsia="Arial" w:hAnsi="Arial"/>
          <w:sz w:val="21"/>
          <w:szCs w:val="21"/>
          <w:color w:val="auto"/>
        </w:rPr>
      </w:pPr>
    </w:p>
    <w:p>
      <w:pPr>
        <w:jc w:val="both"/>
        <w:ind w:left="302" w:hanging="302"/>
        <w:spacing w:after="0" w:line="260" w:lineRule="auto"/>
        <w:tabs>
          <w:tab w:leader="none" w:pos="302"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Acknowledgment.</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acknowledges that Executive has had the opportunity to discuss this matter</w:t>
      </w:r>
      <w:r>
        <w:rPr>
          <w:rFonts w:ascii="Arial" w:cs="Arial" w:eastAsia="Arial" w:hAnsi="Arial"/>
          <w:sz w:val="21"/>
          <w:szCs w:val="21"/>
          <w:b w:val="1"/>
          <w:bCs w:val="1"/>
          <w:color w:val="auto"/>
        </w:rPr>
        <w:t xml:space="preserve"> </w:t>
      </w:r>
      <w:r>
        <w:rPr>
          <w:rFonts w:ascii="Arial" w:cs="Arial" w:eastAsia="Arial" w:hAnsi="Arial"/>
          <w:sz w:val="21"/>
          <w:szCs w:val="21"/>
          <w:color w:val="auto"/>
        </w:rPr>
        <w:t>with and obtain advice from Executive’s personal attorney, has had sufficient time to, and has carefully read and fully understood all the provisions of this Agreement, and is knowingly and voluntarily entering into this Agreement.</w:t>
      </w:r>
    </w:p>
    <w:p>
      <w:pPr>
        <w:spacing w:after="0" w:line="56" w:lineRule="exact"/>
        <w:rPr>
          <w:rFonts w:ascii="Arial" w:cs="Arial" w:eastAsia="Arial" w:hAnsi="Arial"/>
          <w:sz w:val="21"/>
          <w:szCs w:val="21"/>
          <w:color w:val="auto"/>
        </w:rPr>
      </w:pPr>
    </w:p>
    <w:p>
      <w:pPr>
        <w:jc w:val="both"/>
        <w:ind w:left="302" w:hanging="302"/>
        <w:spacing w:after="0" w:line="255" w:lineRule="auto"/>
        <w:tabs>
          <w:tab w:leader="none" w:pos="302"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two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an original, but all of which together shall constitute one and the same instrument. Execution of a facsimile copy will have the same force and effect as execution of an original, and a facsimile signature will be deemed an original and valid signature.</w:t>
      </w:r>
    </w:p>
    <w:p>
      <w:pPr>
        <w:spacing w:after="0" w:line="76" w:lineRule="exact"/>
        <w:rPr>
          <w:rFonts w:ascii="Arial" w:cs="Arial" w:eastAsia="Arial" w:hAnsi="Arial"/>
          <w:sz w:val="21"/>
          <w:szCs w:val="21"/>
          <w:color w:val="auto"/>
        </w:rPr>
      </w:pPr>
    </w:p>
    <w:p>
      <w:pPr>
        <w:jc w:val="both"/>
        <w:ind w:left="302" w:hanging="302"/>
        <w:spacing w:after="0" w:line="252" w:lineRule="auto"/>
        <w:tabs>
          <w:tab w:leader="none" w:pos="294" w:val="left"/>
        </w:tabs>
        <w:numPr>
          <w:ilvl w:val="0"/>
          <w:numId w:val="68"/>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may, in its sole discretion, decide to deliver any documents or notices</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to this letter, 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agree to participate through an on-line or electronic system established and maintained by the Company or a third party designated by the Company.</w:t>
      </w:r>
    </w:p>
    <w:p>
      <w:pPr>
        <w:spacing w:after="0" w:line="200" w:lineRule="exact"/>
        <w:rPr>
          <w:sz w:val="20"/>
          <w:szCs w:val="20"/>
          <w:color w:val="auto"/>
        </w:rPr>
      </w:pPr>
    </w:p>
    <w:p>
      <w:pPr>
        <w:spacing w:after="0" w:line="208" w:lineRule="exact"/>
        <w:rPr>
          <w:sz w:val="20"/>
          <w:szCs w:val="20"/>
          <w:color w:val="auto"/>
        </w:rPr>
      </w:pPr>
    </w:p>
    <w:p>
      <w:pPr>
        <w:ind w:left="3522"/>
        <w:spacing w:after="0"/>
        <w:rPr>
          <w:sz w:val="20"/>
          <w:szCs w:val="20"/>
          <w:color w:val="auto"/>
        </w:rPr>
      </w:pPr>
      <w:r>
        <w:rPr>
          <w:rFonts w:ascii="Arial" w:cs="Arial" w:eastAsia="Arial" w:hAnsi="Arial"/>
          <w:sz w:val="21"/>
          <w:szCs w:val="21"/>
          <w:i w:val="1"/>
          <w:iCs w:val="1"/>
          <w:color w:val="auto"/>
        </w:rPr>
        <w:t>[Signature Page Follows]</w:t>
      </w:r>
    </w:p>
    <w:p>
      <w:pPr>
        <w:sectPr>
          <w:pgSz w:w="11900" w:h="16838" w:orient="portrait"/>
          <w:cols w:equalWidth="0" w:num="1">
            <w:col w:w="10302"/>
          </w:cols>
          <w:pgMar w:left="1258" w:top="1440" w:right="339" w:bottom="1440" w:gutter="0" w:footer="0" w:header="0"/>
        </w:sectPr>
      </w:pPr>
    </w:p>
    <w:bookmarkStart w:id="154" w:name="page155"/>
    <w:bookmarkEnd w:id="154"/>
    <w:p>
      <w:pPr>
        <w:spacing w:after="0" w:line="3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Very truly yours,</w:t>
      </w:r>
    </w:p>
    <w:p>
      <w:pPr>
        <w:spacing w:after="0" w:line="14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18415</wp:posOffset>
            </wp:positionV>
            <wp:extent cx="24314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Andrew Toy, Chief Executive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Agreed to and Accepted by:</w:t>
      </w:r>
    </w:p>
    <w:p>
      <w:pPr>
        <w:spacing w:after="0" w:line="14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 Karen Soares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24314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Karen Soares</w:t>
      </w:r>
    </w:p>
    <w:p>
      <w:pPr>
        <w:spacing w:after="0" w:line="181" w:lineRule="auto"/>
        <w:tabs>
          <w:tab w:leader="none" w:pos="1720" w:val="left"/>
        </w:tabs>
        <w:rPr>
          <w:sz w:val="20"/>
          <w:szCs w:val="20"/>
          <w:color w:val="auto"/>
        </w:rPr>
      </w:pPr>
      <w:r>
        <w:rPr>
          <w:rFonts w:ascii="Arial" w:cs="Arial" w:eastAsia="Arial" w:hAnsi="Arial"/>
          <w:sz w:val="30"/>
          <w:szCs w:val="30"/>
          <w:color w:val="auto"/>
          <w:vertAlign w:val="subscript"/>
        </w:rPr>
        <w:t>Date:</w:t>
      </w:r>
      <w:r>
        <w:rPr>
          <w:sz w:val="20"/>
          <w:szCs w:val="20"/>
          <w:color w:val="auto"/>
        </w:rPr>
        <w:tab/>
      </w:r>
      <w:r>
        <w:rPr>
          <w:rFonts w:ascii="Arial" w:cs="Arial" w:eastAsia="Arial" w:hAnsi="Arial"/>
          <w:sz w:val="14"/>
          <w:szCs w:val="14"/>
          <w:color w:val="auto"/>
        </w:rPr>
        <w:t>3/28/2024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77470</wp:posOffset>
            </wp:positionV>
            <wp:extent cx="19780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19780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ind w:left="9880"/>
        <w:spacing w:after="0"/>
        <w:rPr>
          <w:sz w:val="20"/>
          <w:szCs w:val="20"/>
          <w:color w:val="auto"/>
        </w:rPr>
      </w:pPr>
      <w:r>
        <w:rPr>
          <w:rFonts w:ascii="Times New Roman" w:cs="Times New Roman" w:eastAsia="Times New Roman" w:hAnsi="Times New Roman"/>
          <w:sz w:val="17"/>
          <w:szCs w:val="17"/>
          <w:color w:val="auto"/>
        </w:rPr>
        <w:t>December 22, 2023</w:t>
      </w:r>
    </w:p>
    <w:p>
      <w:pPr>
        <w:spacing w:after="0" w:line="207" w:lineRule="auto"/>
        <w:rPr>
          <w:sz w:val="20"/>
          <w:szCs w:val="20"/>
          <w:color w:val="auto"/>
        </w:rPr>
      </w:pPr>
      <w:r>
        <w:rPr>
          <w:rFonts w:ascii="Times New Roman" w:cs="Times New Roman" w:eastAsia="Times New Roman" w:hAnsi="Times New Roman"/>
          <w:sz w:val="17"/>
          <w:szCs w:val="17"/>
          <w:color w:val="auto"/>
        </w:rPr>
        <w:t>Mr. Andrew Toy</w:t>
      </w:r>
    </w:p>
    <w:p>
      <w:pPr>
        <w:spacing w:after="0" w:line="223" w:lineRule="auto"/>
        <w:rPr>
          <w:sz w:val="20"/>
          <w:szCs w:val="20"/>
          <w:color w:val="auto"/>
        </w:rPr>
      </w:pPr>
      <w:r>
        <w:rPr>
          <w:rFonts w:ascii="Times New Roman" w:cs="Times New Roman" w:eastAsia="Times New Roman" w:hAnsi="Times New Roman"/>
          <w:sz w:val="17"/>
          <w:szCs w:val="17"/>
          <w:color w:val="auto"/>
        </w:rPr>
        <w:t>Chief Executive Officer</w:t>
      </w:r>
    </w:p>
    <w:p>
      <w:pPr>
        <w:spacing w:after="0" w:line="207" w:lineRule="auto"/>
        <w:rPr>
          <w:sz w:val="20"/>
          <w:szCs w:val="20"/>
          <w:color w:val="auto"/>
        </w:rPr>
      </w:pPr>
      <w:r>
        <w:rPr>
          <w:rFonts w:ascii="Times New Roman" w:cs="Times New Roman" w:eastAsia="Times New Roman" w:hAnsi="Times New Roman"/>
          <w:sz w:val="17"/>
          <w:szCs w:val="17"/>
          <w:color w:val="auto"/>
        </w:rPr>
        <w:t>Clover Health Investments, Corp. 3401</w:t>
      </w:r>
    </w:p>
    <w:p>
      <w:pPr>
        <w:spacing w:after="0" w:line="207" w:lineRule="auto"/>
        <w:rPr>
          <w:sz w:val="20"/>
          <w:szCs w:val="20"/>
          <w:color w:val="auto"/>
        </w:rPr>
      </w:pPr>
      <w:r>
        <w:rPr>
          <w:rFonts w:ascii="Times New Roman" w:cs="Times New Roman" w:eastAsia="Times New Roman" w:hAnsi="Times New Roman"/>
          <w:sz w:val="17"/>
          <w:szCs w:val="17"/>
          <w:color w:val="auto"/>
        </w:rPr>
        <w:t>Mallory Lane, Suite 210</w:t>
      </w:r>
    </w:p>
    <w:p>
      <w:pPr>
        <w:spacing w:after="0"/>
        <w:rPr>
          <w:sz w:val="20"/>
          <w:szCs w:val="20"/>
          <w:color w:val="auto"/>
        </w:rPr>
      </w:pPr>
      <w:r>
        <w:rPr>
          <w:rFonts w:ascii="Times New Roman" w:cs="Times New Roman" w:eastAsia="Times New Roman" w:hAnsi="Times New Roman"/>
          <w:sz w:val="17"/>
          <w:szCs w:val="17"/>
          <w:color w:val="auto"/>
        </w:rPr>
        <w:t>Franklin, TN 37067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Agreement for Interim Management Services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Mr. Toy:</w:t>
      </w:r>
    </w:p>
    <w:p>
      <w:pPr>
        <w:spacing w:after="0" w:line="22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This letter, together with the attached Schedule(s) and General Terms and Conditions, sets forth the agreement (“Agreement”) between AP Services, LLC (“APS”), and Clover Health investments Corp. (the “Company”) for the engagement of APS to provide interim management services to the Company.</w:t>
      </w:r>
    </w:p>
    <w:p>
      <w:pPr>
        <w:spacing w:after="0" w:line="17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All defined terms shall have the meanings ascribed to them in this letter and in the attached Schedule(s) and General Terms and Conditions. The Company and APS are each a “Party,” and together the “Parties.”</w:t>
      </w:r>
    </w:p>
    <w:p>
      <w:pPr>
        <w:spacing w:after="0" w:line="17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The engagement of APS, including any APS employees who serve in Executive Officer positions, shall be under the supervision of the Board of Directors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Objectives and Tasks</w:t>
      </w:r>
    </w:p>
    <w:p>
      <w:pPr>
        <w:spacing w:after="0" w:line="22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Subject to APS’ (i) internal approval from its Risk Management Committee, (ii) confirmation the Company has a Directors and Officers Liability insurance policy in accordance with the Indemnification section of the General Terms and Conditions regarding Directors and Officers Liability Insurance coverage, and</w:t>
      </w:r>
    </w:p>
    <w:p>
      <w:pPr>
        <w:spacing w:after="0" w:line="1" w:lineRule="exact"/>
        <w:rPr>
          <w:sz w:val="20"/>
          <w:szCs w:val="20"/>
          <w:color w:val="auto"/>
        </w:rPr>
      </w:pPr>
    </w:p>
    <w:p>
      <w:pPr>
        <w:jc w:val="both"/>
        <w:ind w:firstLine="4"/>
        <w:spacing w:after="0" w:line="222" w:lineRule="auto"/>
        <w:tabs>
          <w:tab w:leader="none" w:pos="33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a copy of the signed Board of Directors’ resolution (or similar document as required by the Company's governance documents) as official confirmation of the appointment, APS will provide Mr. Terry Ronan to serve as the Company’s Chief Financial Officer ("CFO"), reporting to the Company’s Chief Executive Officer. In addition to the ordinary course responsibilities of CFO, Mr. Ronan and APS will work collaboratively with the senior management team, the Board of Directors and other Company professionals to assist the Company with the following:</w:t>
      </w:r>
    </w:p>
    <w:p>
      <w:pPr>
        <w:spacing w:after="0" w:line="191" w:lineRule="exact"/>
        <w:rPr>
          <w:rFonts w:ascii="Times New Roman" w:cs="Times New Roman" w:eastAsia="Times New Roman" w:hAnsi="Times New Roman"/>
          <w:sz w:val="17"/>
          <w:szCs w:val="17"/>
          <w:color w:val="auto"/>
        </w:rPr>
      </w:pPr>
    </w:p>
    <w:p>
      <w:pPr>
        <w:ind w:left="780" w:hanging="318"/>
        <w:spacing w:after="0" w:line="251" w:lineRule="auto"/>
        <w:tabs>
          <w:tab w:leader="none" w:pos="76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tasks ordinarily in the purview of the Company’s Chief Financial Officer, including supervision of the finance staff, communicating with the Company’s directors, executives and employees.</w:t>
      </w:r>
    </w:p>
    <w:p>
      <w:pPr>
        <w:ind w:left="760" w:hanging="297"/>
        <w:spacing w:after="0" w:line="207" w:lineRule="auto"/>
        <w:tabs>
          <w:tab w:leader="none" w:pos="76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preparation of budgets and cash forecasts and evaluate variances thereto.</w:t>
      </w:r>
    </w:p>
    <w:p>
      <w:pPr>
        <w:ind w:left="780" w:hanging="318"/>
        <w:spacing w:after="0" w:line="246" w:lineRule="auto"/>
        <w:tabs>
          <w:tab w:leader="none" w:pos="781"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 the Company’s core competencies in the finance organization, particularly cash management, planning, general accounting and financial reporting information management.</w:t>
      </w:r>
    </w:p>
    <w:p>
      <w:pPr>
        <w:ind w:left="780" w:hanging="318"/>
        <w:spacing w:after="0" w:line="231" w:lineRule="auto"/>
        <w:tabs>
          <w:tab w:leader="none" w:pos="76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required, lead or participate in development of the Company’s business plan, and such other related forecasts as may be required by the Company for its corporate purposes.</w:t>
      </w:r>
    </w:p>
    <w:p>
      <w:pPr>
        <w:spacing w:after="0" w:line="1" w:lineRule="exact"/>
        <w:rPr>
          <w:rFonts w:ascii="Times New Roman" w:cs="Times New Roman" w:eastAsia="Times New Roman" w:hAnsi="Times New Roman"/>
          <w:sz w:val="17"/>
          <w:szCs w:val="17"/>
          <w:color w:val="auto"/>
        </w:rPr>
      </w:pPr>
    </w:p>
    <w:p>
      <w:pPr>
        <w:ind w:left="760" w:hanging="297"/>
        <w:spacing w:after="0" w:line="223" w:lineRule="auto"/>
        <w:tabs>
          <w:tab w:leader="none" w:pos="76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management and Board reporting packages.</w:t>
      </w:r>
    </w:p>
    <w:p>
      <w:pPr>
        <w:ind w:left="760" w:hanging="298"/>
        <w:spacing w:after="0" w:line="223" w:lineRule="auto"/>
        <w:tabs>
          <w:tab w:leader="none" w:pos="76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Communicate and/or negotiate with outside constituents, as appropriate, including the Company’s banks and their advisers.</w:t>
      </w:r>
    </w:p>
    <w:p>
      <w:pPr>
        <w:ind w:left="760" w:hanging="298"/>
        <w:spacing w:after="0"/>
        <w:tabs>
          <w:tab w:leader="none" w:pos="76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the Company with such other matters as may be requested by the Company and are mutually agreeable.</w:t>
      </w:r>
    </w:p>
    <w:p>
      <w:pPr>
        <w:sectPr>
          <w:pgSz w:w="11900" w:h="16838" w:orient="portrait"/>
          <w:cols w:equalWidth="0" w:num="1">
            <w:col w:w="11240"/>
          </w:cols>
          <w:pgMar w:left="320" w:top="1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xml:space="preserve">AP Services | 2000 Town Center | Suite 2400 | Southfield, MI 48075 | 248.358.4420 | </w:t>
      </w:r>
      <w:r>
        <w:rPr>
          <w:rFonts w:ascii="Times New Roman" w:cs="Times New Roman" w:eastAsia="Times New Roman" w:hAnsi="Times New Roman"/>
          <w:sz w:val="13"/>
          <w:szCs w:val="13"/>
          <w:b w:val="1"/>
          <w:bCs w:val="1"/>
          <w:color w:val="auto"/>
        </w:rPr>
        <w:t>alixpartners.com</w:t>
      </w:r>
    </w:p>
    <w:p>
      <w:pPr>
        <w:sectPr>
          <w:pgSz w:w="11900" w:h="16838" w:orient="portrait"/>
          <w:cols w:equalWidth="0" w:num="1">
            <w:col w:w="11240"/>
          </w:cols>
          <w:pgMar w:left="320" w:top="1179"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color w:val="auto"/>
        </w:rPr>
        <w:t>Staffing</w:t>
      </w:r>
    </w:p>
    <w:p>
      <w:pPr>
        <w:spacing w:after="0" w:line="20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Al Koch will be responsible for the overall engagement, assisted by Mr. Ronan who has a wide range of skills and abilities related to this type of assignment. In addition, APS has relationships with, and may periodically use, independent contractors, such as Mr. Ronan, with specialized skills and abilities to assist in this</w:t>
      </w:r>
    </w:p>
    <w:p>
      <w:pPr>
        <w:spacing w:after="0" w:line="207" w:lineRule="auto"/>
        <w:rPr>
          <w:sz w:val="20"/>
          <w:szCs w:val="20"/>
          <w:color w:val="auto"/>
        </w:rPr>
      </w:pPr>
      <w:r>
        <w:rPr>
          <w:rFonts w:ascii="Times New Roman" w:cs="Times New Roman" w:eastAsia="Times New Roman" w:hAnsi="Times New Roman"/>
          <w:sz w:val="17"/>
          <w:szCs w:val="17"/>
          <w:color w:val="auto"/>
        </w:rPr>
        <w:t>engagement.</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We will periodically review the staffing levels to determine the proper mix for this assignment. We will only use the necessary staff required to complete the requested or planned tasks.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Timing, Fees and Retainer</w:t>
      </w:r>
    </w:p>
    <w:p>
      <w:pPr>
        <w:jc w:val="both"/>
        <w:spacing w:after="0" w:line="215" w:lineRule="auto"/>
        <w:rPr>
          <w:sz w:val="20"/>
          <w:szCs w:val="20"/>
          <w:color w:val="auto"/>
        </w:rPr>
      </w:pPr>
      <w:r>
        <w:rPr>
          <w:rFonts w:ascii="Times New Roman" w:cs="Times New Roman" w:eastAsia="Times New Roman" w:hAnsi="Times New Roman"/>
          <w:sz w:val="17"/>
          <w:szCs w:val="17"/>
          <w:color w:val="auto"/>
        </w:rPr>
        <w:t>APS will commence this engagement on or about January 2, 2024 after receipt of a copy of the executed Agreement accompanied by the retainer, as set forth on Schedule 1 and confirmation of the Company’s compliance with the requirements set forth in the first paragraph of the Objectives and Tasks section above. APS</w:t>
      </w:r>
    </w:p>
    <w:p>
      <w:pPr>
        <w:jc w:val="both"/>
        <w:spacing w:after="0" w:line="230" w:lineRule="auto"/>
        <w:rPr>
          <w:sz w:val="20"/>
          <w:szCs w:val="20"/>
          <w:color w:val="auto"/>
        </w:rPr>
      </w:pPr>
      <w:r>
        <w:rPr>
          <w:rFonts w:ascii="Times New Roman" w:cs="Times New Roman" w:eastAsia="Times New Roman" w:hAnsi="Times New Roman"/>
          <w:sz w:val="17"/>
          <w:szCs w:val="17"/>
          <w:color w:val="auto"/>
        </w:rPr>
        <w:t>estimates the time for completion of this engagement to be at three to six months, depending upon the Company and its executive search firm identifying and retaining a full time replacement for Mr. Ronan.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shall compensate APS for its services, and reimburse APS for expenses, as set forth on Schedule 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w:t>
      </w:r>
    </w:p>
    <w:p>
      <w:pPr>
        <w:spacing w:after="0" w:line="2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APS recognizes that, APS and its employees may receive from the Company or others, information that may be considered "material, nonpublic information" concerning the Company or another public company that is subject to the reporting requirements of the Securities and Exchange Act of 1934, as amended. APS and each of its employees performing services under this Agreement agree NOT to: (a) buy, sell or effect any other transaction relating to any stock, option, bond,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7"/>
          <w:szCs w:val="17"/>
          <w:color w:val="auto"/>
        </w:rPr>
        <w:t>warrant or other security of any issuer (including the Company) with respect to which APS is then in possession of material, nonpublic information received from the Company or others; (b) provide Company with information with respect to any public company that may be considered material, nonpublic information; or</w:t>
      </w:r>
    </w:p>
    <w:p>
      <w:pPr>
        <w:jc w:val="both"/>
        <w:ind w:firstLine="4"/>
        <w:spacing w:after="0" w:line="215" w:lineRule="auto"/>
        <w:tabs>
          <w:tab w:leader="none" w:pos="23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communicate or provide any material, nonpublic information to any other person, including any relative, associate, or other individual, who intends to, may, or in which it is reasonably foreseeable that such person is likely to (i) purchase or sell securities of any company with respect to which such information relates, or</w:t>
      </w:r>
    </w:p>
    <w:p>
      <w:pPr>
        <w:jc w:val="both"/>
        <w:ind w:firstLine="4"/>
        <w:spacing w:after="0" w:line="219" w:lineRule="auto"/>
        <w:tabs>
          <w:tab w:leader="none" w:pos="26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directly or indirectly benefit from such information. In addition, APS represents and warrants it will abide by applicable insider trading laws and does require its employees to undergo annual compliance training with respect thereto. Without limiting any of the confidentiality and insider trading obligations included in this Agreement, neither APS nor any of APS’s employees performing services under this agreement, shall discuss any information concerning the Company obtained by APS in the course of performing the Services with any financial, securities or industry analyst or with the media without the written agreement of Company</w:t>
      </w:r>
    </w:p>
    <w:p>
      <w:pPr>
        <w:sectPr>
          <w:pgSz w:w="11900" w:h="16838" w:orient="portrait"/>
          <w:cols w:equalWidth="0" w:num="1">
            <w:col w:w="11240"/>
          </w:cols>
          <w:pgMar w:left="320" w:top="118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color w:val="auto"/>
        </w:rPr>
        <w:t>If these terms meet with your approval, please sign and return a copy of this Agreement and wire transfer the amount to establish the retainer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look forward to working with you.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 yours,</w:t>
      </w:r>
    </w:p>
    <w:p>
      <w:pPr>
        <w:spacing w:after="0" w:line="272" w:lineRule="exact"/>
        <w:rPr>
          <w:sz w:val="20"/>
          <w:szCs w:val="20"/>
          <w:color w:val="auto"/>
        </w:rPr>
      </w:pPr>
    </w:p>
    <w:p>
      <w:pPr>
        <w:ind w:left="20"/>
        <w:spacing w:after="0"/>
        <w:tabs>
          <w:tab w:leader="none" w:pos="26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A.A.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19685</wp:posOffset>
            </wp:positionV>
            <wp:extent cx="33381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16" w:lineRule="exact"/>
        <w:rPr>
          <w:sz w:val="20"/>
          <w:szCs w:val="20"/>
          <w:color w:val="auto"/>
        </w:rPr>
      </w:pPr>
    </w:p>
    <w:p>
      <w:pPr>
        <w:jc w:val="center"/>
        <w:ind w:right="3859"/>
        <w:spacing w:after="0"/>
        <w:rPr>
          <w:sz w:val="20"/>
          <w:szCs w:val="20"/>
          <w:color w:val="auto"/>
        </w:rPr>
      </w:pPr>
      <w:r>
        <w:rPr>
          <w:rFonts w:ascii="Times New Roman" w:cs="Times New Roman" w:eastAsia="Times New Roman" w:hAnsi="Times New Roman"/>
          <w:sz w:val="17"/>
          <w:szCs w:val="17"/>
          <w:b w:val="1"/>
          <w:bCs w:val="1"/>
          <w:color w:val="auto"/>
        </w:rPr>
        <w:t>Aaron Koch</w:t>
      </w:r>
    </w:p>
    <w:p>
      <w:pPr>
        <w:spacing w:after="0" w:line="33" w:lineRule="exact"/>
        <w:rPr>
          <w:sz w:val="20"/>
          <w:szCs w:val="20"/>
          <w:color w:val="auto"/>
        </w:rPr>
      </w:pPr>
    </w:p>
    <w:p>
      <w:pPr>
        <w:jc w:val="center"/>
        <w:ind w:right="3859"/>
        <w:spacing w:after="0"/>
        <w:rPr>
          <w:sz w:val="20"/>
          <w:szCs w:val="20"/>
          <w:color w:val="auto"/>
        </w:rPr>
      </w:pPr>
      <w:r>
        <w:rPr>
          <w:rFonts w:ascii="Times New Roman" w:cs="Times New Roman" w:eastAsia="Times New Roman" w:hAnsi="Times New Roman"/>
          <w:sz w:val="17"/>
          <w:szCs w:val="17"/>
          <w:b w:val="1"/>
          <w:bCs w:val="1"/>
          <w:color w:val="auto"/>
        </w:rPr>
        <w:t>Partner &amp; Managing Director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A.A. Koch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Partner &amp; Managing Director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Acknowledged and Agreed to:</w:t>
      </w:r>
    </w:p>
    <w:p>
      <w:pPr>
        <w:spacing w:after="0"/>
        <w:rPr>
          <w:sz w:val="20"/>
          <w:szCs w:val="20"/>
          <w:color w:val="auto"/>
        </w:rPr>
      </w:pPr>
      <w:r>
        <w:rPr>
          <w:rFonts w:ascii="Times New Roman" w:cs="Times New Roman" w:eastAsia="Times New Roman" w:hAnsi="Times New Roman"/>
          <w:sz w:val="17"/>
          <w:szCs w:val="17"/>
          <w:color w:val="auto"/>
        </w:rPr>
        <w:t>CLOVER HEALTH INVESTMENTS CORP.</w:t>
      </w:r>
    </w:p>
    <w:p>
      <w:pPr>
        <w:spacing w:after="0" w:line="252" w:lineRule="exact"/>
        <w:rPr>
          <w:sz w:val="20"/>
          <w:szCs w:val="20"/>
          <w:color w:val="auto"/>
        </w:rPr>
      </w:pPr>
    </w:p>
    <w:p>
      <w:pPr>
        <w:ind w:left="20"/>
        <w:spacing w:after="0"/>
        <w:tabs>
          <w:tab w:leader="none" w:pos="25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19685</wp:posOffset>
            </wp:positionV>
            <wp:extent cx="33381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3338195" cy="8255"/>
                    </a:xfrm>
                    <a:prstGeom prst="rect">
                      <a:avLst/>
                    </a:prstGeom>
                    <a:noFill/>
                  </pic:spPr>
                </pic:pic>
              </a:graphicData>
            </a:graphic>
          </wp:anchor>
        </w:drawing>
      </w:r>
    </w:p>
    <w:p>
      <w:pPr>
        <w:spacing w:after="0" w:line="16" w:lineRule="exact"/>
        <w:rPr>
          <w:sz w:val="20"/>
          <w:szCs w:val="20"/>
          <w:color w:val="auto"/>
        </w:rPr>
      </w:pPr>
    </w:p>
    <w:p>
      <w:pPr>
        <w:jc w:val="center"/>
        <w:ind w:right="3859"/>
        <w:spacing w:after="0"/>
        <w:rPr>
          <w:sz w:val="20"/>
          <w:szCs w:val="20"/>
          <w:color w:val="auto"/>
        </w:rPr>
      </w:pPr>
      <w:r>
        <w:rPr>
          <w:rFonts w:ascii="Times New Roman" w:cs="Times New Roman" w:eastAsia="Times New Roman" w:hAnsi="Times New Roman"/>
          <w:sz w:val="17"/>
          <w:szCs w:val="17"/>
          <w:b w:val="1"/>
          <w:bCs w:val="1"/>
          <w:color w:val="auto"/>
        </w:rPr>
        <w:t>Andrew Toy</w:t>
      </w:r>
    </w:p>
    <w:p>
      <w:pPr>
        <w:spacing w:after="0" w:line="33" w:lineRule="exact"/>
        <w:rPr>
          <w:sz w:val="20"/>
          <w:szCs w:val="20"/>
          <w:color w:val="auto"/>
        </w:rPr>
      </w:pPr>
    </w:p>
    <w:p>
      <w:pPr>
        <w:jc w:val="center"/>
        <w:ind w:right="38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Dated:12/26/2023 | 2:00 PM EST</w:t>
      </w:r>
    </w:p>
    <w:p>
      <w:pPr>
        <w:sectPr>
          <w:pgSz w:w="11900" w:h="16838" w:orient="portrait"/>
          <w:cols w:equalWidth="0" w:num="1">
            <w:col w:w="10139"/>
          </w:cols>
          <w:pgMar w:left="320" w:top="1185" w:right="1440"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4"/>
          <w:szCs w:val="24"/>
          <w:b w:val="1"/>
          <w:bCs w:val="1"/>
          <w:color w:val="auto"/>
        </w:rPr>
        <w:t>Schedule 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Fees and Expenses</w:t>
      </w:r>
    </w:p>
    <w:p>
      <w:pPr>
        <w:spacing w:after="0" w:line="224" w:lineRule="exact"/>
        <w:rPr>
          <w:sz w:val="20"/>
          <w:szCs w:val="20"/>
          <w:color w:val="auto"/>
        </w:rPr>
      </w:pPr>
    </w:p>
    <w:p>
      <w:pPr>
        <w:jc w:val="both"/>
        <w:ind w:firstLine="4"/>
        <w:spacing w:after="0" w:line="236" w:lineRule="auto"/>
        <w:tabs>
          <w:tab w:leader="none" w:pos="186"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Fees: </w:t>
      </w:r>
      <w:r>
        <w:rPr>
          <w:rFonts w:ascii="Times New Roman" w:cs="Times New Roman" w:eastAsia="Times New Roman" w:hAnsi="Times New Roman"/>
          <w:sz w:val="17"/>
          <w:szCs w:val="17"/>
          <w:color w:val="auto"/>
        </w:rPr>
        <w:t>APS agrees to professional fees of US$195,000 per month for the engagement, subject to the scope, assumptions and personnel requirements herein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remaining unchanged (the “Engagement Fee”). If changes occur with respect to such scope, assumptions and/or personnel requirements, including those due to unforeseen events, the Parties will meet in good faith and agree to a revised Engagement Fee arrangement.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APS’ total fees include any retainer, break fee, or success fee payable hereunder, if any (together, the “Fees”).</w:t>
      </w:r>
    </w:p>
    <w:p>
      <w:pPr>
        <w:spacing w:after="0" w:line="205" w:lineRule="exact"/>
        <w:rPr>
          <w:sz w:val="20"/>
          <w:szCs w:val="20"/>
          <w:color w:val="auto"/>
        </w:rPr>
      </w:pPr>
    </w:p>
    <w:p>
      <w:pPr>
        <w:ind w:left="180" w:hanging="176"/>
        <w:spacing w:after="0"/>
        <w:tabs>
          <w:tab w:leader="none" w:pos="18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Success Fee: </w:t>
      </w:r>
      <w:r>
        <w:rPr>
          <w:rFonts w:ascii="Times New Roman" w:cs="Times New Roman" w:eastAsia="Times New Roman" w:hAnsi="Times New Roman"/>
          <w:sz w:val="17"/>
          <w:szCs w:val="17"/>
          <w:color w:val="auto"/>
        </w:rPr>
        <w:t>APS does not seek a success fee in connection with this engagement.</w:t>
      </w:r>
    </w:p>
    <w:p>
      <w:pPr>
        <w:spacing w:after="0" w:line="219" w:lineRule="exact"/>
        <w:rPr>
          <w:rFonts w:ascii="Times New Roman" w:cs="Times New Roman" w:eastAsia="Times New Roman" w:hAnsi="Times New Roman"/>
          <w:sz w:val="17"/>
          <w:szCs w:val="17"/>
          <w:b w:val="1"/>
          <w:bCs w:val="1"/>
          <w:color w:val="auto"/>
        </w:rPr>
      </w:pPr>
    </w:p>
    <w:p>
      <w:pPr>
        <w:jc w:val="both"/>
        <w:ind w:firstLine="4"/>
        <w:spacing w:after="0"/>
        <w:tabs>
          <w:tab w:leader="none" w:pos="173"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Expenses: </w:t>
      </w:r>
      <w:r>
        <w:rPr>
          <w:rFonts w:ascii="Times New Roman" w:cs="Times New Roman" w:eastAsia="Times New Roman" w:hAnsi="Times New Roman"/>
          <w:sz w:val="17"/>
          <w:szCs w:val="17"/>
          <w:color w:val="auto"/>
        </w:rPr>
        <w:t>In addition to the Fees, the Company will reimburse APS for all reasonable out-of-pocket expenses incurred in connection with this engagement,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as travel, lodging and meals, and an administrative fee of 3% of the Fees to cover all other indirect administrative costs, including general administrative support, legal and IT support, as well as any technology costs associated with secure storage and handling of client data that are not otherwise specified in this Agreement.</w:t>
      </w:r>
    </w:p>
    <w:p>
      <w:pPr>
        <w:spacing w:after="0" w:line="335" w:lineRule="exact"/>
        <w:rPr>
          <w:rFonts w:ascii="Times New Roman" w:cs="Times New Roman" w:eastAsia="Times New Roman" w:hAnsi="Times New Roman"/>
          <w:sz w:val="17"/>
          <w:szCs w:val="17"/>
          <w:b w:val="1"/>
          <w:bCs w:val="1"/>
          <w:color w:val="auto"/>
        </w:rPr>
      </w:pPr>
    </w:p>
    <w:p>
      <w:pPr>
        <w:ind w:left="180" w:hanging="176"/>
        <w:spacing w:after="0"/>
        <w:tabs>
          <w:tab w:leader="none" w:pos="18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Break Fee: </w:t>
      </w:r>
      <w:r>
        <w:rPr>
          <w:rFonts w:ascii="Times New Roman" w:cs="Times New Roman" w:eastAsia="Times New Roman" w:hAnsi="Times New Roman"/>
          <w:sz w:val="17"/>
          <w:szCs w:val="17"/>
          <w:color w:val="auto"/>
        </w:rPr>
        <w:t>APS does not require a break fee in connection with this engagement.</w:t>
      </w:r>
    </w:p>
    <w:p>
      <w:pPr>
        <w:spacing w:after="0" w:line="206" w:lineRule="exact"/>
        <w:rPr>
          <w:rFonts w:ascii="Times New Roman" w:cs="Times New Roman" w:eastAsia="Times New Roman" w:hAnsi="Times New Roman"/>
          <w:sz w:val="17"/>
          <w:szCs w:val="17"/>
          <w:b w:val="1"/>
          <w:bCs w:val="1"/>
          <w:color w:val="auto"/>
        </w:rPr>
      </w:pPr>
    </w:p>
    <w:p>
      <w:pPr>
        <w:jc w:val="both"/>
        <w:ind w:firstLine="4"/>
        <w:spacing w:after="0" w:line="221" w:lineRule="auto"/>
        <w:tabs>
          <w:tab w:leader="none" w:pos="173"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Retainer: </w:t>
      </w:r>
      <w:r>
        <w:rPr>
          <w:rFonts w:ascii="Times New Roman" w:cs="Times New Roman" w:eastAsia="Times New Roman" w:hAnsi="Times New Roman"/>
          <w:sz w:val="17"/>
          <w:szCs w:val="17"/>
          <w:color w:val="auto"/>
        </w:rPr>
        <w:t>Within five calendar days from the execution of this Agreement, the Company will pay APS a retainer of US$200,000 to be applied against Fees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expenses. APS may suspend performance of the services if the Company fails to timely pay the retainer. APS has sole discretion to determine how the retainer will be applied to its invoices. Any remaining balance after payment to APS’ final invoice will be promptly returned to the</w:t>
      </w:r>
    </w:p>
    <w:p>
      <w:pPr>
        <w:spacing w:after="0" w:line="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Company.</w:t>
      </w:r>
    </w:p>
    <w:p>
      <w:pPr>
        <w:spacing w:after="0" w:line="184" w:lineRule="exact"/>
        <w:rPr>
          <w:rFonts w:ascii="Times New Roman" w:cs="Times New Roman" w:eastAsia="Times New Roman" w:hAnsi="Times New Roman"/>
          <w:sz w:val="17"/>
          <w:szCs w:val="17"/>
          <w:b w:val="1"/>
          <w:bCs w:val="1"/>
          <w:color w:val="auto"/>
        </w:rPr>
      </w:pPr>
    </w:p>
    <w:p>
      <w:pPr>
        <w:ind w:firstLine="4"/>
        <w:spacing w:after="0" w:line="263" w:lineRule="auto"/>
        <w:tabs>
          <w:tab w:leader="none" w:pos="173"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Payment: </w:t>
      </w:r>
      <w:r>
        <w:rPr>
          <w:rFonts w:ascii="Times New Roman" w:cs="Times New Roman" w:eastAsia="Times New Roman" w:hAnsi="Times New Roman"/>
          <w:sz w:val="17"/>
          <w:szCs w:val="17"/>
          <w:color w:val="auto"/>
        </w:rPr>
        <w:t>APS will submit monthly invoices for Fees earned and expenses incurred to cloverhealth1@bill.com. All invoices are due and payable within thirty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 days from receipt of relevant invoice.</w:t>
      </w:r>
    </w:p>
    <w:p>
      <w:pPr>
        <w:sectPr>
          <w:pgSz w:w="11900" w:h="16838" w:orient="portrait"/>
          <w:cols w:equalWidth="0" w:num="1">
            <w:col w:w="11240"/>
          </w:cols>
          <w:pgMar w:left="320" w:top="1164"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4"/>
          <w:szCs w:val="24"/>
          <w:b w:val="1"/>
          <w:bCs w:val="1"/>
          <w:color w:val="auto"/>
        </w:rPr>
        <w:t>Data Protection Schedule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Description of Transfer</w:t>
      </w:r>
    </w:p>
    <w:p>
      <w:pPr>
        <w:spacing w:after="0" w:line="226"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7"/>
          <w:szCs w:val="17"/>
          <w:color w:val="auto"/>
        </w:rPr>
        <w:t>APS will generally not process any Personal Data on behalf of the Company under this Agreement but will receive and potentially process personal details of employees/contractors of the Company who will be involved in the services to which this engagement relates such as name, job title, email address, telephone</w:t>
      </w:r>
    </w:p>
    <w:p>
      <w:pPr>
        <w:spacing w:after="0" w:line="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7"/>
          <w:szCs w:val="17"/>
          <w:color w:val="auto"/>
        </w:rPr>
        <w:t>number. APS will use such personal details (i) for the purpose of communicating about the services to which this engagement relates and performing the services under this Agreement and (ii) for the duration necessary for the delivery of the services under this Agreement.</w:t>
      </w:r>
    </w:p>
    <w:p>
      <w:pPr>
        <w:sectPr>
          <w:pgSz w:w="11900" w:h="16838" w:orient="portrait"/>
          <w:cols w:equalWidth="0" w:num="1">
            <w:col w:w="11240"/>
          </w:cols>
          <w:pgMar w:left="320" w:top="1164" w:right="339" w:bottom="1440" w:gutter="0" w:footer="0" w:header="0"/>
        </w:sectPr>
      </w:pPr>
    </w:p>
    <w:bookmarkStart w:id="160" w:name="page161"/>
    <w:bookmarkEnd w:id="160"/>
    <w:p>
      <w:pPr>
        <w:jc w:val="both"/>
        <w:spacing w:after="0" w:line="244" w:lineRule="auto"/>
        <w:rPr>
          <w:sz w:val="20"/>
          <w:szCs w:val="20"/>
          <w:color w:val="auto"/>
        </w:rPr>
      </w:pPr>
      <w:r>
        <w:rPr>
          <w:rFonts w:ascii="Times New Roman" w:cs="Times New Roman" w:eastAsia="Times New Roman" w:hAnsi="Times New Roman"/>
          <w:sz w:val="17"/>
          <w:szCs w:val="17"/>
          <w:color w:val="auto"/>
        </w:rPr>
        <w:t>These General Terms and Conditions (“Terms”) are incorporated into the Agreement to which these Terms are attached. In case of conflict between the wording in the letter and/or schedule(s) and these Terms, the wording of the letter and/or schedule(s) shall prevail.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Company Responsibilities</w:t>
      </w:r>
    </w:p>
    <w:p>
      <w:pPr>
        <w:spacing w:after="0" w:line="2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APS’s performance of the services in accordance with the terms of the Agreement are dependent on the Company’s timely and effective completion of the following responsibilities to the extent they are reasonably necessary for such performance: (a) provide timely, reliable, accurate and detailed information, materials, documentation; and (b) make timely decisions, gain relevant approvals, and co-operate with APS as is necessary or desirable for the performance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Nature of the Services of APS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APS is not an accounting firm or a law firm. APS is providing advisory and consulting services only and will not (i) unless expressly stated otherwise in the</w:t>
      </w:r>
    </w:p>
    <w:p>
      <w:pPr>
        <w:spacing w:after="0" w:line="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Agreement, make management decisions for the Company, (ii) perform accounting audits, or (iii) provide legal services or advice. While APS may, from time-to-time, suggest options that may be available to the Company, the ultimate decision as to such options rests with the Company, and APS makes no promise or guarantee, nor gives any representations, about the outcome of the Company’s matters and/ or any decision it makes.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Billing, Payments, and Taxes</w:t>
      </w:r>
    </w:p>
    <w:p>
      <w:pPr>
        <w:spacing w:after="0" w:line="2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Billing and Payments. All invoices for Fees and expenses are due as set forth on Schedule 1 (the “Due Date”) via check or wire transfer to APS’s bank account, as shown on the invoice. All amounts invoiced are based on services rendered and expenses incurred to date, and are not contingent upon future services or Work Product (as defined below), or the outcome of any case or matter.</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If any Fees and/or expenses are not paid by the Company on the relevant Due Date, APS shall be entitled to charge interest on the unpaid amount calculated on a daily basis at the applicable statutory interest rate (for U.S. engagements, the short term applicable federal rate will be used) until payment in full is received.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Without prejudice to any other rights which APS may have at law or under the Agreement, if the Company fails to pay any Fees or expenses by the relevant Due</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Date or otherwise fails to comply with any of its other obligations under this Agreement, then APS may, without notice, suspend the provision of the services until such time as the Company performs such obligation(s) to the satisfaction of APS.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Should APS commence or engage in legal proceedings to recover any unpaid and overdue Fees and/or expenses and prevail, the Company shall be responsible for</w:t>
      </w:r>
    </w:p>
    <w:p>
      <w:pPr>
        <w:spacing w:after="0" w:line="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APS’s reasonable costs and legal fees. Taxes. APS’s Fees are exclusive of taxes or similar charges, which shall be the responsibility of the Company (other than taxes imposed on APS’s income generally). If APS’s Fees are subject to any taxes, such as State sales tax or Value Added Tax, then APS will include such taxes on its invoices as separate line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Use of Work Product</w:t>
      </w:r>
    </w:p>
    <w:p>
      <w:pPr>
        <w:spacing w:after="0" w:line="20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“Work Product” means all information, reports, materials, software and other work product that APS creates or develops specifically for the Company in the performance and/or preparation of the services that constitutes, contains and/or comprises APS’s advice, observations, assessments, evaluations, theories,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formulas, methodologies, opinions, judgement, endorsements, recommendations and/ or proposals.</w:t>
      </w:r>
    </w:p>
    <w:p>
      <w:pPr>
        <w:spacing w:after="0" w:line="18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“Affiliate” means any entity that, directly or indirectly, controls, is controlled by or is under common control with the referenced entity, including the referenced entity’s parent. In this definition, control means the power to direct the management and policies of an entity, directly or indirectly, whether through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of voting securities, by contract or otherwise.</w:t>
      </w:r>
    </w:p>
    <w:p>
      <w:pPr>
        <w:spacing w:after="0" w:line="18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Except as disclosure may be required by law, regulation or regulatory process, or as allowed below, the Company agrees that the Work Product shall only be used by the Company internally solely for its own benefit and use consistent with the purpose of the services under this Agreement. The Company acknowledges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agrees that APS’s only duty of care in respect of the services and the Work Product is to the Company.</w:t>
      </w:r>
    </w:p>
    <w:p>
      <w:pPr>
        <w:spacing w:after="0" w:line="18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The Company may distribute the Work Product on a strictly confidential and non-reliance basis to its auditors, accountants, legal advisors, controlled and controlling Affiliates (“Authorized Recipients”) provided that the Company understands and agrees that APS does not accept any liability to any of the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Authorized Recipients and APS sole duty of care is to the Company. The Company shall be responsible for any damages resulting from a breach of the terms of this Agreement by its Authorized Recipients.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described above and without APS’s prior written approval (not to be unreasonably withheld or delayed), no part of APS’s Work Product may be (i)</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disseminated, reproduced, quoted, or referenced with attribution to APS or an unnamed consultant or (ii) disseminated to third parties without APS’s prior written consent and such third parties executing APS’s Report Access Letter.</w:t>
      </w:r>
    </w:p>
    <w:p>
      <w:pPr>
        <w:sectPr>
          <w:pgSz w:w="11900" w:h="16838" w:orient="portrait"/>
          <w:cols w:equalWidth="0" w:num="1">
            <w:col w:w="11240"/>
          </w:cols>
          <w:pgMar w:left="320" w:top="118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color w:val="auto"/>
        </w:rPr>
        <w:t>Section 5. Confidentiality</w:t>
      </w:r>
    </w:p>
    <w:p>
      <w:pPr>
        <w:spacing w:after="0" w:line="20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Nondisclosure of Confidential Information. Each Party shall keep confidential all confidential information, in whatever form, relating to a Party or its finances, accounts, business, technologies, products, customers or suppliers obtained from the other Party during the performance of APS’s services hereunder (the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“Confidential Information”), and neither Party will disclose any Confidential Information to any other person or entity, except as permitted below. Confidential Information includes the terms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Disclosure of Confidential Information. The foregoing is not intended to prohibit, nor shall it be construed as prohibiting, either Party from making such</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disclosures of Confidential Information that either Party reasonably believes are required by law or any regulatory requirement or authority, including APS’s disclosures to clear client conflicts and as may be required by FedRBank P2014 in unrelated bankruptcy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Either Party may disclose Confidential Information to its Affiliates, and its and their directors, officers, employees, partners, subcontractors, auditors, accountants,</w:t>
      </w:r>
    </w:p>
    <w:p>
      <w:pPr>
        <w:spacing w:after="0" w:line="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agents and legal advisors (collectively, “Representatives”), but only if such Representatives reasonably need to know the Confidential Information as it relates to the services being provided under this Agreement and such Representatives are bound by similar confidentiality obligations. Each Party is responsible for any breach of these confidentiality obligations by any of its Representatives. In addition, APS may use the Company’s Confidential Information obtained in connection with, and/or generated in the performance of, the services for benchmarking and related purposes, to augment the consulting offerings APS provides</w:t>
      </w:r>
    </w:p>
    <w:p>
      <w:pPr>
        <w:jc w:val="both"/>
        <w:spacing w:after="0" w:line="222" w:lineRule="auto"/>
        <w:rPr>
          <w:sz w:val="20"/>
          <w:szCs w:val="20"/>
          <w:color w:val="auto"/>
        </w:rPr>
      </w:pPr>
      <w:r>
        <w:rPr>
          <w:rFonts w:ascii="Times New Roman" w:cs="Times New Roman" w:eastAsia="Times New Roman" w:hAnsi="Times New Roman"/>
          <w:sz w:val="17"/>
          <w:szCs w:val="17"/>
          <w:color w:val="auto"/>
        </w:rPr>
        <w:t>to the Company and other clients provided that APS will only use such information on an aggregated and anonymized basis and will not, in any circumstances, identify the Company in connection with such benchmarking and related purposes and in all such cases, APS shall comply with applicable laws and professional obligations.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Marketing. </w:t>
      </w:r>
      <w:r>
        <w:rPr>
          <w:rFonts w:ascii="Times New Roman" w:cs="Times New Roman" w:eastAsia="Times New Roman" w:hAnsi="Times New Roman"/>
          <w:sz w:val="17"/>
          <w:szCs w:val="17"/>
          <w:color w:val="auto"/>
        </w:rPr>
        <w:t>APS will have the right to disclose to any person that it provided services to the Company and a general description of such services, but APS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provide any other information about its involvement with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Exclusions. </w:t>
      </w:r>
      <w:r>
        <w:rPr>
          <w:rFonts w:ascii="Times New Roman" w:cs="Times New Roman" w:eastAsia="Times New Roman" w:hAnsi="Times New Roman"/>
          <w:sz w:val="17"/>
          <w:szCs w:val="17"/>
          <w:color w:val="auto"/>
        </w:rPr>
        <w:t>The confidentiality provisions of this Agreement will not apply to any information that (a) is or becomes generally available to the public through no</w:t>
      </w:r>
    </w:p>
    <w:p>
      <w:pPr>
        <w:spacing w:after="0" w:line="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action by either Party or its Representatives (as defined below), (b) are or become available to either Party on a non-confidential basis from a source that such Party reasonably believes is lawfully permitted to so provide, or (c) is independently developed by either Party without the use of the Confidential Information of the other Party.</w:t>
      </w:r>
    </w:p>
    <w:p>
      <w:pPr>
        <w:spacing w:after="0" w:line="18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b w:val="1"/>
          <w:bCs w:val="1"/>
          <w:color w:val="auto"/>
        </w:rPr>
        <w:t xml:space="preserve">Return or Destruction of Information. </w:t>
      </w:r>
      <w:r>
        <w:rPr>
          <w:rFonts w:ascii="Times New Roman" w:cs="Times New Roman" w:eastAsia="Times New Roman" w:hAnsi="Times New Roman"/>
          <w:sz w:val="17"/>
          <w:szCs w:val="17"/>
          <w:color w:val="auto"/>
        </w:rPr>
        <w:t>At the conclusion of this Agreement, the receiving Party and its Representatives may, and will if so requested in writing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disclosing Party, promptly return to the disclosing Party all tangible Confidential Information provided to the receiving Party and its Representative and will destroy/delete all summaries, notes, studies, compilations or written or electronic copies and records that reflect any of the Confidential Information prepared</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by either Party or any of its Representatives. Such destruction/deletion (or return/delivery) will be confirmed in writing. The foregoing obligation to return or destroy documents shall not extend to (i) documents the receiving Party is obligated to retain pursuant to any applicable law, rule, regulation, policy or by a competent authority, or (ii) any computer files or documents created as a result of automatic archiving and backup procedures provided that any such retained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shall remain subject to this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Expiration. </w:t>
      </w:r>
      <w:r>
        <w:rPr>
          <w:rFonts w:ascii="Times New Roman" w:cs="Times New Roman" w:eastAsia="Times New Roman" w:hAnsi="Times New Roman"/>
          <w:sz w:val="17"/>
          <w:szCs w:val="17"/>
          <w:color w:val="auto"/>
        </w:rPr>
        <w:t>The obligations of the Parties under this section shall survive the end of any engagement between the Parties for a period of three (3)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Intellectual Property</w:t>
      </w:r>
    </w:p>
    <w:p>
      <w:pPr>
        <w:spacing w:after="0" w:line="2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“Intellectual Property” means patents, registered designs, registered trademarks and applications and the right to apply for any of the foregoing, copyright, design rights, topography rights, database rights, brands, trademarks, utility model rights, rights in the nature of copyright, rights in inventions and all other industrial, commercial and intellectual property rights and all other rights or forms of protection having equivalent or similar effect to any of the foregoing arising anywhere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world.</w:t>
      </w:r>
    </w:p>
    <w:p>
      <w:pPr>
        <w:spacing w:after="0" w:line="18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“APS Intellectual Property” means any Intellectual Property that APS has created, acquired or developed prior to the date of and/or separately from the Agreement and any enhancements, developments and/or improvements to any of the foregoing by and/or on behalf of APS during the course of, and/or in</w:t>
      </w:r>
    </w:p>
    <w:p>
      <w:pPr>
        <w:spacing w:after="0" w:line="207" w:lineRule="auto"/>
        <w:rPr>
          <w:sz w:val="20"/>
          <w:szCs w:val="20"/>
          <w:color w:val="auto"/>
        </w:rPr>
      </w:pPr>
      <w:r>
        <w:rPr>
          <w:rFonts w:ascii="Times New Roman" w:cs="Times New Roman" w:eastAsia="Times New Roman" w:hAnsi="Times New Roman"/>
          <w:sz w:val="17"/>
          <w:szCs w:val="17"/>
          <w:color w:val="auto"/>
        </w:rPr>
        <w:t>performance of, the Agreement.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“Company Intellectual Property” means any Intellectual Property that APS creates specifically for the Company in the performance of the services that is not APS Intellectual Property.</w:t>
      </w:r>
    </w:p>
    <w:p>
      <w:pPr>
        <w:jc w:val="both"/>
        <w:spacing w:after="0" w:line="230" w:lineRule="auto"/>
        <w:rPr>
          <w:sz w:val="20"/>
          <w:szCs w:val="20"/>
          <w:color w:val="auto"/>
        </w:rPr>
      </w:pPr>
      <w:r>
        <w:rPr>
          <w:rFonts w:ascii="Times New Roman" w:cs="Times New Roman" w:eastAsia="Times New Roman" w:hAnsi="Times New Roman"/>
          <w:sz w:val="17"/>
          <w:szCs w:val="17"/>
          <w:color w:val="auto"/>
        </w:rPr>
        <w:t>As between the Parties, the Company’s Intellectual Property shall be owned by the Company upon full payment of all Fees and expenses due to APS and to that effect, subject to the payment of such Fees and expenses, APS hereby assigns its rights and interests in and the Company’s Intellectual Property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between the Parties, the APS Intellectual Property shall be owned by APS and except to the extent explicitly agreed hereunder the Company shall not acquire</w:t>
      </w:r>
    </w:p>
    <w:p>
      <w:pPr>
        <w:spacing w:after="0" w:line="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any title or interest in and to the APS Intellectual Property. APS hereby grants to the Company a non-exclusive, non-transferable, irrevocable, royalty-free, worldwide license to use the APS Intellectual Property only to the extent necessary to enable the Company to use and benefit from the results of the services, including the Company’s Intellectual Property, subject to and in accordance with the terms of the Agreement.</w:t>
      </w:r>
    </w:p>
    <w:p>
      <w:pPr>
        <w:sectPr>
          <w:pgSz w:w="11900" w:h="16838" w:orient="portrait"/>
          <w:cols w:equalWidth="0" w:num="1">
            <w:col w:w="11240"/>
          </w:cols>
          <w:pgMar w:left="320" w:top="118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color w:val="auto"/>
        </w:rPr>
        <w:t>Section 7. Limitation of Liability</w:t>
      </w:r>
    </w:p>
    <w:p>
      <w:pPr>
        <w:spacing w:after="0" w:line="20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THE APS PARTIES SHALL NOT BE LIABLE TO THE COMPANY, OR ANY PARTY ASSERTING CLAIMS ON BEHALF OF THE COMPANY, EXCEPT FOR DIRECT DAMAGES FOUND IN A FINAL DETERMINATION TO BE THE DIRECT RESULT OF THE FRAUD, GROSS NEGLIGENCE, OR</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WILLFUL MISCONDUCT OF APS. THE APS PARTIES SHALL NOT BE LIABLE FOR INCIDENTAL, CONSEQUENTIAL OR SPECIAL DAMAGES, LOST PROFITS, LOST DATA, REPUTATIONAL DAMAGES, PUNITIVE DAMAGES OR ANY OTHER SIMILAR DAMAGES UNDER ANY CIRCUMSTANCES, EVEN IF THEY HAVE BEEN ADVISED OF THE POSSIBILITY OF SUCH DAMAGES. THE APS PARTIES’ AGGREGATE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LIABILITY, WHETHER IN TORT, CONTRACT, OR OTHERWISE SHALL NOT EXCEED ONE MILLION DOLLARS ($1,000,000) (THE “LIABILITY CAP”).</w:t>
      </w:r>
    </w:p>
    <w:p>
      <w:pPr>
        <w:spacing w:after="0" w:line="1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Nothing in this Agreement, including the Liability Cap, shall be deemed to limit or exclude APS’s liability for (a) death or personal injury caused by negligence, (b) gross negligence, fraud or willful misconduct, or (c) to the extent such claim cannot by capped or limited by applicable law.</w:t>
      </w:r>
    </w:p>
    <w:p>
      <w:pPr>
        <w:spacing w:after="0" w:line="16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APS is not responsible for any third-party products or services separately procured by the Company. The Company’s sole and exclusive rights and remedies with respect to any such third-party products or services are against the third-party vendor and not against APS, whether or not APS is instrumental in procuring such third-party product or service.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8. Indemnification</w:t>
      </w:r>
    </w:p>
    <w:p>
      <w:pPr>
        <w:spacing w:after="0" w:line="20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The Company shall indemnify, hold harmless and defend APS and its Affiliates and its and their partners, directors, officers and employees (collectively, the “APS Parties”) from and against all claims (including without limitation claims from Authorized Recipients), liabilities, losses, expenses and damages (“Loss”)</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incurred or suffered arising out of or as a result of the performance by APS of the services or its obligations hereunder, or any third party’s use of or reliance on the services provided under this Agreement or Work Product. The indemnity herein shall not apply to the extent such Loss directly arises as a result of APS’ Parties: (i) gross negligence; or (ii) willful misconduct; unless and to the extent APS was complying with any instructions given by, or on behalf of, the Company.</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The Company shall pay Losses as incurred, including reasonable legal fees and disbursements of counsel. If, in the opinion of counsel, representing both Parties in the matter covered by this indemnification creates a potential conflict of interest, the APS Parties may engage separate counsel to represent them at the Company’s expense.</w:t>
      </w:r>
    </w:p>
    <w:p>
      <w:pPr>
        <w:spacing w:after="0" w:line="19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The Company shall specifically include and cover APS employees and agents serving as directors or officers of the Company or affiliates with direct coverage under the Company’s policy for liability insurance covering its directors, officers and any equivalently placed employees (“D&amp;O insurance”) in at least $10 million for any one incident. The Company will maintain such D&amp;O insurance coverage for the period through which claims can be made against such persons.</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The Company shall, at the request of APS, provide a copy of its current D&amp;O policy, a certificate(s) of insurance evidencing the policy is in full force and effect, and any other documents as APS may reasonably request evidencing the appointment and coverage of the indemnitees. The Company disclaims a right to distribution from the D&amp;O insurance coverage with respect to such persons. In the event that the Company is unable to include APS employees and agents under</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the Company’s policy or does not have first dollar coverage acceptable to APS (e.g., there are claims or threatened claims against the policy), APS may, at its option, purchase a separate D&amp;O insurance policy (at the Company’s expense) to cover APS employees and agents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APS employees serving as directors or officers of the Company or affiliates will receive the benefit of the most favorable indemnification provisions provided by</w:t>
      </w:r>
    </w:p>
    <w:p>
      <w:pPr>
        <w:spacing w:after="0" w:line="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the Company to its directors, officers and any equivalently placed employees, whether under the Company’s charter or by-laws, by contract or otherwise. The Company’s indemnification obligations in this Section shall be primary to, and without allocation against, any similar indemnification obligations that APS may offer to its personnel generally, and the Company’s D&amp;O insurance coverage for the indemnitees shall be specifically primary to, and without allocation against,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other valid and collectible insurance coverage that may apply to the indemnitees (whether provided by APS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9. Non-Solicitation of Employees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acknowledges and agrees that APS has made a significant monetary investment recruiting, hiring and training its personnel. During the term of this</w:t>
      </w:r>
    </w:p>
    <w:p>
      <w:pPr>
        <w:spacing w:after="0" w:line="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Agreement and for a period of one year after its termination or expiration (the “Restrictive Period”), the Company agrees not to directly or indirectly solicit the employment of any of APS’s Partner &amp; Managing Directors, Partners, Directors, or other employees/contractors who performed services under this Agreement or whom the Company or its Affiliates had interactions with as a result of the services provided under this Agreement. The following shall not be a violation of this</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section: (i) general solicitations, or recruitment through advertisements, job boards, websites, or other similar channels not targeted at APS personnel, or (ii) hiring former APS personnel who have not been employed by APS for a period of six (6) months prior to being contacted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during the Restrictive Period the Company directly or indirectly solicits away, hires or contracts with any of APS’s Partner &amp; Managing Directors, Partners,</w:t>
      </w:r>
    </w:p>
    <w:p>
      <w:pPr>
        <w:spacing w:after="0" w:line="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Directors, or other employees/contractors in violation of the preceding paragraph, the Company agrees to pay to APS as liquidated damages and not as a penalty the total cash compensation (salary plus any cash bonuses) paid to such person during the preceding twelve months. The Company acknowledges and agrees that liquidated damages in such amounts are (x) fair, reasonable and necessary under the circumstances to reimburse APS for the costs of recruiting, hiring and</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training its employees as well as the lost profits and opportunity costs related to such personnel, and to protect the significant investment that APS has made in its Partner &amp; Managing Directors, Partners, Directors, and other employees/ consultants; and (y) appropriate due to the difficulty of calculating the exact amount and value of that investment.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provisions of this section shall apply except to the extent the provisions conflict with applicable law.</w:t>
      </w:r>
    </w:p>
    <w:p>
      <w:pPr>
        <w:sectPr>
          <w:pgSz w:w="11900" w:h="16838" w:orient="portrait"/>
          <w:cols w:equalWidth="0" w:num="1">
            <w:col w:w="11240"/>
          </w:cols>
          <w:pgMar w:left="320" w:top="1183"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color w:val="auto"/>
        </w:rPr>
        <w:t>Section 10. Governing Law and Arbitration</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Agreement is governed by and shall be construed in accordance with the laws of the State of New York with respect to contracts made and to be performed entirely therein and without regard to choice of law or principles thereof.</w:t>
      </w:r>
    </w:p>
    <w:p>
      <w:pPr>
        <w:spacing w:after="0" w:line="187"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Any controversy or claim arising out of or relating to the Agreement, or the breach thereof, shall be settled by arbitration. Each Party shall appoint one non-neutral arbitrator. The two party arbitrators shall select a third arbitrator. If within 30 days after their appointment the two party arbitrators do not select a third arbitrator, the third arbitrator shall be selected by the American Arbitration Association (AAA). The arbitration shall be conducted in New York, New York under</w:t>
      </w:r>
    </w:p>
    <w:p>
      <w:pPr>
        <w:spacing w:after="0" w:line="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the AAA’s Commercial Arbitration Rules, and the arbitrators shall issue a reasoned award. The arbitrators may award costs and attorneys’ fees to the prevailing Party. Judgment on the award rendered by the arbitrators may be entered in any court having jurisdiction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the foregoing, any Party may proceed directly to a court of competent jurisdiction to enforce the terms of this Agreement for any claim in</w:t>
      </w:r>
    </w:p>
    <w:p>
      <w:pPr>
        <w:spacing w:after="0" w:line="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connection with (i) the non-payment of Fees or expenses due under this Agreement, or (ii) the non-performance of obligations under the Indemnification section of these Terms. For the purposes of this paragraph, the Parties expressly consent to the jurisdiction of all Federal and state courts located in New York, New York. In any court proceeding arising out of this Agreement, the Parties hereby waive any right to trial by jury.</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Equitable Remedies. Each Party acknowledges and agrees that money damages alone may not be an adequate remedy for a breach of the Agreement. Each Party agrees that the non-breaching Party shall have the right to seek a restraining order and/or an injunction for any breach of the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11. Termination and Survival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Agreement may be terminated at any time by ten days’ written notice by one Party to the other; provided, however, that notwithstanding such termination</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APS will be entitled to any Fees and expenses incurred through the termination date (for fixed fee engagements, fees will be pro rata based on the amount of time completed). Such payment obligation shall inure to the benefit of any successor or assignee of APS.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unless the Agreement is terminated by the Company due to APS’s material breach (and such material breach continues after 30 days’ written notice</w:t>
      </w:r>
    </w:p>
    <w:p>
      <w:pPr>
        <w:spacing w:after="0" w:line="6"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7"/>
          <w:szCs w:val="17"/>
          <w:color w:val="auto"/>
        </w:rPr>
        <w:t>thereof and opportunity to cure) APS shall remain entitled to the success fee(s), if any, that otherwise would be payable during the 12 months after the date of termination of the Agreement.</w:t>
      </w:r>
    </w:p>
    <w:p>
      <w:pPr>
        <w:jc w:val="both"/>
        <w:spacing w:after="0" w:line="238" w:lineRule="auto"/>
        <w:rPr>
          <w:sz w:val="20"/>
          <w:szCs w:val="20"/>
          <w:color w:val="auto"/>
        </w:rPr>
      </w:pPr>
      <w:r>
        <w:rPr>
          <w:rFonts w:ascii="Times New Roman" w:cs="Times New Roman" w:eastAsia="Times New Roman" w:hAnsi="Times New Roman"/>
          <w:sz w:val="17"/>
          <w:szCs w:val="17"/>
          <w:color w:val="auto"/>
        </w:rPr>
        <w:t>Sections 2, 4, 5, 7, 8, 9, 10, 11, 12, and 13 of these Terms, the provisions of Schedule 1 and the obligation to pay accrued fees and expenses shall survive the expiration or termination of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12. General</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Force Majeure. </w:t>
      </w:r>
      <w:r>
        <w:rPr>
          <w:rFonts w:ascii="Times New Roman" w:cs="Times New Roman" w:eastAsia="Times New Roman" w:hAnsi="Times New Roman"/>
          <w:sz w:val="17"/>
          <w:szCs w:val="17"/>
          <w:color w:val="auto"/>
        </w:rPr>
        <w:t>“Force Majeure Event” means any action, omission, act, event or circumstance which is beyond the reasonable control of APS and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prevents APS from performing any of its obligations under the Agreement, including failure to meet any standard of performance.</w:t>
      </w:r>
    </w:p>
    <w:p>
      <w:pPr>
        <w:spacing w:after="0" w:line="15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If a Force Majeure Event occurs, APS will, as soon as reasonably practicable, notify the Company of its occurrence, nature and the anticipated impact it will have on APS’s ability to perform its obligations under the Agreement and APS will have no liability in respect of the non-performance of such obligations during the</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continuation of the Force Majeure Event and for such time after its ends as is reasonably necessary for APS to recommence its affected performance under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Anti-Money Laundering Compliance. </w:t>
      </w:r>
      <w:r>
        <w:rPr>
          <w:rFonts w:ascii="Times New Roman" w:cs="Times New Roman" w:eastAsia="Times New Roman" w:hAnsi="Times New Roman"/>
          <w:sz w:val="17"/>
          <w:szCs w:val="17"/>
          <w:color w:val="auto"/>
        </w:rPr>
        <w:t>APS is obliged to and shall comply with certain regulations pertaining to its activities, including client take-on and the</w:t>
      </w:r>
    </w:p>
    <w:p>
      <w:pPr>
        <w:spacing w:after="0" w:line="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7"/>
          <w:szCs w:val="17"/>
          <w:color w:val="auto"/>
        </w:rPr>
        <w:t>services contemplated during this engagement (for example UK, US and European anti- money laundering regulations as well as economic sanctions regulations administered by OFAC and/ or the Department of State in the US). The Company acknowledges and agrees that APS will conduct customer due diligence checks at the outset of the business relationship and periodically thereafter, which may involve verifying the identity of the Company, the beneficial owners of the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Company, or their associated persons and entities, as well as other persons and entities with which APS is dealing in connection with this engagement. In that context, APS may request such information and documentation as is required for these purposes and APS shall retain all information and documentation provided in accordance with applicable laws and its document retention policy, as amended from time to time.</w:t>
      </w:r>
    </w:p>
    <w:p>
      <w:pPr>
        <w:spacing w:after="0" w:line="18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b w:val="1"/>
          <w:bCs w:val="1"/>
          <w:color w:val="auto"/>
        </w:rPr>
        <w:t xml:space="preserve">Anti-Bribery and Corruption. </w:t>
      </w:r>
      <w:r>
        <w:rPr>
          <w:rFonts w:ascii="Times New Roman" w:cs="Times New Roman" w:eastAsia="Times New Roman" w:hAnsi="Times New Roman"/>
          <w:sz w:val="17"/>
          <w:szCs w:val="17"/>
          <w:color w:val="auto"/>
        </w:rPr>
        <w:t>The Parties shall comply with all applicable laws, statutes, regulations, and codes relating to anti-bribery and anti-corruption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but not limited to the Bribery Act 2010). Each Party shall notify the other immediately if it has reason to suspect that any breach of the foregoing has occurred, is occurring or is likely to occur in connection with this Agreement, its subject matter or the receipt or payment (as the case may be) of any moneys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or by or on behalf of the Company.</w:t>
      </w:r>
    </w:p>
    <w:p>
      <w:pPr>
        <w:spacing w:after="0" w:line="18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If either Party (the “Defaulting Party”) breaches this section, the other Party (the “Non-Defaulting Party”) may, notwithstanding any other terms of this Agreement terminate this Agreement and may recover from the Defaulting Party any loss or damage suffered by the Non-Defaulting Party resulting from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termination.</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rights and remedies under this section entitled ‘Anti-Bribery and Corruption’ shall survive acceptance and payment of any moneys and be without prejudice to any other right or remedy available to the Non-Defaulting Party.</w:t>
      </w:r>
    </w:p>
    <w:p>
      <w:pPr>
        <w:sectPr>
          <w:pgSz w:w="11900" w:h="16838" w:orient="portrait"/>
          <w:cols w:equalWidth="0" w:num="1">
            <w:col w:w="11240"/>
          </w:cols>
          <w:pgMar w:left="320" w:top="1183" w:right="339" w:bottom="1440" w:gutter="0" w:footer="0" w:header="0"/>
        </w:sectPr>
      </w:pPr>
    </w:p>
    <w:bookmarkStart w:id="164" w:name="page165"/>
    <w:bookmarkEnd w:id="164"/>
    <w:p>
      <w:pPr>
        <w:jc w:val="both"/>
        <w:spacing w:after="0" w:line="231" w:lineRule="auto"/>
        <w:rPr>
          <w:sz w:val="20"/>
          <w:szCs w:val="20"/>
          <w:color w:val="auto"/>
        </w:rPr>
      </w:pPr>
      <w:r>
        <w:rPr>
          <w:rFonts w:ascii="Times New Roman" w:cs="Times New Roman" w:eastAsia="Times New Roman" w:hAnsi="Times New Roman"/>
          <w:sz w:val="17"/>
          <w:szCs w:val="17"/>
          <w:b w:val="1"/>
          <w:bCs w:val="1"/>
          <w:color w:val="auto"/>
        </w:rPr>
        <w:t xml:space="preserve">Severability. </w:t>
      </w:r>
      <w:r>
        <w:rPr>
          <w:rFonts w:ascii="Times New Roman" w:cs="Times New Roman" w:eastAsia="Times New Roman" w:hAnsi="Times New Roman"/>
          <w:sz w:val="17"/>
          <w:szCs w:val="17"/>
          <w:color w:val="auto"/>
        </w:rPr>
        <w:t>If any provision(s) of the Agreement are, in any jurisdiction, found to be invalid or unenforceable, that provision or parts thereof (as the case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will to that extent and in that jurisdiction be deemed not to form part of the Agreement and the enforceability of the remainder will not be affected in such jurisdiction.</w:t>
      </w:r>
    </w:p>
    <w:p>
      <w:pPr>
        <w:spacing w:after="0" w:line="188"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b w:val="1"/>
          <w:bCs w:val="1"/>
          <w:color w:val="auto"/>
        </w:rPr>
        <w:t xml:space="preserve">Entire Agreement. </w:t>
      </w:r>
      <w:r>
        <w:rPr>
          <w:rFonts w:ascii="Times New Roman" w:cs="Times New Roman" w:eastAsia="Times New Roman" w:hAnsi="Times New Roman"/>
          <w:sz w:val="17"/>
          <w:szCs w:val="17"/>
          <w:color w:val="auto"/>
        </w:rPr>
        <w:t>This Agreement, including the letter, the Terms and the schedule(s), contains the entire understanding of the Parties relating to the services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supersedes any and all prior proposals, communications, agreements, understandings, representations, or estimates among the Parties with respect to such services. Each Party agrees that in entering into the Agreement other than as expressly included in the Agreement it does not rely on any statement,</w:t>
      </w:r>
    </w:p>
    <w:p>
      <w:pPr>
        <w:spacing w:after="0" w:line="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representation, undertaking, agreement or understanding of any nature made by any person. The Agreement, including the letter, the Terms and the schedule(s), may not be amended or modified in any respect except in a writing signed by the Parties.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Related Matters. </w:t>
      </w:r>
      <w:r>
        <w:rPr>
          <w:rFonts w:ascii="Times New Roman" w:cs="Times New Roman" w:eastAsia="Times New Roman" w:hAnsi="Times New Roman"/>
          <w:sz w:val="17"/>
          <w:szCs w:val="17"/>
          <w:color w:val="auto"/>
        </w:rPr>
        <w:t>If an APS Party is required by applicable law, legal process or government action to produce information or testimony as a witness with respect</w:t>
      </w:r>
    </w:p>
    <w:p>
      <w:pPr>
        <w:spacing w:after="0" w:line="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to this Agreement, the Company shall reimburse APS for any professional time and expenses (including reasonable external and internal legal costs and e-discovery costs) incurred to respond to the request, except in cases where an APS Party is a party to the proceeding or the subject of the investigation.</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Joint and Several Liability. </w:t>
      </w:r>
      <w:r>
        <w:rPr>
          <w:rFonts w:ascii="Times New Roman" w:cs="Times New Roman" w:eastAsia="Times New Roman" w:hAnsi="Times New Roman"/>
          <w:sz w:val="17"/>
          <w:szCs w:val="17"/>
          <w:color w:val="auto"/>
        </w:rPr>
        <w:t>If more than one counterparty enters into this Agreement with APS, the liability of each such counterparty shall be joint and several,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APS may take action against, or release or compromise the liability of, any counterparty, without affecting the liability of any other counterparty.</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Third-Party Beneficiaries. </w:t>
      </w:r>
      <w:r>
        <w:rPr>
          <w:rFonts w:ascii="Times New Roman" w:cs="Times New Roman" w:eastAsia="Times New Roman" w:hAnsi="Times New Roman"/>
          <w:sz w:val="17"/>
          <w:szCs w:val="17"/>
          <w:color w:val="auto"/>
        </w:rPr>
        <w:t>Except where expressly stated to be for the benefit of Affiliates of APS (and such Affiliates will acquire rights to enforce the relevant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a person who is not a party to the Agreement has no rights to enforce any terms of the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Notices. </w:t>
      </w:r>
      <w:r>
        <w:rPr>
          <w:rFonts w:ascii="Times New Roman" w:cs="Times New Roman" w:eastAsia="Times New Roman" w:hAnsi="Times New Roman"/>
          <w:sz w:val="17"/>
          <w:szCs w:val="17"/>
          <w:color w:val="auto"/>
        </w:rPr>
        <w:t>All notices required or permitted to be delivered under the Agreement shall be sent, if to APS, to: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AlixPartners, LLP</w:t>
      </w:r>
    </w:p>
    <w:p>
      <w:pPr>
        <w:spacing w:after="0" w:line="207" w:lineRule="auto"/>
        <w:rPr>
          <w:sz w:val="20"/>
          <w:szCs w:val="20"/>
          <w:color w:val="auto"/>
        </w:rPr>
      </w:pPr>
      <w:r>
        <w:rPr>
          <w:rFonts w:ascii="Times New Roman" w:cs="Times New Roman" w:eastAsia="Times New Roman" w:hAnsi="Times New Roman"/>
          <w:sz w:val="17"/>
          <w:szCs w:val="17"/>
          <w:color w:val="auto"/>
        </w:rPr>
        <w:t>2000 Town Center, Suite 2400</w:t>
      </w:r>
    </w:p>
    <w:p>
      <w:pPr>
        <w:spacing w:after="0" w:line="223" w:lineRule="auto"/>
        <w:rPr>
          <w:sz w:val="20"/>
          <w:szCs w:val="20"/>
          <w:color w:val="auto"/>
        </w:rPr>
      </w:pPr>
      <w:r>
        <w:rPr>
          <w:rFonts w:ascii="Times New Roman" w:cs="Times New Roman" w:eastAsia="Times New Roman" w:hAnsi="Times New Roman"/>
          <w:sz w:val="17"/>
          <w:szCs w:val="17"/>
          <w:color w:val="auto"/>
        </w:rPr>
        <w:t>Southfield, MI 48075</w:t>
      </w:r>
    </w:p>
    <w:p>
      <w:pPr>
        <w:spacing w:after="0"/>
        <w:rPr>
          <w:sz w:val="20"/>
          <w:szCs w:val="20"/>
          <w:color w:val="auto"/>
        </w:rPr>
      </w:pPr>
      <w:r>
        <w:rPr>
          <w:rFonts w:ascii="Times New Roman" w:cs="Times New Roman" w:eastAsia="Times New Roman" w:hAnsi="Times New Roman"/>
          <w:sz w:val="17"/>
          <w:szCs w:val="17"/>
          <w:color w:val="auto"/>
        </w:rPr>
        <w:t>Attention: Chief Legal Officer</w:t>
      </w:r>
    </w:p>
    <w:p>
      <w:pPr>
        <w:spacing w:after="0" w:line="18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and if to the Company, to the address set forth in the Agreement, to the attention of the Company’s General Counsel, or to such other name or address as may be given in writing to APS. All notices under the Agreement shall be sufficient only if delivered by overnight mail. Any notice shall be deemed to be given only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actual receipt.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13. Data Protection</w:t>
      </w:r>
    </w:p>
    <w:p>
      <w:pPr>
        <w:spacing w:after="0" w:line="209" w:lineRule="exact"/>
        <w:rPr>
          <w:sz w:val="20"/>
          <w:szCs w:val="20"/>
          <w:color w:val="auto"/>
        </w:rPr>
      </w:pPr>
    </w:p>
    <w:p>
      <w:pPr>
        <w:spacing w:after="0"/>
        <w:tabs>
          <w:tab w:leader="none" w:pos="320" w:val="left"/>
          <w:tab w:leader="none" w:pos="700" w:val="left"/>
          <w:tab w:leader="none" w:pos="1280" w:val="left"/>
          <w:tab w:leader="none" w:pos="2200" w:val="left"/>
          <w:tab w:leader="none" w:pos="2580" w:val="left"/>
          <w:tab w:leader="none" w:pos="3420" w:val="left"/>
          <w:tab w:leader="none" w:pos="3820" w:val="left"/>
          <w:tab w:leader="none" w:pos="4300" w:val="left"/>
          <w:tab w:leader="none" w:pos="4800" w:val="left"/>
          <w:tab w:leader="none" w:pos="5480" w:val="left"/>
          <w:tab w:leader="none" w:pos="5940" w:val="left"/>
          <w:tab w:leader="none" w:pos="6320" w:val="left"/>
          <w:tab w:leader="none" w:pos="6860" w:val="left"/>
          <w:tab w:leader="none" w:pos="7180" w:val="left"/>
          <w:tab w:leader="none" w:pos="7540" w:val="left"/>
          <w:tab w:leader="none" w:pos="8020" w:val="left"/>
          <w:tab w:leader="none" w:pos="8520" w:val="left"/>
          <w:tab w:leader="none" w:pos="9400" w:val="left"/>
          <w:tab w:leader="none" w:pos="10320" w:val="left"/>
          <w:tab w:leader="none" w:pos="11040" w:val="left"/>
        </w:tabs>
        <w:rPr>
          <w:sz w:val="20"/>
          <w:szCs w:val="20"/>
          <w:color w:val="auto"/>
        </w:rPr>
      </w:pPr>
      <w:r>
        <w:rPr>
          <w:rFonts w:ascii="Times New Roman" w:cs="Times New Roman" w:eastAsia="Times New Roman" w:hAnsi="Times New Roman"/>
          <w:sz w:val="17"/>
          <w:szCs w:val="17"/>
          <w:color w:val="auto"/>
        </w:rPr>
        <w:t>To</w:t>
        <w:tab/>
        <w:t>the</w:t>
        <w:tab/>
        <w:t>extent</w:t>
        <w:tab/>
        <w:t>applicable,</w:t>
        <w:tab/>
        <w:t>the</w:t>
        <w:tab/>
        <w:t>Company</w:t>
        <w:tab/>
        <w:t>and</w:t>
        <w:tab/>
        <w:t>APS</w:t>
        <w:tab/>
        <w:t>shall</w:t>
        <w:tab/>
        <w:t>comply</w:t>
        <w:tab/>
        <w:t>with</w:t>
        <w:tab/>
        <w:t>the</w:t>
        <w:tab/>
        <w:t>terms</w:t>
        <w:tab/>
        <w:t>of</w:t>
        <w:tab/>
        <w:t>the</w:t>
        <w:tab/>
        <w:t>APS</w:t>
        <w:tab/>
        <w:t>Data</w:t>
        <w:tab/>
        <w:t>Protection</w:t>
        <w:tab/>
        <w:t>Addendum</w:t>
        <w:tab/>
        <w:t>(located</w:t>
        <w:tab/>
        <w:t>at:</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https://www.alixpartners.com/policies/processor-data-protection-addendum/), which form part of the Agreement. The Data Protection Schedule of this Agreement shall apply to the Data Protection Addendum.</w:t>
      </w:r>
    </w:p>
    <w:p>
      <w:pPr>
        <w:sectPr>
          <w:pgSz w:w="11900" w:h="16838" w:orient="portrait"/>
          <w:cols w:equalWidth="0" w:num="1">
            <w:col w:w="11240"/>
          </w:cols>
          <w:pgMar w:left="320" w:top="1183" w:right="339" w:bottom="1440" w:gutter="0" w:footer="0" w:header="0"/>
        </w:sectPr>
      </w:pPr>
    </w:p>
    <w:bookmarkStart w:id="165" w:name="page166"/>
    <w:bookmarkEnd w:id="165"/>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SUBSIDIARIES OF CLOVER HEALTH INVESTMENTS, CORP.*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 of Subsidiary</w:t>
            </w:r>
          </w:p>
        </w:tc>
        <w:tc>
          <w:tcPr>
            <w:tcW w:w="160" w:type="dxa"/>
            <w:vAlign w:val="bottom"/>
          </w:tcPr>
          <w:p>
            <w:pPr>
              <w:spacing w:after="0"/>
              <w:rPr>
                <w:sz w:val="19"/>
                <w:szCs w:val="19"/>
                <w:color w:val="auto"/>
              </w:rPr>
            </w:pP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tc>
      </w:tr>
      <w:tr>
        <w:trPr>
          <w:trHeight w:val="292"/>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Clover Health Labs, LLC</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California</w:t>
            </w:r>
          </w:p>
        </w:tc>
      </w:tr>
      <w:tr>
        <w:trPr>
          <w:trHeight w:val="28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Clover Health Holdings, Inc.</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8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Clover Health Partners, LLC</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8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Clover Health, LLC</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Jersey</w:t>
            </w:r>
          </w:p>
        </w:tc>
      </w:tr>
      <w:tr>
        <w:trPr>
          <w:trHeight w:val="28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Clover HMO of New Jersey Inc.</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Jersey</w:t>
            </w:r>
          </w:p>
        </w:tc>
      </w:tr>
      <w:tr>
        <w:trPr>
          <w:trHeight w:val="28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Clover Insurance Company</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Jersey</w:t>
            </w:r>
          </w:p>
        </w:tc>
      </w:tr>
      <w:tr>
        <w:trPr>
          <w:trHeight w:val="28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Medical Service Professionals of NJ LLC</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Jersey</w:t>
            </w:r>
          </w:p>
        </w:tc>
      </w:tr>
      <w:tr>
        <w:trPr>
          <w:trHeight w:val="273"/>
        </w:trPr>
        <w:tc>
          <w:tcPr>
            <w:tcW w:w="5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Juxly, LLC</w:t>
            </w:r>
          </w:p>
        </w:tc>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Missouri</w:t>
            </w:r>
          </w:p>
        </w:tc>
      </w:tr>
    </w:tbl>
    <w:p>
      <w:pPr>
        <w:spacing w:after="0" w:line="72" w:lineRule="exact"/>
        <w:rPr>
          <w:sz w:val="20"/>
          <w:szCs w:val="20"/>
          <w:color w:val="auto"/>
        </w:rPr>
      </w:pPr>
    </w:p>
    <w:p>
      <w:pPr>
        <w:ind w:firstLine="4"/>
        <w:spacing w:after="0" w:line="292" w:lineRule="auto"/>
        <w:tabs>
          <w:tab w:leader="none" w:pos="15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certain subsidiaries have been omitted because, considered in the aggregate as a single subsidiary, they would not constitute a significant subsidiary as of the end of the year covered by this report.</w:t>
      </w:r>
    </w:p>
    <w:p>
      <w:pPr>
        <w:sectPr>
          <w:pgSz w:w="11900" w:h="16838" w:orient="portrait"/>
          <w:cols w:equalWidth="0" w:num="1">
            <w:col w:w="11240"/>
          </w:cols>
          <w:pgMar w:left="320" w:top="1440"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00" w:lineRule="exact"/>
        <w:rPr>
          <w:sz w:val="20"/>
          <w:szCs w:val="20"/>
          <w:color w:val="auto"/>
        </w:rPr>
      </w:pPr>
    </w:p>
    <w:p>
      <w:pPr>
        <w:spacing w:after="0" w:line="202" w:lineRule="exact"/>
        <w:rPr>
          <w:sz w:val="20"/>
          <w:szCs w:val="20"/>
          <w:color w:val="auto"/>
        </w:rPr>
      </w:pPr>
    </w:p>
    <w:p>
      <w:pPr>
        <w:ind w:left="620" w:hanging="305"/>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S-3 (Registration No. 333-264801) of Clover Health Investments, Corp.;</w:t>
      </w:r>
    </w:p>
    <w:p>
      <w:pPr>
        <w:spacing w:after="0" w:line="167" w:lineRule="exact"/>
        <w:rPr>
          <w:rFonts w:ascii="Times New Roman" w:cs="Times New Roman" w:eastAsia="Times New Roman" w:hAnsi="Times New Roman"/>
          <w:sz w:val="17"/>
          <w:szCs w:val="17"/>
          <w:color w:val="auto"/>
        </w:rPr>
      </w:pPr>
    </w:p>
    <w:p>
      <w:pPr>
        <w:jc w:val="both"/>
        <w:ind w:left="620" w:hanging="305"/>
        <w:spacing w:after="0" w:line="273" w:lineRule="auto"/>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333-254947) pertaining to the 2020 Equity Incentive Plan of Clover Health Investments, Corp., 2020 Employee Stock Purchase Plan, of Clover Health Investments, Corp. and the Amended and Restated 2014 Equity Incentive Plan of Clover Health Investments, Corp.;</w:t>
      </w:r>
    </w:p>
    <w:p>
      <w:pPr>
        <w:spacing w:after="0" w:line="111" w:lineRule="exact"/>
        <w:rPr>
          <w:rFonts w:ascii="Times New Roman" w:cs="Times New Roman" w:eastAsia="Times New Roman" w:hAnsi="Times New Roman"/>
          <w:sz w:val="17"/>
          <w:szCs w:val="17"/>
          <w:color w:val="auto"/>
        </w:rPr>
      </w:pPr>
    </w:p>
    <w:p>
      <w:pPr>
        <w:ind w:left="620" w:hanging="305"/>
        <w:spacing w:after="0" w:line="292" w:lineRule="auto"/>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333-263401) pertaining to the registration of additional shares of Class A common stock under the 2020 Equity Incentive Plan of Clover Health Investments, Corp. and 2020 Employee Stock Purchase Plan, of Clover Health Investments, Corp.;</w:t>
      </w:r>
    </w:p>
    <w:p>
      <w:pPr>
        <w:spacing w:after="0" w:line="95" w:lineRule="exact"/>
        <w:rPr>
          <w:rFonts w:ascii="Times New Roman" w:cs="Times New Roman" w:eastAsia="Times New Roman" w:hAnsi="Times New Roman"/>
          <w:sz w:val="17"/>
          <w:szCs w:val="17"/>
          <w:color w:val="auto"/>
        </w:rPr>
      </w:pPr>
    </w:p>
    <w:p>
      <w:pPr>
        <w:ind w:left="620" w:hanging="305"/>
        <w:spacing w:after="0" w:line="292" w:lineRule="auto"/>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333-270395) pertaining to the registration of additional shares of Class A common stock under the 2020 Equity Incentive Plan of Clover Health Investments, Corp. and the 2020 Employee Stock Purchase Plan, of Clover Health Investments, Corp. and</w:t>
      </w:r>
    </w:p>
    <w:p>
      <w:pPr>
        <w:spacing w:after="0" w:line="95"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333-263403) pertaining to the 2022 Inducement Award Plan of Clover Health Investments, Corp.</w:t>
      </w:r>
    </w:p>
    <w:p>
      <w:pPr>
        <w:spacing w:after="0" w:line="24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of our reports dated March 14, 2024, with respect to the consolidated financial statements of Clover Health Investments, Corp. and the effectiveness of internal control over financial reporting of Clover Health Investments, Corp. included in this Annual Report (Form 10-K) of Clover Health Investments, Corp. for the year ended December 31, 2023.</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2024</w:t>
      </w:r>
    </w:p>
    <w:p>
      <w:pPr>
        <w:sectPr>
          <w:pgSz w:w="11900" w:h="16838" w:orient="portrait"/>
          <w:cols w:equalWidth="0" w:num="1">
            <w:col w:w="11240"/>
          </w:cols>
          <w:pgMar w:left="320" w:top="1365"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Toy, certify that:</w:t>
      </w:r>
    </w:p>
    <w:p>
      <w:pPr>
        <w:spacing w:after="0" w:line="220" w:lineRule="exact"/>
        <w:rPr>
          <w:sz w:val="20"/>
          <w:szCs w:val="20"/>
          <w:color w:val="auto"/>
        </w:rPr>
      </w:pPr>
    </w:p>
    <w:p>
      <w:pPr>
        <w:ind w:left="420" w:hanging="416"/>
        <w:spacing w:after="0"/>
        <w:tabs>
          <w:tab w:leader="none" w:pos="4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2023, of Clover Health Investments, Corp.;</w:t>
      </w:r>
    </w:p>
    <w:p>
      <w:pPr>
        <w:spacing w:after="0" w:line="219" w:lineRule="exact"/>
        <w:rPr>
          <w:rFonts w:ascii="Times New Roman" w:cs="Times New Roman" w:eastAsia="Times New Roman" w:hAnsi="Times New Roman"/>
          <w:sz w:val="17"/>
          <w:szCs w:val="17"/>
          <w:color w:val="auto"/>
        </w:rPr>
      </w:pPr>
    </w:p>
    <w:p>
      <w:pPr>
        <w:ind w:left="420" w:right="200" w:hanging="416"/>
        <w:spacing w:after="0" w:line="292" w:lineRule="auto"/>
        <w:tabs>
          <w:tab w:leader="none" w:pos="41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47" w:lineRule="exact"/>
        <w:rPr>
          <w:rFonts w:ascii="Times New Roman" w:cs="Times New Roman" w:eastAsia="Times New Roman" w:hAnsi="Times New Roman"/>
          <w:sz w:val="17"/>
          <w:szCs w:val="17"/>
          <w:color w:val="auto"/>
        </w:rPr>
      </w:pPr>
    </w:p>
    <w:p>
      <w:pPr>
        <w:ind w:left="420" w:right="80" w:hanging="416"/>
        <w:spacing w:after="0" w:line="292" w:lineRule="auto"/>
        <w:tabs>
          <w:tab w:leader="none" w:pos="41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420" w:right="60" w:hanging="416"/>
        <w:spacing w:after="0" w:line="273" w:lineRule="auto"/>
        <w:tabs>
          <w:tab w:leader="none" w:pos="41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860" w:right="80" w:hanging="432"/>
        <w:spacing w:after="0" w:line="273" w:lineRule="auto"/>
        <w:tabs>
          <w:tab w:leader="none" w:pos="84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860" w:right="80" w:hanging="432"/>
        <w:spacing w:after="0" w:line="273" w:lineRule="auto"/>
        <w:tabs>
          <w:tab w:leader="none" w:pos="85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860" w:right="140" w:hanging="432"/>
        <w:spacing w:after="0" w:line="292" w:lineRule="auto"/>
        <w:tabs>
          <w:tab w:leader="none" w:pos="84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860" w:hanging="432"/>
        <w:spacing w:after="0" w:line="273" w:lineRule="auto"/>
        <w:tabs>
          <w:tab w:leader="none" w:pos="85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420" w:right="480" w:hanging="416"/>
        <w:spacing w:after="0" w:line="292" w:lineRule="auto"/>
        <w:tabs>
          <w:tab w:leader="none" w:pos="41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860" w:right="60" w:hanging="432"/>
        <w:spacing w:after="0" w:line="292" w:lineRule="auto"/>
        <w:tabs>
          <w:tab w:leader="none" w:pos="84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860" w:right="100" w:hanging="432"/>
        <w:spacing w:after="0" w:line="292" w:lineRule="auto"/>
        <w:tabs>
          <w:tab w:leader="none" w:pos="85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0"/>
        <w:spacing w:after="0"/>
        <w:tabs>
          <w:tab w:leader="none" w:pos="4900" w:val="left"/>
          <w:tab w:leader="none" w:pos="7280" w:val="left"/>
        </w:tabs>
        <w:rPr>
          <w:sz w:val="20"/>
          <w:szCs w:val="20"/>
          <w:color w:val="auto"/>
        </w:rPr>
      </w:pPr>
      <w:r>
        <w:rPr>
          <w:rFonts w:ascii="Times New Roman" w:cs="Times New Roman" w:eastAsia="Times New Roman" w:hAnsi="Times New Roman"/>
          <w:sz w:val="17"/>
          <w:szCs w:val="17"/>
          <w:color w:val="auto"/>
        </w:rPr>
        <w:t>Date: March 14,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19685</wp:posOffset>
            </wp:positionV>
            <wp:extent cx="31070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7"/>
          <w:szCs w:val="17"/>
          <w:b w:val="1"/>
          <w:bCs w:val="1"/>
          <w:color w:val="auto"/>
        </w:rPr>
        <w:t>Andrew Toy</w:t>
      </w:r>
    </w:p>
    <w:p>
      <w:pPr>
        <w:spacing w:after="0" w:line="3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742"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Terrence Ronan, certify that:</w:t>
      </w:r>
    </w:p>
    <w:p>
      <w:pPr>
        <w:spacing w:after="0" w:line="220" w:lineRule="exact"/>
        <w:rPr>
          <w:sz w:val="20"/>
          <w:szCs w:val="20"/>
          <w:color w:val="auto"/>
        </w:rPr>
      </w:pPr>
    </w:p>
    <w:p>
      <w:pPr>
        <w:ind w:left="420" w:hanging="416"/>
        <w:spacing w:after="0"/>
        <w:tabs>
          <w:tab w:leader="none" w:pos="4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2023, of Clover Health Investments, Corp.;</w:t>
      </w:r>
    </w:p>
    <w:p>
      <w:pPr>
        <w:spacing w:after="0" w:line="219" w:lineRule="exact"/>
        <w:rPr>
          <w:rFonts w:ascii="Times New Roman" w:cs="Times New Roman" w:eastAsia="Times New Roman" w:hAnsi="Times New Roman"/>
          <w:sz w:val="17"/>
          <w:szCs w:val="17"/>
          <w:color w:val="auto"/>
        </w:rPr>
      </w:pPr>
    </w:p>
    <w:p>
      <w:pPr>
        <w:ind w:left="420" w:right="200" w:hanging="416"/>
        <w:spacing w:after="0" w:line="292" w:lineRule="auto"/>
        <w:tabs>
          <w:tab w:leader="none" w:pos="41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47" w:lineRule="exact"/>
        <w:rPr>
          <w:rFonts w:ascii="Times New Roman" w:cs="Times New Roman" w:eastAsia="Times New Roman" w:hAnsi="Times New Roman"/>
          <w:sz w:val="17"/>
          <w:szCs w:val="17"/>
          <w:color w:val="auto"/>
        </w:rPr>
      </w:pPr>
    </w:p>
    <w:p>
      <w:pPr>
        <w:ind w:left="420" w:right="80" w:hanging="416"/>
        <w:spacing w:after="0" w:line="292" w:lineRule="auto"/>
        <w:tabs>
          <w:tab w:leader="none" w:pos="41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Times New Roman" w:cs="Times New Roman" w:eastAsia="Times New Roman" w:hAnsi="Times New Roman"/>
          <w:sz w:val="17"/>
          <w:szCs w:val="17"/>
          <w:color w:val="auto"/>
        </w:rPr>
      </w:pPr>
    </w:p>
    <w:p>
      <w:pPr>
        <w:ind w:left="420" w:right="60" w:hanging="416"/>
        <w:spacing w:after="0" w:line="273" w:lineRule="auto"/>
        <w:tabs>
          <w:tab w:leader="none" w:pos="41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860" w:right="80" w:hanging="432"/>
        <w:spacing w:after="0" w:line="273" w:lineRule="auto"/>
        <w:tabs>
          <w:tab w:leader="none" w:pos="84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860" w:right="80" w:hanging="432"/>
        <w:spacing w:after="0" w:line="273" w:lineRule="auto"/>
        <w:tabs>
          <w:tab w:leader="none" w:pos="85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860" w:right="140" w:hanging="432"/>
        <w:spacing w:after="0" w:line="292" w:lineRule="auto"/>
        <w:tabs>
          <w:tab w:leader="none" w:pos="84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Times New Roman" w:cs="Times New Roman" w:eastAsia="Times New Roman" w:hAnsi="Times New Roman"/>
          <w:sz w:val="17"/>
          <w:szCs w:val="17"/>
          <w:color w:val="auto"/>
        </w:rPr>
      </w:pPr>
    </w:p>
    <w:p>
      <w:pPr>
        <w:ind w:left="860" w:hanging="432"/>
        <w:spacing w:after="0" w:line="273" w:lineRule="auto"/>
        <w:tabs>
          <w:tab w:leader="none" w:pos="85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420" w:right="480" w:hanging="416"/>
        <w:spacing w:after="0" w:line="292" w:lineRule="auto"/>
        <w:tabs>
          <w:tab w:leader="none" w:pos="41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17"/>
          <w:szCs w:val="17"/>
          <w:color w:val="auto"/>
        </w:rPr>
      </w:pPr>
    </w:p>
    <w:p>
      <w:pPr>
        <w:ind w:left="860" w:right="60" w:hanging="432"/>
        <w:spacing w:after="0" w:line="292" w:lineRule="auto"/>
        <w:tabs>
          <w:tab w:leader="none" w:pos="849"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Times New Roman" w:cs="Times New Roman" w:eastAsia="Times New Roman" w:hAnsi="Times New Roman"/>
          <w:sz w:val="17"/>
          <w:szCs w:val="17"/>
          <w:color w:val="auto"/>
        </w:rPr>
      </w:pPr>
    </w:p>
    <w:p>
      <w:pPr>
        <w:ind w:left="860" w:right="100" w:hanging="432"/>
        <w:spacing w:after="0" w:line="292" w:lineRule="auto"/>
        <w:tabs>
          <w:tab w:leader="none" w:pos="85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0"/>
        <w:spacing w:after="0"/>
        <w:tabs>
          <w:tab w:leader="none" w:pos="4900" w:val="left"/>
          <w:tab w:leader="none" w:pos="7160" w:val="left"/>
        </w:tabs>
        <w:rPr>
          <w:sz w:val="20"/>
          <w:szCs w:val="20"/>
          <w:color w:val="auto"/>
        </w:rPr>
      </w:pPr>
      <w:r>
        <w:rPr>
          <w:rFonts w:ascii="Times New Roman" w:cs="Times New Roman" w:eastAsia="Times New Roman" w:hAnsi="Times New Roman"/>
          <w:sz w:val="17"/>
          <w:szCs w:val="17"/>
          <w:color w:val="auto"/>
        </w:rPr>
        <w:t>Date: March 14,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Terrence Ronan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19685</wp:posOffset>
            </wp:positionV>
            <wp:extent cx="31070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b w:val="1"/>
          <w:bCs w:val="1"/>
          <w:color w:val="auto"/>
        </w:rPr>
        <w:t>Terrence Ronan</w:t>
      </w:r>
    </w:p>
    <w:p>
      <w:pPr>
        <w:spacing w:after="0" w:line="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Interim Chief Financial Officer (Principal Financial Officer and</w:t>
      </w:r>
    </w:p>
    <w:p>
      <w:pPr>
        <w:ind w:left="6720"/>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p>
      <w:pPr>
        <w:sectPr>
          <w:pgSz w:w="11900" w:h="16838" w:orient="portrait"/>
          <w:cols w:equalWidth="0" w:num="1">
            <w:col w:w="11240"/>
          </w:cols>
          <w:pgMar w:left="320" w:top="742"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80" w:firstLine="424"/>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on Form 10-K of Clover Health Investments, Corp. (the “Company”) for the year ended December 31, 2023,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860" w:hanging="432"/>
        <w:spacing w:after="0"/>
        <w:tabs>
          <w:tab w:leader="none" w:pos="8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7"/>
          <w:szCs w:val="17"/>
          <w:color w:val="auto"/>
        </w:rPr>
      </w:pPr>
    </w:p>
    <w:p>
      <w:pPr>
        <w:ind w:left="860" w:hanging="432"/>
        <w:spacing w:after="0"/>
        <w:tabs>
          <w:tab w:leader="none" w:pos="8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9" w:lineRule="exact"/>
        <w:rPr>
          <w:sz w:val="20"/>
          <w:szCs w:val="20"/>
          <w:color w:val="auto"/>
        </w:rPr>
      </w:pPr>
    </w:p>
    <w:p>
      <w:pPr>
        <w:ind w:left="20"/>
        <w:spacing w:after="0"/>
        <w:tabs>
          <w:tab w:leader="none" w:pos="4900" w:val="left"/>
          <w:tab w:leader="none" w:pos="7280" w:val="left"/>
        </w:tabs>
        <w:rPr>
          <w:sz w:val="20"/>
          <w:szCs w:val="20"/>
          <w:color w:val="auto"/>
        </w:rPr>
      </w:pPr>
      <w:r>
        <w:rPr>
          <w:rFonts w:ascii="Times New Roman" w:cs="Times New Roman" w:eastAsia="Times New Roman" w:hAnsi="Times New Roman"/>
          <w:sz w:val="17"/>
          <w:szCs w:val="17"/>
          <w:color w:val="auto"/>
        </w:rPr>
        <w:t>Dated: March 14,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19685</wp:posOffset>
            </wp:positionV>
            <wp:extent cx="31070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7"/>
          <w:szCs w:val="17"/>
          <w:b w:val="1"/>
          <w:bCs w:val="1"/>
          <w:color w:val="auto"/>
        </w:rPr>
        <w:t>Andrew Toy</w:t>
      </w:r>
    </w:p>
    <w:p>
      <w:pPr>
        <w:spacing w:after="0" w:line="33"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ectPr>
          <w:pgSz w:w="11900" w:h="16838" w:orient="portrait"/>
          <w:cols w:equalWidth="0" w:num="1">
            <w:col w:w="11240"/>
          </w:cols>
          <w:pgMar w:left="320" w:top="742"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80" w:firstLine="424"/>
        <w:spacing w:after="0" w:line="273" w:lineRule="auto"/>
        <w:rPr>
          <w:sz w:val="20"/>
          <w:szCs w:val="20"/>
          <w:color w:val="auto"/>
        </w:rPr>
      </w:pPr>
      <w:r>
        <w:rPr>
          <w:rFonts w:ascii="Times New Roman" w:cs="Times New Roman" w:eastAsia="Times New Roman" w:hAnsi="Times New Roman"/>
          <w:sz w:val="17"/>
          <w:szCs w:val="17"/>
          <w:color w:val="auto"/>
        </w:rPr>
        <w:t>In connection with the Annual Report on Form 10-K of Clover Health Investments, Corp. (the “Company”) for the year ended December 31, 2023,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860" w:hanging="432"/>
        <w:spacing w:after="0"/>
        <w:tabs>
          <w:tab w:leader="none" w:pos="8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9" w:lineRule="exact"/>
        <w:rPr>
          <w:rFonts w:ascii="Times New Roman" w:cs="Times New Roman" w:eastAsia="Times New Roman" w:hAnsi="Times New Roman"/>
          <w:sz w:val="17"/>
          <w:szCs w:val="17"/>
          <w:color w:val="auto"/>
        </w:rPr>
      </w:pPr>
    </w:p>
    <w:p>
      <w:pPr>
        <w:ind w:left="860" w:hanging="432"/>
        <w:spacing w:after="0"/>
        <w:tabs>
          <w:tab w:leader="none" w:pos="8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9" w:lineRule="exact"/>
        <w:rPr>
          <w:sz w:val="20"/>
          <w:szCs w:val="20"/>
          <w:color w:val="auto"/>
        </w:rPr>
      </w:pPr>
    </w:p>
    <w:p>
      <w:pPr>
        <w:ind w:left="20"/>
        <w:spacing w:after="0"/>
        <w:tabs>
          <w:tab w:leader="none" w:pos="4900" w:val="left"/>
          <w:tab w:leader="none" w:pos="7160" w:val="left"/>
        </w:tabs>
        <w:rPr>
          <w:sz w:val="20"/>
          <w:szCs w:val="20"/>
          <w:color w:val="auto"/>
        </w:rPr>
      </w:pPr>
      <w:r>
        <w:rPr>
          <w:rFonts w:ascii="Times New Roman" w:cs="Times New Roman" w:eastAsia="Times New Roman" w:hAnsi="Times New Roman"/>
          <w:sz w:val="17"/>
          <w:szCs w:val="17"/>
          <w:color w:val="auto"/>
        </w:rPr>
        <w:t>Dated: March 14,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Terrence Ronan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19685</wp:posOffset>
            </wp:positionV>
            <wp:extent cx="31070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b w:val="1"/>
          <w:bCs w:val="1"/>
          <w:color w:val="auto"/>
        </w:rPr>
        <w:t>Terrence Ronan</w:t>
      </w:r>
    </w:p>
    <w:p>
      <w:pPr>
        <w:spacing w:after="0" w:line="2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Interim Chief Financial Officer (Principal Financial Officer and</w:t>
      </w:r>
    </w:p>
    <w:p>
      <w:pPr>
        <w:ind w:left="6720"/>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p>
      <w:pPr>
        <w:sectPr>
          <w:pgSz w:w="11900" w:h="16838" w:orient="portrait"/>
          <w:cols w:equalWidth="0" w:num="1">
            <w:col w:w="11240"/>
          </w:cols>
          <w:pgMar w:left="320" w:top="742"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1"/>
          <w:szCs w:val="21"/>
          <w:b w:val="1"/>
          <w:bCs w:val="1"/>
          <w:color w:val="auto"/>
        </w:rPr>
        <w:t>CLOVER HEALTH INVESTMENTS, CORP.</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Adopted March 22, 2023</w:t>
      </w:r>
    </w:p>
    <w:p>
      <w:pPr>
        <w:spacing w:after="0" w:line="200" w:lineRule="exact"/>
        <w:rPr>
          <w:sz w:val="20"/>
          <w:szCs w:val="20"/>
          <w:color w:val="auto"/>
        </w:rPr>
      </w:pPr>
    </w:p>
    <w:p>
      <w:pPr>
        <w:spacing w:after="0" w:line="2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This clawback policy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has been adopted by 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of Clover Health Investments, Corp.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to provide for the recoupment of certain executive compensation in the event of either an accounting restatement or certain types of misconduct.</w:t>
      </w:r>
    </w:p>
    <w:p>
      <w:pPr>
        <w:spacing w:after="0" w:line="5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The Talent and Compensation Committee of the Board has established this Policy to (i) comply with Rule 10D-1 under the Securities Exchange Act of 1934, as amended, and the final regulations promulgated thereunder relating to the Company’s recovery of erroneously awarded compensation (collectively, the “</w:t>
      </w:r>
      <w:r>
        <w:rPr>
          <w:rFonts w:ascii="Times New Roman" w:cs="Times New Roman" w:eastAsia="Times New Roman" w:hAnsi="Times New Roman"/>
          <w:sz w:val="21"/>
          <w:szCs w:val="21"/>
          <w:u w:val="single" w:color="auto"/>
          <w:color w:val="auto"/>
        </w:rPr>
        <w:t>Clawback Rules</w:t>
      </w:r>
      <w:r>
        <w:rPr>
          <w:rFonts w:ascii="Times New Roman" w:cs="Times New Roman" w:eastAsia="Times New Roman" w:hAnsi="Times New Roman"/>
          <w:sz w:val="21"/>
          <w:szCs w:val="21"/>
          <w:color w:val="auto"/>
        </w:rPr>
        <w:t>”); and (ii) set forth circumstances under which the Company may seek to recover compensation that is not covered by the Clawback Rules.</w:t>
      </w:r>
    </w:p>
    <w:p>
      <w:pPr>
        <w:spacing w:after="0" w:line="57" w:lineRule="exact"/>
        <w:rPr>
          <w:sz w:val="20"/>
          <w:szCs w:val="20"/>
          <w:color w:val="auto"/>
        </w:rPr>
      </w:pPr>
    </w:p>
    <w:p>
      <w:pPr>
        <w:jc w:val="both"/>
        <w:ind w:firstLine="623"/>
        <w:spacing w:after="0" w:line="229" w:lineRule="auto"/>
        <w:rPr>
          <w:sz w:val="20"/>
          <w:szCs w:val="20"/>
          <w:color w:val="auto"/>
        </w:rPr>
      </w:pPr>
      <w:r>
        <w:rPr>
          <w:rFonts w:ascii="Times New Roman" w:cs="Times New Roman" w:eastAsia="Times New Roman" w:hAnsi="Times New Roman"/>
          <w:sz w:val="21"/>
          <w:szCs w:val="21"/>
          <w:color w:val="auto"/>
        </w:rPr>
        <w:t>The Policy applies to the Company’s current and former executive officers, including its chief executive officer,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policy-making functions for the Company (the “</w:t>
      </w:r>
      <w:r>
        <w:rPr>
          <w:rFonts w:ascii="Times New Roman" w:cs="Times New Roman" w:eastAsia="Times New Roman" w:hAnsi="Times New Roman"/>
          <w:sz w:val="21"/>
          <w:szCs w:val="21"/>
          <w:u w:val="single" w:color="auto"/>
          <w:color w:val="auto"/>
        </w:rPr>
        <w:t>Covered Persons</w:t>
      </w:r>
      <w:r>
        <w:rPr>
          <w:rFonts w:ascii="Times New Roman" w:cs="Times New Roman" w:eastAsia="Times New Roman" w:hAnsi="Times New Roman"/>
          <w:sz w:val="21"/>
          <w:szCs w:val="21"/>
          <w:color w:val="auto"/>
        </w:rPr>
        <w:t>”). This Policy covers all compensation that is granted, earned or vested based wholly or in part on the attainment of a financial reporting measure (“</w:t>
      </w: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w:t>
      </w:r>
    </w:p>
    <w:p>
      <w:pPr>
        <w:spacing w:after="0" w:line="54" w:lineRule="exact"/>
        <w:rPr>
          <w:sz w:val="20"/>
          <w:szCs w:val="20"/>
          <w:color w:val="auto"/>
        </w:rPr>
      </w:pPr>
    </w:p>
    <w:p>
      <w:pPr>
        <w:ind w:left="620" w:hanging="305"/>
        <w:spacing w:after="0"/>
        <w:tabs>
          <w:tab w:leader="none" w:pos="62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Recovery Due to Accounting Restatement</w:t>
      </w:r>
    </w:p>
    <w:p>
      <w:pPr>
        <w:spacing w:after="0" w:line="87" w:lineRule="exact"/>
        <w:rPr>
          <w:sz w:val="20"/>
          <w:szCs w:val="20"/>
          <w:color w:val="auto"/>
        </w:rPr>
      </w:pPr>
    </w:p>
    <w:p>
      <w:pPr>
        <w:jc w:val="both"/>
        <w:ind w:firstLine="312"/>
        <w:spacing w:after="0"/>
        <w:rPr>
          <w:sz w:val="20"/>
          <w:szCs w:val="20"/>
          <w:color w:val="auto"/>
        </w:rPr>
      </w:pPr>
      <w:r>
        <w:rPr>
          <w:rFonts w:ascii="Times New Roman" w:cs="Times New Roman" w:eastAsia="Times New Roman" w:hAnsi="Times New Roman"/>
          <w:sz w:val="21"/>
          <w:szCs w:val="21"/>
          <w:color w:val="auto"/>
        </w:rPr>
        <w:t>Under this Policy, in the event of an Accounting Restatement (as defined below) the Company will recover reasonably promptly the Recoverable Amount received during the Recovery Period (as defined below) by a Covered Person who was a Covered Period during any portion of the Recovery Period.</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For purposes of the Policy, the following definitions apply to this Section A:</w:t>
      </w:r>
    </w:p>
    <w:p>
      <w:pPr>
        <w:spacing w:after="0" w:line="83" w:lineRule="exact"/>
        <w:rPr>
          <w:sz w:val="20"/>
          <w:szCs w:val="20"/>
          <w:color w:val="auto"/>
        </w:rPr>
      </w:pPr>
    </w:p>
    <w:p>
      <w:pPr>
        <w:jc w:val="both"/>
        <w:ind w:firstLine="623"/>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means an accounting restatement of the Company’s financial statements due to material noncompliance by the Company or any of its subsidiaries with any financial reporting requirement under the U.S. federal securities laws, including restatements (1) to correct an error that is material to a previously issued financial statement, or (2) that would result in a material misstatement if the error was left uncorrected in the current period or was corrected in the current period.</w:t>
      </w:r>
    </w:p>
    <w:p>
      <w:pPr>
        <w:spacing w:after="0" w:line="57" w:lineRule="exact"/>
        <w:rPr>
          <w:sz w:val="20"/>
          <w:szCs w:val="20"/>
          <w:color w:val="auto"/>
        </w:rPr>
      </w:pPr>
    </w:p>
    <w:p>
      <w:pPr>
        <w:jc w:val="both"/>
        <w:ind w:firstLine="623"/>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Recoverable Amount</w:t>
      </w:r>
      <w:r>
        <w:rPr>
          <w:rFonts w:ascii="Times New Roman" w:cs="Times New Roman" w:eastAsia="Times New Roman" w:hAnsi="Times New Roman"/>
          <w:sz w:val="20"/>
          <w:szCs w:val="20"/>
          <w:color w:val="auto"/>
        </w:rPr>
        <w:t xml:space="preserve">” means the difference between the amount of Incentive Compensation received by the Covered Person during the Recovery Period and the amount that otherwise would have been received based on the restated financial measures, without regard to any taxes paid;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for Incentive Compensation based on stock price or total stockholder return, where the amount of erroneously awarded compensation is not subject to mathematical calculation based directly on the Accounting Restatement triggering the recovery under this Policy, calculation of the Recoverable Amount will be completed in accordance with the Clawback Rules and any applicable listing standards of the NASDAQ Global Select Market (the “</w:t>
      </w:r>
      <w:r>
        <w:rPr>
          <w:rFonts w:ascii="Times New Roman" w:cs="Times New Roman" w:eastAsia="Times New Roman" w:hAnsi="Times New Roman"/>
          <w:sz w:val="20"/>
          <w:szCs w:val="20"/>
          <w:u w:val="single" w:color="auto"/>
          <w:color w:val="auto"/>
        </w:rPr>
        <w:t>NASDAQ Listing Standards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54" w:right="339" w:bottom="1440" w:gutter="0" w:footer="0" w:header="0"/>
        </w:sectPr>
      </w:pPr>
    </w:p>
    <w:bookmarkStart w:id="172" w:name="page173"/>
    <w:bookmarkEnd w:id="172"/>
    <w:p>
      <w:pPr>
        <w:jc w:val="both"/>
        <w:ind w:firstLine="623"/>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means the three completed fiscal years immediately preceding the date the Company is required to prepare an Accounting Restatement for a given reporting period, and shall run from the earlier of (i) the date the Board concludes, or reasonably should have concluded, that the Company is required to prepare an Accounting Restatement; or (ii) the date a court, regulator, or other legally authorized body directs the Company to prepare an accounting restatement.</w:t>
      </w:r>
    </w:p>
    <w:p>
      <w:pPr>
        <w:spacing w:after="0" w:line="57" w:lineRule="exact"/>
        <w:rPr>
          <w:sz w:val="20"/>
          <w:szCs w:val="20"/>
          <w:color w:val="auto"/>
        </w:rPr>
      </w:pPr>
    </w:p>
    <w:p>
      <w:pPr>
        <w:jc w:val="both"/>
        <w:ind w:firstLine="312"/>
        <w:spacing w:after="0" w:line="235" w:lineRule="auto"/>
        <w:rPr>
          <w:sz w:val="20"/>
          <w:szCs w:val="20"/>
          <w:color w:val="auto"/>
        </w:rPr>
      </w:pPr>
      <w:r>
        <w:rPr>
          <w:rFonts w:ascii="Times New Roman" w:cs="Times New Roman" w:eastAsia="Times New Roman" w:hAnsi="Times New Roman"/>
          <w:sz w:val="21"/>
          <w:szCs w:val="21"/>
          <w:color w:val="auto"/>
        </w:rPr>
        <w:t>In the event of an Accounting Restatement, the Board’s independent directors, as identified pursuant to the listing standards of the NASDAQ Global Select Market, may determine that recovery will not be pursued only if the Board’s independent directors have determined that recovery would be impracticable under the circumstances set forth in, and in accordance with, Section (b)(1)(iv) of the Clawback Rules and any applicable NASDAQ Listing Standards.</w:t>
      </w:r>
    </w:p>
    <w:p>
      <w:pPr>
        <w:spacing w:after="0" w:line="50" w:lineRule="exact"/>
        <w:rPr>
          <w:sz w:val="20"/>
          <w:szCs w:val="20"/>
          <w:color w:val="auto"/>
        </w:rPr>
      </w:pPr>
    </w:p>
    <w:p>
      <w:pPr>
        <w:ind w:left="620" w:hanging="305"/>
        <w:spacing w:after="0"/>
        <w:tabs>
          <w:tab w:leader="none" w:pos="620" w:val="left"/>
        </w:tabs>
        <w:numPr>
          <w:ilvl w:val="0"/>
          <w:numId w:val="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Recovery Due to Detrimental Conduct</w:t>
      </w:r>
    </w:p>
    <w:p>
      <w:pPr>
        <w:spacing w:after="0" w:line="1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Under this Policy, if a Covered Person engaged in Detrimental Conduct (as defined below) the Board may seek to recover any, or any portion of, Incentive Compensation awarded to or received by (through vesting, settlement or otherwise) a Covered Person on or after the date this Policy was adopted by the Board.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Section B of the Policy, “</w:t>
      </w:r>
      <w:r>
        <w:rPr>
          <w:rFonts w:ascii="Times New Roman" w:cs="Times New Roman" w:eastAsia="Times New Roman" w:hAnsi="Times New Roman"/>
          <w:sz w:val="21"/>
          <w:szCs w:val="21"/>
          <w:u w:val="single" w:color="auto"/>
          <w:color w:val="auto"/>
        </w:rPr>
        <w:t>Detrimental Conduct</w:t>
      </w:r>
      <w:r>
        <w:rPr>
          <w:rFonts w:ascii="Times New Roman" w:cs="Times New Roman" w:eastAsia="Times New Roman" w:hAnsi="Times New Roman"/>
          <w:sz w:val="21"/>
          <w:szCs w:val="21"/>
          <w:color w:val="auto"/>
        </w:rPr>
        <w:t>” means:</w:t>
      </w:r>
    </w:p>
    <w:p>
      <w:pPr>
        <w:spacing w:after="0" w:line="83" w:lineRule="exact"/>
        <w:rPr>
          <w:sz w:val="20"/>
          <w:szCs w:val="20"/>
          <w:color w:val="auto"/>
        </w:rPr>
      </w:pPr>
    </w:p>
    <w:p>
      <w:pPr>
        <w:ind w:left="1240" w:hanging="302"/>
        <w:spacing w:after="0" w:line="261" w:lineRule="auto"/>
        <w:tabs>
          <w:tab w:leader="none" w:pos="1229"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material violation of the Company’s Code of Business Conduct and Ethics or a material violation of law within the scope of employment with the Company or any of its subsidiaries; or</w:t>
      </w:r>
    </w:p>
    <w:p>
      <w:pPr>
        <w:spacing w:after="0" w:line="32" w:lineRule="exact"/>
        <w:rPr>
          <w:rFonts w:ascii="Times New Roman" w:cs="Times New Roman" w:eastAsia="Times New Roman" w:hAnsi="Times New Roman"/>
          <w:sz w:val="19"/>
          <w:szCs w:val="19"/>
          <w:color w:val="auto"/>
        </w:rPr>
      </w:pPr>
    </w:p>
    <w:p>
      <w:pPr>
        <w:jc w:val="both"/>
        <w:ind w:left="1240" w:hanging="302"/>
        <w:spacing w:after="0"/>
        <w:tabs>
          <w:tab w:leader="none" w:pos="124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action or inaction resulting in direct financial harm to the Company, regardless of whether or not the Company has materially failed to comply with any financial reporting requirement or is required to prepare an Accounting Restatement.</w:t>
      </w:r>
    </w:p>
    <w:p>
      <w:pPr>
        <w:spacing w:after="0" w:line="5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In the event of Detrimental Conduct by a Covered Person, the Board may determine, in its sole discretion, whether or not to seek recovery of all or any portion of the Incentive Compensation held or previously held by the Covered Person.</w:t>
      </w:r>
    </w:p>
    <w:p>
      <w:pPr>
        <w:spacing w:after="0" w:line="42" w:lineRule="exact"/>
        <w:rPr>
          <w:sz w:val="20"/>
          <w:szCs w:val="20"/>
          <w:color w:val="auto"/>
        </w:rPr>
      </w:pPr>
    </w:p>
    <w:p>
      <w:pPr>
        <w:ind w:left="620" w:hanging="305"/>
        <w:spacing w:after="0"/>
        <w:tabs>
          <w:tab w:leader="none" w:pos="620" w:val="left"/>
        </w:tabs>
        <w:numPr>
          <w:ilvl w:val="0"/>
          <w:numId w:val="8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1"/>
          <w:szCs w:val="21"/>
          <w:b w:val="1"/>
          <w:bCs w:val="1"/>
          <w:color w:val="auto"/>
        </w:rPr>
        <w:t>Application of Policy</w:t>
      </w:r>
    </w:p>
    <w:p>
      <w:pPr>
        <w:spacing w:after="0" w:line="100" w:lineRule="exact"/>
        <w:rPr>
          <w:sz w:val="20"/>
          <w:szCs w:val="20"/>
          <w:color w:val="auto"/>
        </w:rPr>
      </w:pPr>
    </w:p>
    <w:p>
      <w:pPr>
        <w:jc w:val="both"/>
        <w:ind w:firstLine="623"/>
        <w:spacing w:after="0" w:line="231" w:lineRule="auto"/>
        <w:rPr>
          <w:sz w:val="20"/>
          <w:szCs w:val="20"/>
          <w:color w:val="auto"/>
        </w:rPr>
      </w:pPr>
      <w:r>
        <w:rPr>
          <w:rFonts w:ascii="Times New Roman" w:cs="Times New Roman" w:eastAsia="Times New Roman" w:hAnsi="Times New Roman"/>
          <w:sz w:val="21"/>
          <w:szCs w:val="21"/>
          <w:color w:val="auto"/>
        </w:rPr>
        <w:t>Subject to any applicable guidance in the Clawback Rules or applicable NASDAQ Listing Standards, the Board’s independent directors may determine the method for recovery of the Recoverable Amount, in the case of recovery under Section A of this Policy, or the Incentive Compensation, in the case of recovery under Section B of this Policy. The method of recovery may include, without limitation:</w:t>
      </w:r>
    </w:p>
    <w:p>
      <w:pPr>
        <w:spacing w:after="0" w:line="57" w:lineRule="exact"/>
        <w:rPr>
          <w:sz w:val="20"/>
          <w:szCs w:val="20"/>
          <w:color w:val="auto"/>
        </w:rPr>
      </w:pPr>
    </w:p>
    <w:p>
      <w:pPr>
        <w:ind w:left="620" w:hanging="305"/>
        <w:spacing w:after="0"/>
        <w:tabs>
          <w:tab w:leader="none" w:pos="6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requiring reimbursement in cash;</w:t>
      </w:r>
    </w:p>
    <w:p>
      <w:pPr>
        <w:spacing w:after="0" w:line="95" w:lineRule="exact"/>
        <w:rPr>
          <w:rFonts w:ascii="Times New Roman" w:cs="Times New Roman" w:eastAsia="Times New Roman" w:hAnsi="Times New Roman"/>
          <w:sz w:val="19"/>
          <w:szCs w:val="19"/>
          <w:color w:val="auto"/>
        </w:rPr>
      </w:pPr>
    </w:p>
    <w:p>
      <w:pPr>
        <w:ind w:left="620" w:hanging="305"/>
        <w:spacing w:after="0" w:line="248" w:lineRule="auto"/>
        <w:tabs>
          <w:tab w:leader="none" w:pos="60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59" w:lineRule="exact"/>
        <w:rPr>
          <w:rFonts w:ascii="Times New Roman" w:cs="Times New Roman" w:eastAsia="Times New Roman" w:hAnsi="Times New Roman"/>
          <w:sz w:val="19"/>
          <w:szCs w:val="19"/>
          <w:color w:val="auto"/>
        </w:rPr>
      </w:pPr>
    </w:p>
    <w:p>
      <w:pPr>
        <w:ind w:left="620" w:hanging="305"/>
        <w:spacing w:after="0" w:line="248" w:lineRule="auto"/>
        <w:tabs>
          <w:tab w:leader="none" w:pos="60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offsetting the amount subject to recovery from any compensation or Incentive Compensation otherwise owed by the Company to the Covered Person;</w:t>
      </w:r>
    </w:p>
    <w:p>
      <w:pPr>
        <w:spacing w:after="0" w:line="46" w:lineRule="exact"/>
        <w:rPr>
          <w:rFonts w:ascii="Times New Roman" w:cs="Times New Roman" w:eastAsia="Times New Roman" w:hAnsi="Times New Roman"/>
          <w:sz w:val="19"/>
          <w:szCs w:val="19"/>
          <w:color w:val="auto"/>
        </w:rPr>
      </w:pPr>
    </w:p>
    <w:p>
      <w:pPr>
        <w:ind w:left="620" w:hanging="305"/>
        <w:spacing w:after="0"/>
        <w:tabs>
          <w:tab w:leader="none" w:pos="6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canceling outstanding vested or unvested equity awards; and/or</w:t>
      </w:r>
    </w:p>
    <w:p>
      <w:pPr>
        <w:spacing w:after="0" w:line="95" w:lineRule="exact"/>
        <w:rPr>
          <w:rFonts w:ascii="Times New Roman" w:cs="Times New Roman" w:eastAsia="Times New Roman" w:hAnsi="Times New Roman"/>
          <w:sz w:val="19"/>
          <w:szCs w:val="19"/>
          <w:color w:val="auto"/>
        </w:rPr>
      </w:pPr>
    </w:p>
    <w:p>
      <w:pPr>
        <w:ind w:left="620" w:hanging="305"/>
        <w:spacing w:after="0"/>
        <w:tabs>
          <w:tab w:leader="none" w:pos="6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taking any other remedial and recovery action permitted by law.</w:t>
      </w:r>
    </w:p>
    <w:p>
      <w:pPr>
        <w:sectPr>
          <w:pgSz w:w="11900" w:h="16838" w:orient="portrait"/>
          <w:cols w:equalWidth="0" w:num="1">
            <w:col w:w="11240"/>
          </w:cols>
          <w:pgMar w:left="320" w:top="1358" w:right="339" w:bottom="1440" w:gutter="0" w:footer="0" w:header="0"/>
        </w:sectPr>
      </w:pPr>
    </w:p>
    <w:bookmarkStart w:id="173" w:name="page174"/>
    <w:bookmarkEnd w:id="173"/>
    <w:p>
      <w:pPr>
        <w:jc w:val="both"/>
        <w:spacing w:after="0" w:line="235" w:lineRule="auto"/>
        <w:rPr>
          <w:sz w:val="20"/>
          <w:szCs w:val="20"/>
          <w:color w:val="auto"/>
        </w:rPr>
      </w:pPr>
      <w:r>
        <w:rPr>
          <w:rFonts w:ascii="Times New Roman" w:cs="Times New Roman" w:eastAsia="Times New Roman" w:hAnsi="Times New Roman"/>
          <w:sz w:val="21"/>
          <w:szCs w:val="21"/>
          <w:color w:val="auto"/>
        </w:rPr>
        <w:t>The Board’s independent directors shall have full and final authority to make all determinations under this Policy. All determinations and decisions made by the Board’s independent directors pursuant to the provisions of this Policy shall be final, conclusive and binding on all persons, including the Company, its affiliates, its stockholders and employees, and Covered Persons.</w:t>
      </w:r>
    </w:p>
    <w:p>
      <w:pPr>
        <w:spacing w:after="0" w:line="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Each award agreement or other document setting forth the terms and conditions of any existing or future Incentive Compensation granted to a Covered Person shall be deemed to include the provisions of this Policy. The remedies specified in this Policy shall not be exclusive and shall be in addition to every other right or remedy at law or in equity that may be available to the Company.</w:t>
      </w:r>
    </w:p>
    <w:p>
      <w:pPr>
        <w:spacing w:after="0" w:line="5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To the extent not covered by either Section A or B above, the Company shall seek to recover compensation paid to the Chief Executive Officer or Chief Financial Officer of the Company, as required by the provisions of the Sarbanes-Oxley Act of 2002 and any applicable rules or regulations promulgated thereunder. The Policy may be amended from time to time in the sole discretion of the Board, including but not limited to changes deemed necessary to comply with the Clawback Rules, applicable NASDAQ Listing Standards, or any other applicable “clawback” or compensation recovery provision required by law.</w:t>
      </w:r>
    </w:p>
    <w:sectPr>
      <w:pgSz w:w="11900" w:h="16838" w:orient="portrait"/>
      <w:cols w:equalWidth="0" w:num="1">
        <w:col w:w="11240"/>
      </w:cols>
      <w:pgMar w:left="320" w:top="1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lowerLetter"/>
      <w:start w:val="1"/>
    </w:lvl>
    <w:lvl w:ilvl="1">
      <w:lvlJc w:val="left"/>
      <w:lvlText w:val="(%2)"/>
      <w:numFmt w:val="decimal"/>
      <w:start w:val="1"/>
    </w:lvl>
  </w:abstractNum>
  <w:abstractNum w:abstractNumId="35">
    <w:nsid w:val="741226BB"/>
    <w:multiLevelType w:val="hybridMultilevel"/>
    <w:lvl w:ilvl="0">
      <w:lvlJc w:val="left"/>
      <w:lvlText w:val="%1"/>
      <w:numFmt w:val="decimal"/>
      <w:start w:val="104"/>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decimal"/>
      <w:start w:val="1"/>
    </w:lvl>
    <w:lvl w:ilvl="1">
      <w:lvlJc w:val="left"/>
      <w:lvlText w:val="%2."/>
      <w:numFmt w:val="lowerLetter"/>
      <w:start w:val="1"/>
    </w:lvl>
  </w:abstractNum>
  <w:abstractNum w:abstractNumId="38">
    <w:nsid w:val="3F6AB60F"/>
    <w:multiLevelType w:val="hybridMultilevel"/>
    <w:lvl w:ilvl="0">
      <w:lvlJc w:val="left"/>
      <w:lvlText w:val="%1."/>
      <w:numFmt w:val="decimal"/>
      <w:start w:val="2"/>
    </w:lvl>
    <w:lvl w:ilvl="1">
      <w:lvlJc w:val="left"/>
      <w:lvlText w:val="%2."/>
      <w:numFmt w:val="lowerLetter"/>
      <w:start w:val="1"/>
    </w:lvl>
  </w:abstractNum>
  <w:abstractNum w:abstractNumId="39">
    <w:nsid w:val="61574095"/>
    <w:multiLevelType w:val="hybridMultilevel"/>
    <w:lvl w:ilvl="0">
      <w:lvlJc w:val="left"/>
      <w:lvlText w:val="%1."/>
      <w:numFmt w:val="lowerLetter"/>
      <w:start w:val="3"/>
    </w:lvl>
  </w:abstractNum>
  <w:abstractNum w:abstractNumId="40">
    <w:nsid w:val="7E0C57B1"/>
    <w:multiLevelType w:val="hybridMultilevel"/>
    <w:lvl w:ilvl="0">
      <w:lvlJc w:val="left"/>
      <w:lvlText w:val="%1"/>
      <w:numFmt w:val="decimal"/>
      <w:start w:val="1"/>
    </w:lvl>
    <w:lvl w:ilvl="1">
      <w:lvlJc w:val="left"/>
      <w:lvlText w:val="%2."/>
      <w:numFmt w:val="lowerLetter"/>
      <w:start w:val="5"/>
    </w:lvl>
  </w:abstractNum>
  <w:abstractNum w:abstractNumId="41">
    <w:nsid w:val="77AE35EB"/>
    <w:multiLevelType w:val="hybridMultilevel"/>
    <w:lvl w:ilvl="0">
      <w:lvlJc w:val="left"/>
      <w:lvlText w:val="%1."/>
      <w:numFmt w:val="decimal"/>
      <w:start w:val="3"/>
    </w:lvl>
    <w:lvl w:ilvl="1">
      <w:lvlJc w:val="left"/>
      <w:lvlText w:val="%2"/>
      <w:numFmt w:val="lowerLetter"/>
      <w:start w:val="1"/>
    </w:lvl>
  </w:abstractNum>
  <w:abstractNum w:abstractNumId="42">
    <w:nsid w:val="579BE4F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43">
    <w:nsid w:val="310C50B3"/>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44">
    <w:nsid w:val="5FF87E05"/>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45">
    <w:nsid w:val="2F305DEF"/>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46">
    <w:nsid w:val="25A70BF7"/>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47">
    <w:nsid w:val="1DBABF00"/>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48">
    <w:nsid w:val="4AD084E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49">
    <w:nsid w:val="1F48EAA1"/>
    <w:multiLevelType w:val="hybridMultilevel"/>
    <w:lvl w:ilvl="0">
      <w:lvlJc w:val="left"/>
      <w:lvlText w:val="%1"/>
      <w:numFmt w:val="lowerRoman"/>
      <w:start w:val="1"/>
    </w:lvl>
    <w:lvl w:ilvl="1">
      <w:lvlJc w:val="left"/>
      <w:lvlText w:val="%2."/>
      <w:numFmt w:val="lowerRoman"/>
      <w:start w:val="3"/>
    </w:lvl>
  </w:abstractNum>
  <w:abstractNum w:abstractNumId="50">
    <w:nsid w:val="1381823A"/>
    <w:multiLevelType w:val="hybridMultilevel"/>
    <w:lvl w:ilvl="0">
      <w:lvlJc w:val="left"/>
      <w:lvlText w:val="%1."/>
      <w:numFmt w:val="lowerRoman"/>
      <w:start w:val="4"/>
    </w:lvl>
    <w:lvl w:ilvl="1">
      <w:lvlJc w:val="left"/>
      <w:lvlText w:val="%2."/>
      <w:numFmt w:val="lowerRoman"/>
      <w:start w:val="6"/>
    </w:lvl>
  </w:abstractNum>
  <w:abstractNum w:abstractNumId="51">
    <w:nsid w:val="5DB70AE5"/>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4."/>
      <w:numFmt w:val="lowerRoman"/>
      <w:start w:val="3"/>
    </w:lvl>
    <w:lvl w:ilvl="4">
      <w:lvlJc w:val="left"/>
      <w:lvlText w:val="%5."/>
      <w:numFmt w:val="lowerRoman"/>
      <w:start w:val="1"/>
    </w:lvl>
  </w:abstractNum>
  <w:abstractNum w:abstractNumId="52">
    <w:nsid w:val="100F8FC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lowerRoman"/>
      <w:start w:val="6"/>
    </w:lvl>
  </w:abstractNum>
  <w:abstractNum w:abstractNumId="53">
    <w:nsid w:val="6590700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54">
    <w:nsid w:val="15014ACB"/>
    <w:multiLevelType w:val="hybridMultilevel"/>
    <w:lvl w:ilvl="0">
      <w:lvlJc w:val="left"/>
      <w:lvlText w:val="%1."/>
      <w:numFmt w:val="lowerLetter"/>
      <w:start w:val="6"/>
    </w:lvl>
  </w:abstractNum>
  <w:abstractNum w:abstractNumId="55">
    <w:nsid w:val="5F5E7FD0"/>
    <w:multiLevelType w:val="hybridMultilevel"/>
    <w:lvl w:ilvl="0">
      <w:lvlJc w:val="left"/>
      <w:lvlText w:val="%1"/>
      <w:numFmt w:val="lowerRoman"/>
      <w:start w:val="1"/>
    </w:lvl>
    <w:lvl w:ilvl="1">
      <w:lvlJc w:val="left"/>
      <w:lvlText w:val="%2."/>
      <w:numFmt w:val="lowerRoman"/>
      <w:start w:val="1"/>
    </w:lvl>
  </w:abstractNum>
  <w:abstractNum w:abstractNumId="56">
    <w:nsid w:val="98A3148"/>
    <w:multiLevelType w:val="hybridMultilevel"/>
    <w:lvl w:ilvl="0">
      <w:lvlJc w:val="left"/>
      <w:lvlText w:val="%1."/>
      <w:numFmt w:val="lowerRoman"/>
      <w:start w:val="4"/>
    </w:lvl>
    <w:lvl w:ilvl="1">
      <w:lvlJc w:val="left"/>
      <w:lvlText w:val="%2"/>
      <w:numFmt w:val="lowerRoman"/>
      <w:start w:val="1"/>
    </w:lvl>
  </w:abstractNum>
  <w:abstractNum w:abstractNumId="57">
    <w:nsid w:val="799D0247"/>
    <w:multiLevelType w:val="hybridMultilevel"/>
    <w:lvl w:ilvl="0">
      <w:lvlJc w:val="left"/>
      <w:lvlText w:val="%1."/>
      <w:numFmt w:val="lowerLetter"/>
      <w:start w:val="7"/>
    </w:lvl>
  </w:abstractNum>
  <w:abstractNum w:abstractNumId="58">
    <w:nsid w:val="6B94764"/>
    <w:multiLevelType w:val="hybridMultilevel"/>
    <w:lvl w:ilvl="0">
      <w:lvlJc w:val="left"/>
      <w:lvlText w:val="%1"/>
      <w:numFmt w:val="decimal"/>
      <w:start w:val="1"/>
    </w:lvl>
    <w:lvl w:ilvl="1">
      <w:lvlJc w:val="left"/>
      <w:lvlText w:val="%2."/>
      <w:numFmt w:val="lowerLetter"/>
      <w:start w:val="10"/>
    </w:lvl>
  </w:abstractNum>
  <w:abstractNum w:abstractNumId="59">
    <w:nsid w:val="42C296BD"/>
    <w:multiLevelType w:val="hybridMultilevel"/>
    <w:lvl w:ilvl="0">
      <w:lvlJc w:val="left"/>
      <w:lvlText w:val="%1."/>
      <w:numFmt w:val="decimal"/>
      <w:start w:val="9"/>
    </w:lvl>
    <w:lvl w:ilvl="1">
      <w:lvlJc w:val="left"/>
      <w:lvlText w:val="%2."/>
      <w:numFmt w:val="lowerLetter"/>
      <w:start w:val="1"/>
    </w:lvl>
  </w:abstractNum>
  <w:abstractNum w:abstractNumId="60">
    <w:nsid w:val="168E121F"/>
    <w:multiLevelType w:val="hybridMultilevel"/>
    <w:lvl w:ilvl="0">
      <w:lvlJc w:val="left"/>
      <w:lvlText w:val="%1"/>
      <w:numFmt w:val="decimal"/>
      <w:start w:val="1"/>
    </w:lvl>
    <w:lvl w:ilvl="1">
      <w:lvlJc w:val="left"/>
      <w:lvlText w:val="%2."/>
      <w:numFmt w:val="lowerLetter"/>
      <w:start w:val="2"/>
    </w:lvl>
  </w:abstractNum>
  <w:abstractNum w:abstractNumId="61">
    <w:nsid w:val="1EBA5D23"/>
    <w:multiLevelType w:val="hybridMultilevel"/>
    <w:lvl w:ilvl="0">
      <w:lvlJc w:val="left"/>
      <w:lvlText w:val="%1."/>
      <w:numFmt w:val="decimal"/>
      <w:start w:val="10"/>
    </w:lvl>
    <w:lvl w:ilvl="1">
      <w:lvlJc w:val="left"/>
      <w:lvlText w:val="%2"/>
      <w:numFmt w:val="lowerLetter"/>
      <w:start w:val="1"/>
    </w:lvl>
  </w:abstractNum>
  <w:abstractNum w:abstractNumId="62">
    <w:nsid w:val="661E3F1E"/>
    <w:multiLevelType w:val="hybridMultilevel"/>
    <w:lvl w:ilvl="0">
      <w:lvlJc w:val="left"/>
      <w:lvlText w:val="%1."/>
      <w:numFmt w:val="decimal"/>
      <w:start w:val="11"/>
    </w:lvl>
  </w:abstractNum>
  <w:abstractNum w:abstractNumId="63">
    <w:nsid w:val="5DC79EA8"/>
    <w:multiLevelType w:val="hybridMultilevel"/>
    <w:lvl w:ilvl="0">
      <w:lvlJc w:val="left"/>
      <w:lvlText w:val="%1."/>
      <w:numFmt w:val="decimal"/>
      <w:start w:val="13"/>
    </w:lvl>
    <w:lvl w:ilvl="1">
      <w:lvlJc w:val="left"/>
      <w:lvlText w:val="%2."/>
      <w:numFmt w:val="lowerLetter"/>
      <w:start w:val="1"/>
    </w:lvl>
  </w:abstractNum>
  <w:abstractNum w:abstractNumId="64">
    <w:nsid w:val="540A471C"/>
    <w:multiLevelType w:val="hybridMultilevel"/>
    <w:lvl w:ilvl="0">
      <w:lvlJc w:val="left"/>
      <w:lvlText w:val="%1."/>
      <w:numFmt w:val="lowerLetter"/>
      <w:start w:val="3"/>
    </w:lvl>
  </w:abstractNum>
  <w:abstractNum w:abstractNumId="65">
    <w:nsid w:val="7BD3EE7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66">
    <w:nsid w:val="51D9C564"/>
    <w:multiLevelType w:val="hybridMultilevel"/>
    <w:lvl w:ilvl="0">
      <w:lvlJc w:val="left"/>
      <w:lvlText w:val="%1."/>
      <w:numFmt w:val="lowerLetter"/>
      <w:start w:val="4"/>
    </w:lvl>
  </w:abstractNum>
  <w:abstractNum w:abstractNumId="67">
    <w:nsid w:val="613EFDC5"/>
    <w:multiLevelType w:val="hybridMultilevel"/>
    <w:lvl w:ilvl="0">
      <w:lvlJc w:val="left"/>
      <w:lvlText w:val="%1."/>
      <w:numFmt w:val="lowerLetter"/>
      <w:start w:val="8"/>
    </w:lvl>
  </w:abstractNum>
  <w:abstractNum w:abstractNumId="68">
    <w:nsid w:val="BF72B14"/>
    <w:multiLevelType w:val="hybridMultilevel"/>
    <w:lvl w:ilvl="0">
      <w:lvlJc w:val="left"/>
      <w:lvlText w:val="(%1)"/>
      <w:numFmt w:val="lowerRoman"/>
      <w:start w:val="3"/>
    </w:lvl>
    <w:lvl w:ilvl="1">
      <w:lvlJc w:val="left"/>
      <w:lvlText w:val="●"/>
      <w:numFmt w:val="bullet"/>
      <w:start w:val="1"/>
    </w:lvl>
  </w:abstractNum>
  <w:abstractNum w:abstractNumId="69">
    <w:nsid w:val="11447B73"/>
    <w:multiLevelType w:val="hybridMultilevel"/>
    <w:lvl w:ilvl="0">
      <w:lvlJc w:val="left"/>
      <w:lvlText w:val="(%1)"/>
      <w:numFmt w:val="lowerLetter"/>
      <w:start w:val="3"/>
    </w:lvl>
  </w:abstractNum>
  <w:abstractNum w:abstractNumId="70">
    <w:nsid w:val="42963E5A"/>
    <w:multiLevelType w:val="hybridMultilevel"/>
    <w:lvl w:ilvl="0">
      <w:lvlJc w:val="left"/>
      <w:lvlText w:val="(%1)"/>
      <w:numFmt w:val="lowerLetter"/>
      <w:start w:val="35"/>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2"/>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decimal"/>
      <w:start w:val="1"/>
    </w:lvl>
    <w:lvl w:ilvl="1">
      <w:lvlJc w:val="left"/>
      <w:lvlText w:val="(%2)"/>
      <w:numFmt w:val="lowerLetter"/>
      <w:start w:val="1"/>
    </w:lvl>
  </w:abstractNum>
  <w:abstractNum w:abstractNumId="76">
    <w:nsid w:val="4962813B"/>
    <w:multiLevelType w:val="hybridMultilevel"/>
    <w:lvl w:ilvl="0">
      <w:lvlJc w:val="left"/>
      <w:lvlText w:val="%1."/>
      <w:numFmt w:val="decimal"/>
      <w:start w:val="1"/>
    </w:lvl>
    <w:lvl w:ilvl="1">
      <w:lvlJc w:val="left"/>
      <w:lvlText w:val="(%2)"/>
      <w:numFmt w:val="lowerLetter"/>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upperLetter"/>
      <w:start w:val="1"/>
    </w:lvl>
  </w:abstractNum>
  <w:abstractNum w:abstractNumId="80">
    <w:nsid w:val="7FFFCA11"/>
    <w:multiLevelType w:val="hybridMultilevel"/>
    <w:lvl w:ilvl="0">
      <w:lvlJc w:val="left"/>
      <w:lvlText w:val="%1."/>
      <w:numFmt w:val="upperLetter"/>
      <w:start w:val="2"/>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upperLetter"/>
      <w:start w:val="3"/>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196" Type="http://schemas.openxmlformats.org/officeDocument/2006/relationships/hyperlink" Target="https://www.sec.gov/Archives/edgar/data/1801170/000110465920112403/tm2032431d1_ex2-1.htm" TargetMode="External"/><Relationship Id="rId197" Type="http://schemas.openxmlformats.org/officeDocument/2006/relationships/hyperlink" Target="https://www.sec.gov/Archives/edgar/data/1801170/000119312520314423/d14732dex21.htm" TargetMode="External"/><Relationship Id="rId198" Type="http://schemas.openxmlformats.org/officeDocument/2006/relationships/hyperlink" Target="https://www.sec.gov/Archives/edgar/data/1801170/000119312521007348/d63659dex31.htm" TargetMode="External"/><Relationship Id="rId199" Type="http://schemas.openxmlformats.org/officeDocument/2006/relationships/hyperlink" Target="https://www.sec.gov/Archives/edgar/data/1801170/000119312521007348/d63659dex32.htm" TargetMode="External"/><Relationship Id="rId200" Type="http://schemas.openxmlformats.org/officeDocument/2006/relationships/hyperlink" Target="https://www.sec.gov/Archives/edgar/data/1801170/000119312520298445/d69158dex45.htm" TargetMode="External"/><Relationship Id="rId201" Type="http://schemas.openxmlformats.org/officeDocument/2006/relationships/hyperlink" Target="https://www.sec.gov/Archives/edgar/data/1801170/000119312520298445/d69158dex46.htm" TargetMode="External"/><Relationship Id="rId202" Type="http://schemas.openxmlformats.org/officeDocument/2006/relationships/hyperlink" Target="https://www.sec.gov/Archives/edgar/data/1801170/000180117022000015/descriptionofsecurities.htm" TargetMode="External"/><Relationship Id="rId203" Type="http://schemas.openxmlformats.org/officeDocument/2006/relationships/hyperlink" Target="https://www.sec.gov/Archives/edgar/data/1801170/000119312521007348/d63659dex102.htm" TargetMode="External"/><Relationship Id="rId204" Type="http://schemas.openxmlformats.org/officeDocument/2006/relationships/hyperlink" Target="https://www.sec.gov/Archives/edgar/data/1801170/000119312520272347/d69158dex1015.htm" TargetMode="External"/><Relationship Id="rId205" Type="http://schemas.openxmlformats.org/officeDocument/2006/relationships/hyperlink" Target="https://www.sec.gov/Archives/edgar/data/1801170/000119312521007348/d63659dex104.htm" TargetMode="External"/><Relationship Id="rId206" Type="http://schemas.openxmlformats.org/officeDocument/2006/relationships/hyperlink" Target="https://www.sec.gov/Archives/edgar/data/1801170/000119312521007348/d63659dex105.htm" TargetMode="External"/><Relationship Id="rId207" Type="http://schemas.openxmlformats.org/officeDocument/2006/relationships/hyperlink" Target="https://www.sec.gov/Archives/edgar/data/1801170/000119312521007348/d63659dex106.htm" TargetMode="External"/><Relationship Id="rId208" Type="http://schemas.openxmlformats.org/officeDocument/2006/relationships/hyperlink" Target="https://www.sec.gov/Archives/edgar/data/1801170/000119312521007348/d63659dex107.htm" TargetMode="External"/><Relationship Id="rId209" Type="http://schemas.openxmlformats.org/officeDocument/2006/relationships/hyperlink" Target="https://www.sec.gov/Archives/edgar/data/1801170/000180117022000015/exhibit1012.htm" TargetMode="External"/><Relationship Id="rId210" Type="http://schemas.openxmlformats.org/officeDocument/2006/relationships/hyperlink" Target="https://www.sec.gov/Archives/edgar/data/1801170/000180117022000027/a03312022-exx101.htm" TargetMode="External"/><Relationship Id="rId211" Type="http://schemas.openxmlformats.org/officeDocument/2006/relationships/hyperlink" Target="https://www.sec.gov/Archives/edgar/data/1801170/000180117022000053/a06302022-exx101.htm" TargetMode="External"/><Relationship Id="rId212" Type="http://schemas.openxmlformats.org/officeDocument/2006/relationships/hyperlink" Target="https://www.sec.gov/Archives/edgar/data/1801170/000180117022000053/a06302022-exx102.htm" TargetMode="External"/><Relationship Id="rId213" Type="http://schemas.openxmlformats.org/officeDocument/2006/relationships/hyperlink" Target="https://www.sec.gov/Archives/edgar/data/1801170/000180117023000015/a12312022-exx1014.htm" TargetMode="External"/><Relationship Id="rId214" Type="http://schemas.openxmlformats.org/officeDocument/2006/relationships/hyperlink" Target="https://www.sec.gov/Archives/edgar/data/1801170/000180117022000083/a09302022-exx101.htm" TargetMode="External"/><Relationship Id="rId215" Type="http://schemas.openxmlformats.org/officeDocument/2006/relationships/hyperlink" Target="https://www.sec.gov/Archives/edgar/data/1801170/000180117022000083/a09302022-exx102.htm" TargetMode="External"/><Relationship Id="rId216" Type="http://schemas.openxmlformats.org/officeDocument/2006/relationships/hyperlink" Target="https://www.sec.gov/Archives/edgar/data/1801170/000180117023000020/exhibit101-boardobserverag.htm" TargetMode="External"/><Relationship Id="rId217" Type="http://schemas.openxmlformats.org/officeDocument/2006/relationships/hyperlink" Target="https://www.sec.gov/Archives/edgar/data/1801170/000180117023000038/a3312023-ex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2024-03-14T06:32:57Z</dcterms:created>
  <dcterms:modified xsi:type="dcterms:W3CDTF">2024-03-14T06:32:57Z</dcterms:modified>
</cp:coreProperties>
</file>