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7, 2025</w:t>
      </w: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jc w:val="center"/>
        <w:spacing w:after="0" w:line="239"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 UNDER THE SECURITIES ACT OF 1933</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5" w:lineRule="exact"/>
        <w:rPr>
          <w:sz w:val="24"/>
          <w:szCs w:val="24"/>
          <w:color w:val="auto"/>
        </w:rPr>
      </w:pPr>
    </w:p>
    <w:tbl>
      <w:tblPr>
        <w:tblLayout w:type="fixed"/>
        <w:tblInd w:w="1660" w:type="dxa"/>
        <w:tblCellMar>
          <w:top w:w="0" w:type="dxa"/>
          <w:left w:w="0" w:type="dxa"/>
          <w:bottom w:w="0" w:type="dxa"/>
          <w:right w:w="0" w:type="dxa"/>
        </w:tblCellMar>
      </w:tblPr>
      <w:tr>
        <w:trPr>
          <w:trHeight w:val="227"/>
        </w:trPr>
        <w:tc>
          <w:tcPr>
            <w:tcW w:w="3720" w:type="dxa"/>
            <w:vAlign w:val="bottom"/>
          </w:tcPr>
          <w:p>
            <w:pPr>
              <w:jc w:val="center"/>
              <w:ind w:right="17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center"/>
              <w:ind w:left="1782"/>
              <w:spacing w:after="0"/>
              <w:rPr>
                <w:sz w:val="20"/>
                <w:szCs w:val="20"/>
                <w:color w:val="auto"/>
              </w:rPr>
            </w:pPr>
            <w:r>
              <w:rPr>
                <w:rFonts w:ascii="Times New Roman" w:cs="Times New Roman" w:eastAsia="Times New Roman" w:hAnsi="Times New Roman"/>
                <w:sz w:val="18"/>
                <w:szCs w:val="18"/>
                <w:b w:val="1"/>
                <w:bCs w:val="1"/>
                <w:color w:val="auto"/>
              </w:rPr>
              <w:t>98-1515192</w:t>
            </w:r>
          </w:p>
        </w:tc>
      </w:tr>
      <w:tr>
        <w:trPr>
          <w:trHeight w:val="146"/>
        </w:trPr>
        <w:tc>
          <w:tcPr>
            <w:tcW w:w="3720" w:type="dxa"/>
            <w:vAlign w:val="bottom"/>
          </w:tcPr>
          <w:p>
            <w:pPr>
              <w:jc w:val="center"/>
              <w:ind w:right="176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80" w:type="dxa"/>
            <w:vAlign w:val="bottom"/>
          </w:tcPr>
          <w:p>
            <w:pPr>
              <w:jc w:val="center"/>
              <w:ind w:left="17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20" w:type="dxa"/>
            <w:vAlign w:val="bottom"/>
          </w:tcPr>
          <w:p>
            <w:pPr>
              <w:jc w:val="center"/>
              <w:ind w:right="17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80" w:type="dxa"/>
            <w:vAlign w:val="bottom"/>
          </w:tcPr>
          <w:p>
            <w:pPr>
              <w:jc w:val="center"/>
              <w:ind w:left="17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r>
        <w:rPr>
          <w:rFonts w:ascii="Times New Roman" w:cs="Times New Roman" w:eastAsia="Times New Roman" w:hAnsi="Times New Roman"/>
          <w:sz w:val="23"/>
          <w:szCs w:val="23"/>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2020 Equity Incentive Plan</w:t>
      </w: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Corporation Trust Company</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1209 Orange Street</w:t>
      </w:r>
    </w:p>
    <w:p>
      <w:pPr>
        <w:jc w:val="center"/>
        <w:spacing w:after="0"/>
        <w:rPr>
          <w:sz w:val="20"/>
          <w:szCs w:val="20"/>
          <w:color w:val="auto"/>
        </w:rPr>
      </w:pPr>
      <w:r>
        <w:rPr>
          <w:rFonts w:ascii="Times New Roman" w:cs="Times New Roman" w:eastAsia="Times New Roman" w:hAnsi="Times New Roman"/>
          <w:sz w:val="14"/>
          <w:szCs w:val="14"/>
          <w:b w:val="1"/>
          <w:bCs w:val="1"/>
          <w:color w:val="auto"/>
        </w:rPr>
        <w:t>Wilmington, Delaware 19801</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8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Amy L. Blackman, Esq.</w:t>
      </w:r>
    </w:p>
    <w:p>
      <w:pPr>
        <w:ind w:left="3820"/>
        <w:spacing w:after="0" w:line="210" w:lineRule="auto"/>
        <w:rPr>
          <w:sz w:val="20"/>
          <w:szCs w:val="20"/>
          <w:color w:val="auto"/>
        </w:rPr>
      </w:pPr>
      <w:r>
        <w:rPr>
          <w:rFonts w:ascii="Times New Roman" w:cs="Times New Roman" w:eastAsia="Times New Roman" w:hAnsi="Times New Roman"/>
          <w:sz w:val="18"/>
          <w:szCs w:val="18"/>
          <w:b w:val="1"/>
          <w:bCs w:val="1"/>
          <w:color w:val="auto"/>
        </w:rPr>
        <w:t>Fried, Frank, Harris, Shriver &amp; Jacobson LLP</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One New York Plaza</w:t>
      </w:r>
    </w:p>
    <w:p>
      <w:pPr>
        <w:jc w:val="center"/>
        <w:spacing w:after="0" w:line="220" w:lineRule="auto"/>
        <w:rPr>
          <w:sz w:val="20"/>
          <w:szCs w:val="20"/>
          <w:color w:val="auto"/>
        </w:rPr>
      </w:pPr>
      <w:r>
        <w:rPr>
          <w:rFonts w:ascii="Times New Roman" w:cs="Times New Roman" w:eastAsia="Times New Roman" w:hAnsi="Times New Roman"/>
          <w:sz w:val="18"/>
          <w:szCs w:val="18"/>
          <w:b w:val="1"/>
          <w:bCs w:val="1"/>
          <w:color w:val="auto"/>
        </w:rPr>
        <w:t>New York, New York 10004-1980</w:t>
      </w:r>
    </w:p>
    <w:p>
      <w:pPr>
        <w:jc w:val="center"/>
        <w:spacing w:after="0"/>
        <w:rPr>
          <w:sz w:val="20"/>
          <w:szCs w:val="20"/>
          <w:color w:val="auto"/>
        </w:rPr>
      </w:pPr>
      <w:r>
        <w:rPr>
          <w:rFonts w:ascii="Times New Roman" w:cs="Times New Roman" w:eastAsia="Times New Roman" w:hAnsi="Times New Roman"/>
          <w:sz w:val="18"/>
          <w:szCs w:val="18"/>
          <w:b w:val="1"/>
          <w:bCs w:val="1"/>
          <w:color w:val="auto"/>
        </w:rPr>
        <w:t>(212) 859-8000</w:t>
      </w:r>
    </w:p>
    <w:p>
      <w:pPr>
        <w:spacing w:after="0" w:line="165" w:lineRule="exact"/>
        <w:rPr>
          <w:sz w:val="24"/>
          <w:szCs w:val="24"/>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7" w:lineRule="exact"/>
        <w:rPr>
          <w:sz w:val="24"/>
          <w:szCs w:val="24"/>
          <w:color w:val="auto"/>
        </w:rPr>
      </w:pPr>
    </w:p>
    <w:tbl>
      <w:tblPr>
        <w:tblLayout w:type="fixed"/>
        <w:tblInd w:w="280" w:type="dxa"/>
        <w:tblCellMar>
          <w:top w:w="0" w:type="dxa"/>
          <w:left w:w="0" w:type="dxa"/>
          <w:bottom w:w="0" w:type="dxa"/>
          <w:right w:w="0" w:type="dxa"/>
        </w:tblCellMar>
      </w:tblPr>
      <w:tr>
        <w:trPr>
          <w:trHeight w:val="29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6" w:lineRule="exact"/>
        <w:rPr>
          <w:sz w:val="24"/>
          <w:szCs w:val="24"/>
          <w:color w:val="auto"/>
        </w:rPr>
      </w:pPr>
    </w:p>
    <w:p>
      <w:pPr>
        <w:jc w:val="both"/>
        <w:ind w:firstLine="8"/>
        <w:spacing w:after="0" w:line="237" w:lineRule="auto"/>
        <w:tabs>
          <w:tab w:leader="none" w:pos="94" w:val="left"/>
        </w:tabs>
        <w:numPr>
          <w:ilvl w:val="0"/>
          <w:numId w:val="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ectPr>
          <w:pgSz w:w="11900" w:h="16838" w:orient="portrait"/>
          <w:cols w:equalWidth="0" w:num="1">
            <w:col w:w="11240"/>
          </w:cols>
          <w:pgMar w:left="320" w:top="1440" w:right="339" w:bottom="1440" w:gutter="0" w:footer="0" w:header="0"/>
        </w:sectPr>
      </w:pPr>
    </w:p>
    <w:bookmarkStart w:id="1" w:name="page2"/>
    <w:bookmarkEnd w:id="1"/>
    <w:p>
      <w:pPr>
        <w:spacing w:after="0" w:line="18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by Clover Health Investments, Corp. (the “Registrant”) with the Securities and Exchange Commission (the “Commission”) to register 11,033,499 additional shares of Class A common stock under the Registrant’s 2020 Equity Incentive Plan (the "EIP"), pursuant to the provisions of that plan providing for an automatic increase in the number of shares reserved for issuance under such plans.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incorporates by reference, in each case with respect to the EIP, the contents of the Registrant’s Registration Statement on Form S-8 filed with the Commission on April 1, 2021 (Registration No. 333-254947), the contents of Registrant’s Registration Statement on Form S-8 filed with the Commission on March 9, 2022 (Registration No. 333-263401) and the contents of the Registrant’s Registration Statement on Form S-8 filed with the Commission on March 9, 2023 (Registration No. 333-270395) and the contents of the Registrant's Registration Statement on Form S-8 filed with the Commission on March 28, 2024 (Registration No. 333-278316), including all attachments and exhibits thereto, except to the extent, supplemented, amended or superseded by the information set forth herein.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As permitted by the rules of the Commission, this Registration Statement omits the information specified in Part I of Form S-8. The documents containing the information specified in Part I will be sent or given to the participants of the EIP as required by Rule 428(b)(1) under the Securities Act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as amended (the “Securities Act”). Such documents are not being filed with the Commission as part of this Registration Statement or as prospectuses</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prospectus supplements pursuant to Rule 424. These documents and the documents incorporated by reference in this Registration Statement pursuant to General Instruction E to Form S-8, taken together, constitute a prospectus for the EIP that meets the requirements of Section 10(a) of the Securities Act.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Incorporation of Documents by Reference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Commission by the Registrant pursuant to the Securities Act and the Securities Exchange Act of 1934, as amended (the “Exchange Act”), are hereby incorporated by reference in this Registration Statement:</w:t>
      </w:r>
    </w:p>
    <w:p>
      <w:pPr>
        <w:spacing w:after="0" w:line="108" w:lineRule="exact"/>
        <w:rPr>
          <w:sz w:val="20"/>
          <w:szCs w:val="20"/>
          <w:color w:val="auto"/>
        </w:rPr>
      </w:pPr>
    </w:p>
    <w:p>
      <w:pPr>
        <w:ind w:left="660" w:hanging="328"/>
        <w:spacing w:after="0" w:line="261" w:lineRule="auto"/>
        <w:tabs>
          <w:tab w:leader="none" w:pos="6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2024 (File No. 001-39252), filed with the Commission on March 3, 2025;</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Registrant’s Annual Report on Form 10-K referred to in (a) above; and</w:t>
      </w:r>
    </w:p>
    <w:p>
      <w:pPr>
        <w:jc w:val="both"/>
        <w:ind w:left="660" w:hanging="328"/>
        <w:spacing w:after="0" w:line="253" w:lineRule="auto"/>
        <w:tabs>
          <w:tab w:leader="none" w:pos="6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which is registered under Section 12 of the Exchange Act, contained in the Registration Statement on Form 8-A (File No. 001-39252) filed with the Commission on January 7, 2021, as amended by the description of the Registrant's common stock contained in Exhibit 4.3 to the Registrant's Annual Report on Form 10-K for the year ended December 31, 2024, filed with the Commission on March 3, 2025, and including any further amendment or report filed for the purpose of updating such description.</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after the date of this Registration Statement (except for any portions of the Registrant’s Current Reports on Form 8-K furnished pursuant to Item 2.02 or Item 7.01 thereof and any corresponding exhibits thereto not filed with the Commission)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the filing of such documents.</w:t>
      </w:r>
    </w:p>
    <w:p>
      <w:pPr>
        <w:sectPr>
          <w:pgSz w:w="11900" w:h="16838" w:orient="portrait"/>
          <w:cols w:equalWidth="0" w:num="1">
            <w:col w:w="11240"/>
          </w:cols>
          <w:pgMar w:left="320" w:top="1440" w:right="339" w:bottom="1440" w:gutter="0" w:footer="0" w:header="0"/>
        </w:sectPr>
      </w:pPr>
    </w:p>
    <w:bookmarkStart w:id="2" w:name="page3"/>
    <w:bookmarkEnd w:id="2"/>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Description of Securities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Interests of Named Experts and Counsel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Exemption from Registration Claimed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40" w:right="339" w:bottom="1440" w:gutter="0" w:footer="0" w:header="0"/>
        </w:sectPr>
      </w:pPr>
    </w:p>
    <w:bookmarkStart w:id="3" w:name="page4"/>
    <w:bookmarkEnd w:id="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546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546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4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0000FF"/>
              </w:rPr>
              <w:t>Opinion of Fried, Frank, Harris, Shriver &amp; Jacobson LLP</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Consent of Ernst &amp; Young LLP, independent registered public accounting firm of</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0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Clover Health Investments, Corp.</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Consent of Fried, Frank, Harris, Shriver &amp; Jacobson LLP (included in Exhibit 5.1</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to this Registration Statement)</w:t>
            </w:r>
          </w:p>
        </w:tc>
        <w:tc>
          <w:tcPr>
            <w:tcW w:w="334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Power of Attorney (included on the signature page of this Registration Statement)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1"/>
          </w:tcPr>
          <w:p>
            <w:pPr>
              <w:spacing w:after="0"/>
              <w:rPr>
                <w:rFonts w:ascii="Times New Roman" w:cs="Times New Roman" w:eastAsia="Times New Roman" w:hAnsi="Times New Roman"/>
                <w:sz w:val="16"/>
                <w:szCs w:val="16"/>
                <w:color w:val="0000FF"/>
              </w:rPr>
            </w:pPr>
            <w:hyperlink r:id="rId9">
              <w:r>
                <w:rPr>
                  <w:rFonts w:ascii="Times New Roman" w:cs="Times New Roman" w:eastAsia="Times New Roman" w:hAnsi="Times New Roman"/>
                  <w:sz w:val="16"/>
                  <w:szCs w:val="16"/>
                  <w:color w:val="0000FF"/>
                </w:rPr>
                <w:t xml:space="preserve">Clover Health Investments, Corp. 2020 Equity Incentive Plan </w:t>
              </w:r>
            </w:hyperlink>
            <w:r>
              <w:rPr>
                <w:rFonts w:ascii="Times New Roman" w:cs="Times New Roman" w:eastAsia="Times New Roman" w:hAnsi="Times New Roman"/>
                <w:sz w:val="16"/>
                <w:szCs w:val="16"/>
                <w:color w:val="0000EE"/>
              </w:rPr>
              <w:t>(incorporated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EE"/>
              </w:rPr>
              <w:t>by</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6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color w:val="0000EE"/>
              </w:rPr>
              <w:t>reference to Exhibit 10.4 of the Registrant's Form 8-K filed (File No. 001-39252)</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Borders>
              <w:top w:val="single" w:sz="8" w:color="0000EE"/>
              <w:bottom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EE"/>
              </w:rPr>
              <w:t>with the Commission on January 12, 2021)</w:t>
            </w:r>
          </w:p>
        </w:tc>
        <w:tc>
          <w:tcPr>
            <w:tcW w:w="2480" w:type="dxa"/>
            <w:vAlign w:val="bottom"/>
            <w:tcBorders>
              <w:top w:val="single" w:sz="8" w:color="0000EE"/>
            </w:tcBorders>
            <w:gridSpan w:val="4"/>
          </w:tcPr>
          <w:p>
            <w:pPr>
              <w:spacing w:after="0"/>
              <w:rPr>
                <w:sz w:val="12"/>
                <w:szCs w:val="12"/>
                <w:color w:val="auto"/>
              </w:rPr>
            </w:pPr>
          </w:p>
        </w:tc>
        <w:tc>
          <w:tcPr>
            <w:tcW w:w="1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980" w:hanging="954"/>
        <w:spacing w:after="0"/>
        <w:tabs>
          <w:tab w:leader="none" w:pos="9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Calculation of 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18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8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4"/>
        </w:trPr>
        <w:tc>
          <w:tcPr>
            <w:tcW w:w="7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Filing Date   Herewith</w:t>
            </w:r>
          </w:p>
        </w:tc>
        <w:tc>
          <w:tcPr>
            <w:tcW w:w="0" w:type="dxa"/>
            <w:vAlign w:val="bottom"/>
          </w:tcPr>
          <w:p>
            <w:pPr>
              <w:spacing w:after="0"/>
              <w:rPr>
                <w:sz w:val="1"/>
                <w:szCs w:val="1"/>
                <w:color w:val="auto"/>
              </w:rPr>
            </w:pPr>
          </w:p>
        </w:tc>
      </w:tr>
      <w:tr>
        <w:trPr>
          <w:trHeight w:val="300"/>
        </w:trPr>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648"/>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8-K</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001-39252</w:t>
            </w:r>
          </w:p>
        </w:tc>
        <w:tc>
          <w:tcPr>
            <w:tcW w:w="100" w:type="dxa"/>
            <w:vAlign w:val="bottom"/>
          </w:tcPr>
          <w:p>
            <w:pPr>
              <w:spacing w:after="0"/>
              <w:rPr>
                <w:sz w:val="24"/>
                <w:szCs w:val="24"/>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1/12/21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bl>
    <w:p>
      <w:pPr>
        <w:sectPr>
          <w:pgSz w:w="11900" w:h="16838" w:orient="portrait"/>
          <w:cols w:equalWidth="0" w:num="2">
            <w:col w:w="6440" w:space="120"/>
            <w:col w:w="468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Woodside, State of California, on March 7, 2025.</w:t>
      </w:r>
    </w:p>
    <w:p>
      <w:pPr>
        <w:spacing w:after="0" w:line="22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56"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Toy</w:t>
            </w: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Toy</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the undersigned officers and directors of Clover Health Investments, Corp., hereby severally constitute and appoint Andrew Toy, Peter Kuipers, and Karen M. Soares,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Clover Health Investments, Corp.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00" w:right="339" w:bottom="1440" w:gutter="0" w:footer="0" w:header="0"/>
        </w:sectPr>
      </w:pPr>
    </w:p>
    <w:bookmarkStart w:id="5" w:name="page6"/>
    <w:bookmarkEnd w:id="5"/>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80" w:type="dxa"/>
            <w:vAlign w:val="bottom"/>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900" w:type="dxa"/>
            <w:vAlign w:val="bottom"/>
          </w:tcPr>
          <w:p>
            <w:pPr>
              <w:spacing w:after="0"/>
              <w:rPr>
                <w:sz w:val="24"/>
                <w:szCs w:val="24"/>
                <w:color w:val="auto"/>
              </w:rPr>
            </w:pPr>
          </w:p>
        </w:tc>
        <w:tc>
          <w:tcPr>
            <w:tcW w:w="51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 and</w:t>
            </w:r>
          </w:p>
        </w:tc>
        <w:tc>
          <w:tcPr>
            <w:tcW w:w="1580" w:type="dxa"/>
            <w:vAlign w:val="bottom"/>
          </w:tcPr>
          <w:p>
            <w:pPr>
              <w:spacing w:after="0"/>
              <w:rPr>
                <w:sz w:val="24"/>
                <w:szCs w:val="24"/>
                <w:color w:val="auto"/>
              </w:rPr>
            </w:pPr>
          </w:p>
        </w:tc>
      </w:tr>
      <w:tr>
        <w:trPr>
          <w:trHeight w:val="243"/>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Toy</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Toy</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79"/>
        </w:trPr>
        <w:tc>
          <w:tcPr>
            <w:tcW w:w="3900" w:type="dxa"/>
            <w:vAlign w:val="bottom"/>
          </w:tcPr>
          <w:p>
            <w:pPr>
              <w:spacing w:after="0"/>
              <w:rPr>
                <w:sz w:val="24"/>
                <w:szCs w:val="24"/>
                <w:color w:val="auto"/>
              </w:rPr>
            </w:pPr>
          </w:p>
        </w:tc>
        <w:tc>
          <w:tcPr>
            <w:tcW w:w="51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Chief Financial Officer (</w:t>
            </w:r>
            <w:r>
              <w:rPr>
                <w:rFonts w:ascii="Times New Roman" w:cs="Times New Roman" w:eastAsia="Times New Roman" w:hAnsi="Times New Roman"/>
                <w:sz w:val="18"/>
                <w:szCs w:val="18"/>
                <w:i w:val="1"/>
                <w:iCs w:val="1"/>
                <w:color w:val="auto"/>
                <w:w w:val="99"/>
              </w:rPr>
              <w:t>Principal Financial Officer and</w:t>
            </w:r>
          </w:p>
        </w:tc>
        <w:tc>
          <w:tcPr>
            <w:tcW w:w="1580" w:type="dxa"/>
            <w:vAlign w:val="bottom"/>
          </w:tcPr>
          <w:p>
            <w:pPr>
              <w:spacing w:after="0"/>
              <w:rPr>
                <w:sz w:val="24"/>
                <w:szCs w:val="24"/>
                <w:color w:val="auto"/>
              </w:rPr>
            </w:pPr>
          </w:p>
        </w:tc>
      </w:tr>
      <w:tr>
        <w:trPr>
          <w:trHeight w:val="243"/>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Kuipers</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Kuipers</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3"/>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Vivek Garipalli</w:t>
            </w:r>
          </w:p>
        </w:tc>
        <w:tc>
          <w:tcPr>
            <w:tcW w:w="51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Director and Executive Chair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Vivek Garipalli</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3"/>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Chelsea Clinton</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Chelsea Clinton</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3"/>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Carladenise Armbrister Edwards</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Carladenise Armbrister Edwards</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3"/>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Demetrios L. Kouzoukas</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Demetrios L. Kouzoukas</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3"/>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/s/Anna U. Loengard</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Anna U. Loengard</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3"/>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G. Robinson, Jr.</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G. Robinson, Jr.</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9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Lee A. Shapiro</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Lee A. Shapiro</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81"/>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L. Tran</w:t>
            </w:r>
          </w:p>
        </w:tc>
        <w:tc>
          <w:tcPr>
            <w:tcW w:w="51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March 7, 2025</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L. Tran</w:t>
            </w:r>
          </w:p>
        </w:tc>
        <w:tc>
          <w:tcPr>
            <w:tcW w:w="510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ectPr>
          <w:pgSz w:w="11900" w:h="16838" w:orient="portrait"/>
          <w:cols w:equalWidth="0" w:num="1">
            <w:col w:w="10580"/>
          </w:cols>
          <w:pgMar w:left="320" w:top="1440" w:right="999" w:bottom="1440" w:gutter="0" w:footer="0" w:header="0"/>
        </w:sectPr>
      </w:pPr>
    </w:p>
    <w:bookmarkStart w:id="6" w:name="page7"/>
    <w:bookmarkEnd w:id="6"/>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8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140" w:type="dxa"/>
            <w:vAlign w:val="bottom"/>
            <w:tcBorders>
              <w:top w:val="single" w:sz="8" w:color="auto"/>
            </w:tcBorders>
          </w:tcPr>
          <w:p>
            <w:pPr>
              <w:spacing w:after="0"/>
              <w:rPr>
                <w:sz w:val="19"/>
                <w:szCs w:val="19"/>
                <w:color w:val="auto"/>
              </w:rPr>
            </w:pPr>
          </w:p>
        </w:tc>
        <w:tc>
          <w:tcPr>
            <w:tcW w:w="2180" w:type="dxa"/>
            <w:vAlign w:val="bottom"/>
            <w:tcBorders>
              <w:top w:val="single" w:sz="8" w:color="auto"/>
              <w:right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color w:val="auto"/>
              </w:rPr>
              <w:t>Security</w:t>
            </w: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color w:val="auto"/>
              </w:rPr>
              <w:t>Fee Calculation</w:t>
            </w:r>
          </w:p>
        </w:tc>
        <w:tc>
          <w:tcPr>
            <w:tcW w:w="136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Maximum</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Maximum Aggregate</w:t>
            </w:r>
          </w:p>
        </w:tc>
        <w:tc>
          <w:tcPr>
            <w:tcW w:w="1160" w:type="dxa"/>
            <w:vAlign w:val="bottom"/>
            <w:tcBorders>
              <w:top w:val="single" w:sz="8" w:color="auto"/>
              <w:right w:val="single" w:sz="8" w:color="auto"/>
            </w:tcBorders>
          </w:tcPr>
          <w:p>
            <w:pPr>
              <w:spacing w:after="0"/>
              <w:rPr>
                <w:sz w:val="19"/>
                <w:szCs w:val="19"/>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of Registration</w:t>
            </w:r>
          </w:p>
        </w:tc>
        <w:tc>
          <w:tcPr>
            <w:tcW w:w="0" w:type="dxa"/>
            <w:vAlign w:val="bottom"/>
          </w:tcPr>
          <w:p>
            <w:pPr>
              <w:spacing w:after="0"/>
              <w:rPr>
                <w:sz w:val="1"/>
                <w:szCs w:val="1"/>
                <w:color w:val="auto"/>
              </w:rPr>
            </w:pPr>
          </w:p>
        </w:tc>
      </w:tr>
      <w:tr>
        <w:trPr>
          <w:trHeight w:val="253"/>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140" w:type="dxa"/>
            <w:vAlign w:val="bottom"/>
            <w:tcBorders>
              <w:bottom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color w:val="auto"/>
              </w:rPr>
              <w:t>Class Title</w:t>
            </w:r>
          </w:p>
        </w:tc>
        <w:tc>
          <w:tcPr>
            <w:tcW w:w="8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color w:val="auto"/>
                <w:w w:val="98"/>
              </w:rPr>
              <w:t>Rule</w:t>
            </w:r>
          </w:p>
        </w:tc>
        <w:tc>
          <w:tcPr>
            <w:tcW w:w="1360" w:type="dxa"/>
            <w:vAlign w:val="bottom"/>
            <w:tcBorders>
              <w:bottom w:val="single" w:sz="8" w:color="auto"/>
              <w:right w:val="single" w:sz="8" w:color="auto"/>
            </w:tcBorders>
          </w:tcPr>
          <w:p>
            <w:pPr>
              <w:jc w:val="right"/>
              <w:spacing w:after="0" w:line="253" w:lineRule="exact"/>
              <w:rPr>
                <w:sz w:val="20"/>
                <w:szCs w:val="20"/>
                <w:color w:val="auto"/>
              </w:rPr>
            </w:pPr>
            <w:r>
              <w:rPr>
                <w:rFonts w:ascii="Times New Roman" w:cs="Times New Roman" w:eastAsia="Times New Roman" w:hAnsi="Times New Roman"/>
                <w:sz w:val="14"/>
                <w:szCs w:val="14"/>
                <w:color w:val="auto"/>
              </w:rPr>
              <w:t>Amount Registered</w:t>
            </w:r>
            <w:r>
              <w:rPr>
                <w:rFonts w:ascii="Times New Roman" w:cs="Times New Roman" w:eastAsia="Times New Roman" w:hAnsi="Times New Roman"/>
                <w:sz w:val="23"/>
                <w:szCs w:val="23"/>
                <w:color w:val="auto"/>
                <w:vertAlign w:val="superscript"/>
              </w:rPr>
              <w:t>(1)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 Per Unit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40" w:type="dxa"/>
            <w:vAlign w:val="bottom"/>
          </w:tcPr>
          <w:p>
            <w:pPr>
              <w:spacing w:after="0"/>
              <w:rPr>
                <w:sz w:val="21"/>
                <w:szCs w:val="21"/>
                <w:color w:val="auto"/>
              </w:rPr>
            </w:pPr>
          </w:p>
        </w:tc>
        <w:tc>
          <w:tcPr>
            <w:tcW w:w="2180" w:type="dxa"/>
            <w:vAlign w:val="bottom"/>
            <w:tcBorders>
              <w:right w:val="single" w:sz="8" w:color="auto"/>
            </w:tcBorders>
          </w:tcPr>
          <w:p>
            <w:pPr>
              <w:jc w:val="center"/>
              <w:ind w:right="78"/>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8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tcBorders>
              <w:right w:val="single" w:sz="8" w:color="auto"/>
            </w:tcBorders>
          </w:tcPr>
          <w:p>
            <w:pPr>
              <w:jc w:val="center"/>
              <w:ind w:right="78"/>
              <w:spacing w:after="0"/>
              <w:rPr>
                <w:sz w:val="20"/>
                <w:szCs w:val="20"/>
                <w:color w:val="auto"/>
              </w:rPr>
            </w:pPr>
            <w:r>
              <w:rPr>
                <w:rFonts w:ascii="Times New Roman" w:cs="Times New Roman" w:eastAsia="Times New Roman" w:hAnsi="Times New Roman"/>
                <w:sz w:val="18"/>
                <w:szCs w:val="18"/>
                <w:color w:val="auto"/>
                <w:w w:val="99"/>
              </w:rPr>
              <w:t>$0.0001 par value per share</w:t>
            </w:r>
          </w:p>
        </w:tc>
        <w:tc>
          <w:tcPr>
            <w:tcW w:w="8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860" w:type="dxa"/>
            <w:vAlign w:val="bottom"/>
            <w:tcBorders>
              <w:left w:val="single" w:sz="8" w:color="auto"/>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60" w:type="dxa"/>
            <w:vAlign w:val="bottom"/>
            <w:tcBorders>
              <w:left w:val="single" w:sz="8" w:color="auto"/>
              <w:right w:val="single" w:sz="8" w:color="auto"/>
            </w:tcBorders>
          </w:tcPr>
          <w:p>
            <w:pPr>
              <w:spacing w:after="0"/>
              <w:rPr>
                <w:sz w:val="17"/>
                <w:szCs w:val="17"/>
                <w:color w:val="auto"/>
              </w:rPr>
            </w:pP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right w:val="single" w:sz="8" w:color="auto"/>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Reserved for future</w:t>
            </w:r>
          </w:p>
        </w:tc>
        <w:tc>
          <w:tcPr>
            <w:tcW w:w="80" w:type="dxa"/>
            <w:vAlign w:val="bottom"/>
          </w:tcPr>
          <w:p>
            <w:pPr>
              <w:spacing w:after="0"/>
              <w:rPr>
                <w:sz w:val="17"/>
                <w:szCs w:val="17"/>
                <w:color w:val="auto"/>
              </w:rPr>
            </w:pPr>
          </w:p>
        </w:tc>
        <w:tc>
          <w:tcPr>
            <w:tcW w:w="1080" w:type="dxa"/>
            <w:vAlign w:val="bottom"/>
            <w:tcBorders>
              <w:right w:val="single" w:sz="8" w:color="auto"/>
            </w:tcBorders>
          </w:tcPr>
          <w:p>
            <w:pPr>
              <w:jc w:val="center"/>
              <w:ind w:right="17"/>
              <w:spacing w:after="0" w:line="196" w:lineRule="exact"/>
              <w:rPr>
                <w:sz w:val="20"/>
                <w:szCs w:val="20"/>
                <w:color w:val="auto"/>
              </w:rPr>
            </w:pPr>
            <w:r>
              <w:rPr>
                <w:rFonts w:ascii="Times New Roman" w:cs="Times New Roman" w:eastAsia="Times New Roman" w:hAnsi="Times New Roman"/>
                <w:sz w:val="18"/>
                <w:szCs w:val="18"/>
                <w:color w:val="auto"/>
              </w:rPr>
              <w:t>Rule 457(c)</w:t>
            </w:r>
          </w:p>
        </w:tc>
        <w:tc>
          <w:tcPr>
            <w:tcW w:w="1360" w:type="dxa"/>
            <w:vAlign w:val="bottom"/>
            <w:tcBorders>
              <w:right w:val="single" w:sz="8" w:color="auto"/>
            </w:tcBorders>
          </w:tcPr>
          <w:p>
            <w:pPr>
              <w:jc w:val="right"/>
              <w:ind w:right="121"/>
              <w:spacing w:after="0" w:line="196" w:lineRule="exact"/>
              <w:rPr>
                <w:sz w:val="20"/>
                <w:szCs w:val="20"/>
                <w:color w:val="auto"/>
              </w:rPr>
            </w:pPr>
            <w:r>
              <w:rPr>
                <w:rFonts w:ascii="Times New Roman" w:cs="Times New Roman" w:eastAsia="Times New Roman" w:hAnsi="Times New Roman"/>
                <w:sz w:val="17"/>
                <w:szCs w:val="17"/>
                <w:color w:val="auto"/>
              </w:rPr>
              <w:t>11,033,499</w:t>
            </w:r>
            <w:r>
              <w:rPr>
                <w:rFonts w:ascii="Times New Roman" w:cs="Times New Roman" w:eastAsia="Times New Roman" w:hAnsi="Times New Roman"/>
                <w:sz w:val="22"/>
                <w:szCs w:val="22"/>
                <w:color w:val="auto"/>
                <w:vertAlign w:val="superscript"/>
              </w:rPr>
              <w:t>(2)</w:t>
            </w:r>
          </w:p>
        </w:tc>
        <w:tc>
          <w:tcPr>
            <w:tcW w:w="14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7"/>
                <w:szCs w:val="17"/>
                <w:color w:val="auto"/>
                <w:w w:val="97"/>
              </w:rPr>
              <w:t>$3.66</w:t>
            </w:r>
            <w:r>
              <w:rPr>
                <w:rFonts w:ascii="Times New Roman" w:cs="Times New Roman" w:eastAsia="Times New Roman" w:hAnsi="Times New Roman"/>
                <w:sz w:val="22"/>
                <w:szCs w:val="22"/>
                <w:color w:val="auto"/>
                <w:w w:val="97"/>
                <w:vertAlign w:val="superscript"/>
              </w:rPr>
              <w:t>(3)</w:t>
            </w:r>
          </w:p>
        </w:tc>
        <w:tc>
          <w:tcPr>
            <w:tcW w:w="14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$40,382,606</w:t>
            </w:r>
          </w:p>
        </w:tc>
        <w:tc>
          <w:tcPr>
            <w:tcW w:w="1160" w:type="dxa"/>
            <w:vAlign w:val="bottom"/>
            <w:tcBorders>
              <w:right w:val="single" w:sz="8" w:color="auto"/>
            </w:tcBorders>
          </w:tcPr>
          <w:p>
            <w:pPr>
              <w:jc w:val="right"/>
              <w:ind w:right="219"/>
              <w:spacing w:after="0" w:line="196" w:lineRule="exact"/>
              <w:rPr>
                <w:sz w:val="20"/>
                <w:szCs w:val="20"/>
                <w:color w:val="auto"/>
              </w:rPr>
            </w:pPr>
            <w:r>
              <w:rPr>
                <w:rFonts w:ascii="Times New Roman" w:cs="Times New Roman" w:eastAsia="Times New Roman" w:hAnsi="Times New Roman"/>
                <w:sz w:val="18"/>
                <w:szCs w:val="18"/>
                <w:color w:val="auto"/>
              </w:rPr>
              <w:t>$153.10</w:t>
            </w:r>
          </w:p>
        </w:tc>
        <w:tc>
          <w:tcPr>
            <w:tcW w:w="16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$6,183</w:t>
            </w: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Borders>
              <w:right w:val="single" w:sz="8" w:color="auto"/>
            </w:tcBorders>
          </w:tcPr>
          <w:p>
            <w:pPr>
              <w:ind w:left="200"/>
              <w:spacing w:after="0" w:line="149" w:lineRule="exact"/>
              <w:rPr>
                <w:sz w:val="20"/>
                <w:szCs w:val="20"/>
                <w:color w:val="auto"/>
              </w:rPr>
            </w:pPr>
            <w:r>
              <w:rPr>
                <w:rFonts w:ascii="Times New Roman" w:cs="Times New Roman" w:eastAsia="Times New Roman" w:hAnsi="Times New Roman"/>
                <w:sz w:val="17"/>
                <w:szCs w:val="17"/>
                <w:color w:val="auto"/>
              </w:rPr>
              <w:t>issuance under the Clover</w:t>
            </w:r>
          </w:p>
        </w:tc>
        <w:tc>
          <w:tcPr>
            <w:tcW w:w="80" w:type="dxa"/>
            <w:vAlign w:val="bottom"/>
          </w:tcPr>
          <w:p>
            <w:pPr>
              <w:spacing w:after="0"/>
              <w:rPr>
                <w:sz w:val="12"/>
                <w:szCs w:val="12"/>
                <w:color w:val="auto"/>
              </w:rPr>
            </w:pPr>
          </w:p>
        </w:tc>
        <w:tc>
          <w:tcPr>
            <w:tcW w:w="1080" w:type="dxa"/>
            <w:vAlign w:val="bottom"/>
            <w:tcBorders>
              <w:right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8"/>
                <w:szCs w:val="18"/>
                <w:color w:val="auto"/>
                <w:w w:val="99"/>
              </w:rPr>
              <w:t>and Rule</w:t>
            </w:r>
          </w:p>
        </w:tc>
        <w:tc>
          <w:tcPr>
            <w:tcW w:w="13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Borders>
              <w:right w:val="single" w:sz="8" w:color="auto"/>
            </w:tcBorders>
            <w:vMerge w:val="restart"/>
          </w:tcPr>
          <w:p>
            <w:pPr>
              <w:ind w:left="200"/>
              <w:spacing w:after="0" w:line="184" w:lineRule="exact"/>
              <w:rPr>
                <w:sz w:val="20"/>
                <w:szCs w:val="20"/>
                <w:color w:val="auto"/>
              </w:rPr>
            </w:pPr>
            <w:r>
              <w:rPr>
                <w:rFonts w:ascii="Times New Roman" w:cs="Times New Roman" w:eastAsia="Times New Roman" w:hAnsi="Times New Roman"/>
                <w:sz w:val="18"/>
                <w:szCs w:val="18"/>
                <w:color w:val="auto"/>
              </w:rPr>
              <w:t>Health Investments, Corp.</w:t>
            </w:r>
          </w:p>
        </w:tc>
        <w:tc>
          <w:tcPr>
            <w:tcW w:w="8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right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8"/>
                <w:szCs w:val="18"/>
                <w:color w:val="auto"/>
                <w:w w:val="99"/>
              </w:rPr>
              <w:t>457(h)</w:t>
            </w:r>
          </w:p>
        </w:tc>
        <w:tc>
          <w:tcPr>
            <w:tcW w:w="136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6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60" w:type="dxa"/>
            <w:vAlign w:val="bottom"/>
            <w:tcBorders>
              <w:left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Borders>
              <w:right w:val="single" w:sz="8" w:color="auto"/>
            </w:tcBorders>
          </w:tcPr>
          <w:p>
            <w:pPr>
              <w:ind w:left="200"/>
              <w:spacing w:after="0" w:line="181" w:lineRule="exact"/>
              <w:rPr>
                <w:sz w:val="20"/>
                <w:szCs w:val="20"/>
                <w:color w:val="auto"/>
              </w:rPr>
            </w:pPr>
            <w:r>
              <w:rPr>
                <w:rFonts w:ascii="Times New Roman" w:cs="Times New Roman" w:eastAsia="Times New Roman" w:hAnsi="Times New Roman"/>
                <w:sz w:val="18"/>
                <w:szCs w:val="18"/>
                <w:color w:val="auto"/>
              </w:rPr>
              <w:t>2020 Equity Incentive</w:t>
            </w:r>
          </w:p>
        </w:tc>
        <w:tc>
          <w:tcPr>
            <w:tcW w:w="8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gridSpan w:val="3"/>
          </w:tcPr>
          <w:p>
            <w:pPr>
              <w:jc w:val="center"/>
              <w:ind w:left="278"/>
              <w:spacing w:after="0"/>
              <w:rPr>
                <w:sz w:val="20"/>
                <w:szCs w:val="20"/>
                <w:color w:val="auto"/>
              </w:rPr>
            </w:pPr>
            <w:r>
              <w:rPr>
                <w:rFonts w:ascii="Times New Roman" w:cs="Times New Roman" w:eastAsia="Times New Roman" w:hAnsi="Times New Roman"/>
                <w:sz w:val="14"/>
                <w:szCs w:val="14"/>
                <w:color w:val="auto"/>
              </w:rPr>
              <w:t>Total Offering Amounts</w:t>
            </w:r>
          </w:p>
        </w:tc>
        <w:tc>
          <w:tcPr>
            <w:tcW w:w="136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$40,382,606</w:t>
            </w:r>
          </w:p>
        </w:tc>
        <w:tc>
          <w:tcPr>
            <w:tcW w:w="116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$6,183</w:t>
            </w:r>
          </w:p>
        </w:tc>
        <w:tc>
          <w:tcPr>
            <w:tcW w:w="0" w:type="dxa"/>
            <w:vAlign w:val="bottom"/>
          </w:tcPr>
          <w:p>
            <w:pPr>
              <w:spacing w:after="0"/>
              <w:rPr>
                <w:sz w:val="1"/>
                <w:szCs w:val="1"/>
                <w:color w:val="auto"/>
              </w:rPr>
            </w:pPr>
          </w:p>
        </w:tc>
      </w:tr>
      <w:tr>
        <w:trPr>
          <w:trHeight w:val="54"/>
        </w:trPr>
        <w:tc>
          <w:tcPr>
            <w:tcW w:w="8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340" w:type="dxa"/>
            <w:vAlign w:val="bottom"/>
            <w:gridSpan w:val="3"/>
          </w:tcPr>
          <w:p>
            <w:pPr>
              <w:jc w:val="center"/>
              <w:ind w:left="278"/>
              <w:spacing w:after="0"/>
              <w:rPr>
                <w:sz w:val="20"/>
                <w:szCs w:val="20"/>
                <w:color w:val="auto"/>
              </w:rPr>
            </w:pPr>
            <w:r>
              <w:rPr>
                <w:rFonts w:ascii="Times New Roman" w:cs="Times New Roman" w:eastAsia="Times New Roman" w:hAnsi="Times New Roman"/>
                <w:sz w:val="14"/>
                <w:szCs w:val="14"/>
                <w:color w:val="auto"/>
              </w:rPr>
              <w:t>Total Fee Offsets</w:t>
            </w:r>
          </w:p>
        </w:tc>
        <w:tc>
          <w:tcPr>
            <w:tcW w:w="136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54"/>
        </w:trPr>
        <w:tc>
          <w:tcPr>
            <w:tcW w:w="8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2"/>
          </w:tcPr>
          <w:p>
            <w:pPr>
              <w:jc w:val="center"/>
              <w:ind w:left="1358"/>
              <w:spacing w:after="0"/>
              <w:rPr>
                <w:sz w:val="20"/>
                <w:szCs w:val="20"/>
                <w:color w:val="auto"/>
              </w:rPr>
            </w:pPr>
            <w:r>
              <w:rPr>
                <w:rFonts w:ascii="Times New Roman" w:cs="Times New Roman" w:eastAsia="Times New Roman" w:hAnsi="Times New Roman"/>
                <w:sz w:val="14"/>
                <w:szCs w:val="14"/>
                <w:color w:val="auto"/>
              </w:rPr>
              <w:t>Net Fee Due</w:t>
            </w:r>
          </w:p>
        </w:tc>
        <w:tc>
          <w:tcPr>
            <w:tcW w:w="10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$6,183</w:t>
            </w:r>
          </w:p>
        </w:tc>
        <w:tc>
          <w:tcPr>
            <w:tcW w:w="0" w:type="dxa"/>
            <w:vAlign w:val="bottom"/>
          </w:tcPr>
          <w:p>
            <w:pPr>
              <w:spacing w:after="0"/>
              <w:rPr>
                <w:sz w:val="1"/>
                <w:szCs w:val="1"/>
                <w:color w:val="auto"/>
              </w:rPr>
            </w:pPr>
          </w:p>
        </w:tc>
      </w:tr>
      <w:tr>
        <w:trPr>
          <w:trHeight w:val="54"/>
        </w:trPr>
        <w:tc>
          <w:tcPr>
            <w:tcW w:w="8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ind w:left="820" w:right="100" w:hanging="745"/>
        <w:spacing w:after="0" w:line="183" w:lineRule="auto"/>
        <w:tabs>
          <w:tab w:leader="none" w:pos="82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Pursuant to Rule 416(a) under the Securities Act of 1933, as amended (the “Securities Act”), the registration statement on Form S-8 (the “Registration Statement”) shall also cover any additional shares of the common stock of Clover Health Investments, Corp.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w:t>
      </w:r>
    </w:p>
    <w:p>
      <w:pPr>
        <w:spacing w:after="0" w:line="146" w:lineRule="exact"/>
        <w:rPr>
          <w:rFonts w:ascii="Times New Roman" w:cs="Times New Roman" w:eastAsia="Times New Roman" w:hAnsi="Times New Roman"/>
          <w:sz w:val="36"/>
          <w:szCs w:val="36"/>
          <w:color w:val="auto"/>
          <w:vertAlign w:val="superscript"/>
        </w:rPr>
      </w:pPr>
    </w:p>
    <w:p>
      <w:pPr>
        <w:jc w:val="both"/>
        <w:ind w:left="820" w:right="80" w:hanging="745"/>
        <w:spacing w:after="0" w:line="183" w:lineRule="auto"/>
        <w:tabs>
          <w:tab w:leader="none" w:pos="820" w:val="left"/>
        </w:tabs>
        <w:numPr>
          <w:ilvl w:val="0"/>
          <w:numId w:val="4"/>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Represents 11,033,499 additional shares of the Registrant’s common stock that were automatically added to the shares authorized for issuance under the Registrant’s 2020 Equity Incentive Plan (the “2020 Plan”) on January 1, 2025, pursuant to an annual “evergreen” increase provision contained in the 2020 Plan.</w:t>
      </w:r>
    </w:p>
    <w:p>
      <w:pPr>
        <w:spacing w:after="0" w:line="146" w:lineRule="exact"/>
        <w:rPr>
          <w:rFonts w:ascii="Times New Roman" w:cs="Times New Roman" w:eastAsia="Times New Roman" w:hAnsi="Times New Roman"/>
          <w:sz w:val="34"/>
          <w:szCs w:val="34"/>
          <w:color w:val="auto"/>
          <w:vertAlign w:val="superscript"/>
        </w:rPr>
      </w:pPr>
    </w:p>
    <w:p>
      <w:pPr>
        <w:jc w:val="both"/>
        <w:ind w:left="820" w:right="80" w:hanging="745"/>
        <w:spacing w:after="0" w:line="183" w:lineRule="auto"/>
        <w:tabs>
          <w:tab w:leader="none" w:pos="820" w:val="left"/>
        </w:tabs>
        <w:numPr>
          <w:ilvl w:val="0"/>
          <w:numId w:val="4"/>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Estimated in accordance with Rules 457(c) and (h) of the Securities Act, solely for the purpose of calculating the registration fee. The proposed maximum offering price per share of $3.66 was computed by averaging the high and low prices of a share of the Registrant’s Class A common stock as reported on The Nasdaq Global Market on March 4, 2025.</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2: Fee Offset Claims and Sources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520" w:type="dxa"/>
            <w:vAlign w:val="bottom"/>
            <w:tcBorders>
              <w:top w:val="single" w:sz="8" w:color="auto"/>
              <w:left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Registrant or</w:t>
            </w: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Form or</w:t>
            </w:r>
          </w:p>
        </w:tc>
        <w:tc>
          <w:tcPr>
            <w:tcW w:w="8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File Number</w:t>
            </w: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Initial</w:t>
            </w:r>
          </w:p>
        </w:tc>
        <w:tc>
          <w:tcPr>
            <w:tcW w:w="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Filing Date</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 Offset</w:t>
            </w: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Security Type</w:t>
            </w: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Security Title</w:t>
            </w: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Unsold Securities</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Unsold Aggregate</w:t>
            </w:r>
          </w:p>
        </w:tc>
        <w:tc>
          <w:tcPr>
            <w:tcW w:w="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 Paid</w:t>
            </w: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Filer Name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Filing Type</w:t>
            </w:r>
          </w:p>
        </w:tc>
        <w:tc>
          <w:tcPr>
            <w:tcW w:w="8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Filing Date</w:t>
            </w:r>
          </w:p>
        </w:tc>
        <w:tc>
          <w:tcPr>
            <w:tcW w:w="6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Claimed</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Associated with</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Associated with</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Associated with</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Offering Amount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with Offset</w:t>
            </w: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 Offset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 Offset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 Offset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Associated with</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Source</w:t>
            </w: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Claimed</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Claimed</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Claimed</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 Offset Claimed</w:t>
            </w:r>
          </w:p>
        </w:tc>
        <w:tc>
          <w:tcPr>
            <w:tcW w:w="760" w:type="dxa"/>
            <w:vAlign w:val="bottom"/>
            <w:tcBorders>
              <w:right w:val="single" w:sz="8" w:color="auto"/>
            </w:tcBorders>
          </w:tcPr>
          <w:p>
            <w:pPr>
              <w:spacing w:after="0"/>
              <w:rPr>
                <w:sz w:val="16"/>
                <w:szCs w:val="16"/>
                <w:color w:val="auto"/>
              </w:rPr>
            </w:pPr>
          </w:p>
        </w:tc>
      </w:tr>
      <w:tr>
        <w:trPr>
          <w:trHeight w:val="41"/>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r>
        <w:trPr>
          <w:trHeight w:val="250"/>
        </w:trPr>
        <w:tc>
          <w:tcPr>
            <w:tcW w:w="1520" w:type="dxa"/>
            <w:vAlign w:val="bottom"/>
            <w:tcBorders>
              <w:left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Rule 457(p)</w:t>
            </w: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r>
      <w:tr>
        <w:trPr>
          <w:trHeight w:val="54"/>
        </w:trPr>
        <w:tc>
          <w:tcPr>
            <w:tcW w:w="152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r>
      <w:tr>
        <w:trPr>
          <w:trHeight w:val="195"/>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 Offset Claims</w:t>
            </w:r>
          </w:p>
        </w:tc>
        <w:tc>
          <w:tcPr>
            <w:tcW w:w="9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41"/>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r>
        <w:trPr>
          <w:trHeight w:val="195"/>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 Offset Sources</w:t>
            </w:r>
          </w:p>
        </w:tc>
        <w:tc>
          <w:tcPr>
            <w:tcW w:w="9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48"/>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60"/>
          </w:cols>
          <w:pgMar w:left="320" w:top="1427"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Fried, Frank, Harris, Shriver &amp; Jacobson LLP]</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7, 2025</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Corporation Trust Company</w:t>
      </w:r>
    </w:p>
    <w:p>
      <w:pPr>
        <w:spacing w:after="0" w:line="234" w:lineRule="auto"/>
        <w:rPr>
          <w:sz w:val="20"/>
          <w:szCs w:val="20"/>
          <w:color w:val="auto"/>
        </w:rPr>
      </w:pPr>
      <w:r>
        <w:rPr>
          <w:rFonts w:ascii="Times New Roman" w:cs="Times New Roman" w:eastAsia="Times New Roman" w:hAnsi="Times New Roman"/>
          <w:sz w:val="18"/>
          <w:szCs w:val="18"/>
          <w:color w:val="auto"/>
        </w:rPr>
        <w:t>1209 Orange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 19801</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3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We have acted as counsel to Clover Health Investments, Corp., a Delaware corporation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18"/>
          <w:szCs w:val="18"/>
          <w:color w:val="auto"/>
        </w:rPr>
        <w:t>”), in connection with the Company’s Registration Statement on Form S-8 (together with any amendments thereto, the “</w:t>
      </w:r>
      <w:r>
        <w:rPr>
          <w:rFonts w:ascii="Times New Roman" w:cs="Times New Roman" w:eastAsia="Times New Roman" w:hAnsi="Times New Roman"/>
          <w:sz w:val="21"/>
          <w:szCs w:val="2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21"/>
          <w:szCs w:val="2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21"/>
          <w:szCs w:val="21"/>
          <w:i w:val="1"/>
          <w:iCs w:val="1"/>
          <w:color w:val="auto"/>
        </w:rPr>
        <w:t>Securities Act</w:t>
      </w:r>
      <w:r>
        <w:rPr>
          <w:rFonts w:ascii="Times New Roman" w:cs="Times New Roman" w:eastAsia="Times New Roman" w:hAnsi="Times New Roman"/>
          <w:sz w:val="18"/>
          <w:szCs w:val="18"/>
          <w:color w:val="auto"/>
        </w:rPr>
        <w:t>”), relating to the registration of an aggregate of 11,033,499 shares (the “</w:t>
      </w:r>
      <w:r>
        <w:rPr>
          <w:rFonts w:ascii="Times New Roman" w:cs="Times New Roman" w:eastAsia="Times New Roman" w:hAnsi="Times New Roman"/>
          <w:sz w:val="21"/>
          <w:szCs w:val="21"/>
          <w:i w:val="1"/>
          <w:iCs w:val="1"/>
          <w:color w:val="auto"/>
        </w:rPr>
        <w:t>Shares</w:t>
      </w:r>
      <w:r>
        <w:rPr>
          <w:rFonts w:ascii="Times New Roman" w:cs="Times New Roman" w:eastAsia="Times New Roman" w:hAnsi="Times New Roman"/>
          <w:sz w:val="18"/>
          <w:szCs w:val="18"/>
          <w:color w:val="auto"/>
        </w:rPr>
        <w:t>”) of the Company’s Class A common stock, par value $0.0001 per share, issuable under the Clover Health Investments,</w:t>
      </w:r>
    </w:p>
    <w:p>
      <w:pPr>
        <w:spacing w:after="0" w:line="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Corp. 2020 Equity Incentive Plan (the “</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18"/>
          <w:szCs w:val="18"/>
          <w:color w:val="auto"/>
        </w:rPr>
        <w:t>”).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21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this opinion, we have (i) investigated such questions of law, (ii) examined the originals or certified, conformed,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electronic or 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Based upon the foregoing and subject to the limitations, qualifications and assumptions set forth herein, we are of the opinion that the Shares registered pursuant to the Registration Statement to be issued by the Company have been duly authorized and, when issued, delivered and paid for in accordance with the terms of the Plan and the applicable award agreement, for consideration in an amount at least equal to the par value of such Shares, will be validly issued, fully paid and nonassessable.</w:t>
      </w:r>
    </w:p>
    <w:p>
      <w:pPr>
        <w:spacing w:after="0" w:line="2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opinion expressed herein is limited to the applicable provisions of the General Corporation Law of the State of Delaware,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We undertake no responsibility to update or supplement this letter after the effectiveness of the Registration Statement.</w:t>
      </w:r>
    </w:p>
    <w:p>
      <w:pPr>
        <w:sectPr>
          <w:pgSz w:w="11900" w:h="16838" w:orient="portrait"/>
          <w:cols w:equalWidth="0" w:num="1">
            <w:col w:w="11240"/>
          </w:cols>
          <w:pgMar w:left="320" w:top="1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hereby admit that we are in the category of persons whose consent is required under Section 7 of the Securities Act or the rules and regulations of the Commission.</w:t>
      </w:r>
    </w:p>
    <w:p>
      <w:pPr>
        <w:spacing w:after="0" w:line="24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7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Fried, Frank, Harris, Shriver &amp; Jaconbson LLP</w:t>
      </w:r>
    </w:p>
    <w:p>
      <w:pPr>
        <w:spacing w:after="0" w:line="7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ectPr>
          <w:pgSz w:w="11900" w:h="16838" w:orient="portrait"/>
          <w:cols w:equalWidth="0" w:num="1">
            <w:col w:w="11240"/>
          </w:cols>
          <w:pgMar w:left="320" w:top="1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2020 Equity Incentive Plan of Clover Health Investments, Corp. of our reports dated March 3, 2025 with respect to the consolidated financial statements of Clover Health Investments, Corp. included in its Annual Report (Form 10-K) for the year ended December 31, 2024, filed with the Securities and Exchange Commission.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07"/>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9" Type="http://schemas.openxmlformats.org/officeDocument/2006/relationships/hyperlink" Target="https://www.sec.gov/Archives/edgar/data/1801170/000119312521007348/d63659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2025-03-07T15:35:31Z</dcterms:created>
  <dcterms:modified xsi:type="dcterms:W3CDTF">2025-03-07T15:35:31Z</dcterms:modified>
</cp:coreProperties>
</file>