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Date of Report (Date of earliest event reported): June 17,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3"/>
        </w:rPr>
      </w:pPr>
      <w:r>
        <w:rPr>
          <w:rFonts w:ascii="Times New Roman;serif" w:hAnsi="Times New Roman;serif"/>
          <w:b/>
          <w:color w:val="000000"/>
          <w:sz w:val="43"/>
        </w:rPr>
        <w:t>CLOVER HEALTH INVESTMENTS, CORP.</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3"/>
        </w:rPr>
      </w:pPr>
      <w:r>
        <w:rPr>
          <w:rFonts w:ascii="Times New Roman;serif" w:hAnsi="Times New Roman;serif"/>
          <w:b/>
          <w:color w:val="000000"/>
          <w:sz w:val="13"/>
        </w:rPr>
        <w:t>(Exact name of Registrant as Specified in Its Charter)</w:t>
      </w:r>
    </w:p>
    <w:p>
      <w:pPr>
        <w:pStyle w:val="TextBody"/>
        <w:bidi w:val="0"/>
        <w:spacing w:before="0" w:after="0"/>
        <w:jc w:val="left"/>
        <w:rPr/>
      </w:pPr>
      <w:r>
        <w:rPr/>
      </w:r>
    </w:p>
    <w:tbl>
      <w:tblPr>
        <w:tblW w:w="4558" w:type="dxa"/>
        <w:jc w:val="center"/>
        <w:tblInd w:w="0" w:type="dxa"/>
        <w:tblLayout w:type="fixed"/>
        <w:tblCellMar>
          <w:top w:w="28" w:type="dxa"/>
          <w:left w:w="28" w:type="dxa"/>
          <w:bottom w:w="28" w:type="dxa"/>
          <w:right w:w="28" w:type="dxa"/>
        </w:tblCellMar>
      </w:tblPr>
      <w:tblGrid>
        <w:gridCol w:w="607"/>
        <w:gridCol w:w="535"/>
        <w:gridCol w:w="537"/>
        <w:gridCol w:w="552"/>
        <w:gridCol w:w="552"/>
        <w:gridCol w:w="560"/>
        <w:gridCol w:w="355"/>
        <w:gridCol w:w="355"/>
        <w:gridCol w:w="505"/>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001-39252</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98-1515192</w:t>
            </w:r>
          </w:p>
        </w:tc>
      </w:tr>
      <w:tr>
        <w:trPr/>
        <w:tc>
          <w:tcPr>
            <w:tcW w:w="1679" w:type="dxa"/>
            <w:gridSpan w:val="3"/>
            <w:tcBorders/>
            <w:tcMar>
              <w:top w:w="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3"/>
              </w:rPr>
            </w:pPr>
            <w:r>
              <w:rPr>
                <w:rFonts w:ascii="Times New Roman;serif" w:hAnsi="Times New Roman;serif"/>
                <w:b w:val="false"/>
                <w:color w:val="000000"/>
                <w:sz w:val="13"/>
              </w:rPr>
              <w:t>(State or Other Jurisdiction</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3"/>
              </w:rPr>
            </w:pPr>
            <w:r>
              <w:rPr>
                <w:rFonts w:ascii="Times New Roman;serif" w:hAnsi="Times New Roman;serif"/>
                <w:b w:val="false"/>
                <w:color w:val="000000"/>
                <w:sz w:val="13"/>
              </w:rPr>
              <w:t>(Commission File Number)</w:t>
            </w:r>
          </w:p>
        </w:tc>
        <w:tc>
          <w:tcPr>
            <w:tcW w:w="1215" w:type="dxa"/>
            <w:gridSpan w:val="3"/>
            <w:tcBorders/>
            <w:tcMar>
              <w:top w:w="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3"/>
              </w:rPr>
            </w:pPr>
            <w:r>
              <w:rPr>
                <w:rFonts w:ascii="Times New Roman;serif" w:hAnsi="Times New Roman;serif"/>
                <w:b w:val="false"/>
                <w:color w:val="000000"/>
                <w:sz w:val="13"/>
              </w:rPr>
              <w:t>(IRS Employer</w:t>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of Incorporation)</w:t>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Identification No.)</w:t>
            </w:r>
          </w:p>
        </w:tc>
      </w:tr>
    </w:tbl>
    <w:tbl>
      <w:tblPr>
        <w:tblW w:w="4560" w:type="dxa"/>
        <w:jc w:val="center"/>
        <w:tblInd w:w="0" w:type="dxa"/>
        <w:tblLayout w:type="fixed"/>
        <w:tblCellMar>
          <w:top w:w="28" w:type="dxa"/>
          <w:left w:w="28" w:type="dxa"/>
          <w:bottom w:w="28" w:type="dxa"/>
          <w:right w:w="28" w:type="dxa"/>
        </w:tblCellMar>
      </w:tblPr>
      <w:tblGrid>
        <w:gridCol w:w="875"/>
        <w:gridCol w:w="768"/>
        <w:gridCol w:w="772"/>
        <w:gridCol w:w="628"/>
        <w:gridCol w:w="628"/>
        <w:gridCol w:w="889"/>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Address Not Applicable</w:t>
            </w:r>
            <w:r>
              <w:rPr>
                <w:rFonts w:ascii="Times New Roman;serif" w:hAnsi="Times New Roman;serif"/>
                <w:b w:val="false"/>
                <w:color w:val="000000"/>
                <w:sz w:val="12"/>
              </w:rPr>
              <w:t>(1)</w:t>
            </w:r>
          </w:p>
        </w:tc>
        <w:tc>
          <w:tcPr>
            <w:tcW w:w="214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Address Not Applicable</w:t>
            </w:r>
            <w:r>
              <w:rPr>
                <w:rFonts w:ascii="Times New Roman;serif" w:hAnsi="Times New Roman;serif"/>
                <w:b w:val="false"/>
                <w:color w:val="000000"/>
                <w:sz w:val="12"/>
              </w:rPr>
              <w:t>(1)</w:t>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(Zip Code)</w:t>
            </w:r>
          </w:p>
        </w:tc>
      </w:tr>
    </w:tbl>
    <w:p>
      <w:pPr>
        <w:pStyle w:val="TextBody"/>
        <w:bidi w:val="0"/>
        <w:spacing w:lineRule="auto" w:line="228" w:before="0" w:after="120"/>
        <w:jc w:val="center"/>
        <w:rPr/>
      </w:pPr>
      <w:r>
        <w:rPr>
          <w:rFonts w:ascii="Times New Roman;serif" w:hAnsi="Times New Roman;serif"/>
          <w:b/>
          <w:color w:val="000000"/>
          <w:sz w:val="18"/>
        </w:rPr>
        <w:t>Not Applicable</w:t>
      </w:r>
      <w:r>
        <w:rPr>
          <w:rFonts w:ascii="Times New Roman;serif" w:hAnsi="Times New Roman;serif"/>
          <w:b w:val="false"/>
          <w:color w:val="000000"/>
          <w:sz w:val="12"/>
        </w:rPr>
        <w:t>(1)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p>
      <w:pPr>
        <w:pStyle w:val="TextBody"/>
        <w:bidi w:val="0"/>
        <w:spacing w:before="0" w:after="0"/>
        <w:jc w:val="left"/>
        <w:rPr/>
      </w:pPr>
      <w:r>
        <w:rPr/>
      </w:r>
    </w:p>
    <w:tbl>
      <w:tblPr>
        <w:tblW w:w="9186" w:type="dxa"/>
        <w:jc w:val="center"/>
        <w:tblInd w:w="0" w:type="dxa"/>
        <w:tblLayout w:type="fixed"/>
        <w:tblCellMar>
          <w:top w:w="28" w:type="dxa"/>
          <w:left w:w="28" w:type="dxa"/>
          <w:bottom w:w="28" w:type="dxa"/>
          <w:right w:w="28" w:type="dxa"/>
        </w:tblCellMar>
      </w:tblPr>
      <w:tblGrid>
        <w:gridCol w:w="1507"/>
        <w:gridCol w:w="1327"/>
        <w:gridCol w:w="1335"/>
        <w:gridCol w:w="109"/>
        <w:gridCol w:w="109"/>
        <w:gridCol w:w="109"/>
        <w:gridCol w:w="293"/>
        <w:gridCol w:w="293"/>
        <w:gridCol w:w="298"/>
        <w:gridCol w:w="109"/>
        <w:gridCol w:w="109"/>
        <w:gridCol w:w="109"/>
        <w:gridCol w:w="1019"/>
        <w:gridCol w:w="1019"/>
        <w:gridCol w:w="1441"/>
      </w:tblGrid>
      <w:tr>
        <w:trPr/>
        <w:tc>
          <w:tcPr>
            <w:tcW w:w="150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4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We are a remote-first company. Accordingly, we do not maintain a headquarters. For purposes of compliance with applicable requirements of the Securities Act of 1933, as amended, and the Securities Exchange Act of 1934, as amended, stockholder communications required to be sent to our principal executive offices may be directed to the email address: secretary@cloverhealth.com, or to our agent for service of process at The Corporation Trust Company, 1209 Orange Street, Wilmington, Delaware 19801.</w:t>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June 9, 2026, the Centers for Medicare &amp; Medicaid Services ("CMS") informed Clover Health Investments, Corp. (the "Company") that, consistent with a court judgment in Clover Insurance Co. V. HHS, Civ. A. No. 25-142 (S.D. Ga), CMS had recalculated the 2026 Star Rating for the Company's PPO Medicare Advantage contract, H5141, from 3.5 Stars to 4.5 Stars for payment year 2027.</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June 17, 2026, CMS issued updated guidance informing all Medicare Advantage Organizations that it was voluntarily recalculating the 2027 Quality Bonus Payment ratings for certain Medicare Advantage contracts as a result of the preceding decision.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CMS’s guidance stated that MA organizations can view their recalculated 2027 QBP ratings in the Health Plan Management System (HPMS). HPMS displays the Company's PPO Medicare Advantage contract, H5141, rated at 4.5 Stars for payment year 2027, and also displays that the 2026 Star Rating for the Company's HMO Medicare Advantage contract, H8010, increased from 4.0 Stars to 4.5 Stars, which also impacts payment year 2027.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462"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462"/>
        <w:gridCol w:w="462"/>
        <w:gridCol w:w="462"/>
        <w:gridCol w:w="1445"/>
        <w:gridCol w:w="1445"/>
        <w:gridCol w:w="20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Clover Health Investments, 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Clay Thornton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Clay Thornton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 (Principal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3368</Characters>
  <CharactersWithSpaces>3919</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