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CLOVER HEALTH INVESTMENTS, CORP.</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Common Stock</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18914F111</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Chamath Palihapitiya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 Sponsor III LLC</w:t>
      </w:r>
    </w:p>
    <w:p>
      <w:pPr>
        <w:jc w:val="center"/>
        <w:ind w:right="-59"/>
        <w:spacing w:after="0" w:line="230" w:lineRule="auto"/>
        <w:rPr>
          <w:sz w:val="20"/>
          <w:szCs w:val="20"/>
          <w:color w:val="auto"/>
        </w:rPr>
      </w:pPr>
      <w:r>
        <w:rPr>
          <w:rFonts w:ascii="Arial" w:cs="Arial" w:eastAsia="Arial" w:hAnsi="Arial"/>
          <w:sz w:val="22"/>
          <w:szCs w:val="22"/>
          <w:b w:val="1"/>
          <w:bCs w:val="1"/>
          <w:color w:val="auto"/>
        </w:rPr>
        <w:t>317 University Ave, Suite 200</w:t>
      </w:r>
    </w:p>
    <w:p>
      <w:pPr>
        <w:jc w:val="center"/>
        <w:ind w:right="-59"/>
        <w:spacing w:after="0" w:line="231" w:lineRule="auto"/>
        <w:rPr>
          <w:sz w:val="20"/>
          <w:szCs w:val="20"/>
          <w:color w:val="auto"/>
        </w:rPr>
      </w:pPr>
      <w:r>
        <w:rPr>
          <w:rFonts w:ascii="Arial" w:cs="Arial" w:eastAsia="Arial" w:hAnsi="Arial"/>
          <w:sz w:val="22"/>
          <w:szCs w:val="22"/>
          <w:b w:val="1"/>
          <w:bCs w:val="1"/>
          <w:color w:val="auto"/>
        </w:rPr>
        <w:t>Palo Alto, California 94301</w:t>
      </w:r>
    </w:p>
    <w:p>
      <w:pPr>
        <w:jc w:val="center"/>
        <w:ind w:right="-59"/>
        <w:spacing w:after="0" w:line="227" w:lineRule="auto"/>
        <w:rPr>
          <w:sz w:val="20"/>
          <w:szCs w:val="20"/>
          <w:color w:val="auto"/>
        </w:rPr>
      </w:pPr>
      <w:r>
        <w:rPr>
          <w:rFonts w:ascii="Arial" w:cs="Arial" w:eastAsia="Arial" w:hAnsi="Arial"/>
          <w:sz w:val="22"/>
          <w:szCs w:val="22"/>
          <w:b w:val="1"/>
          <w:bCs w:val="1"/>
          <w:color w:val="auto"/>
        </w:rPr>
        <w:t>(650) 521-9007</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with copies to:</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Gregg A. Noel</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Skadden, Arps, Slate, Meagher &amp; Flom LLP</w:t>
      </w:r>
    </w:p>
    <w:p>
      <w:pPr>
        <w:jc w:val="center"/>
        <w:ind w:right="-59"/>
        <w:spacing w:after="0" w:line="230" w:lineRule="auto"/>
        <w:rPr>
          <w:sz w:val="20"/>
          <w:szCs w:val="20"/>
          <w:color w:val="auto"/>
        </w:rPr>
      </w:pPr>
      <w:r>
        <w:rPr>
          <w:rFonts w:ascii="Arial" w:cs="Arial" w:eastAsia="Arial" w:hAnsi="Arial"/>
          <w:sz w:val="22"/>
          <w:szCs w:val="22"/>
          <w:b w:val="1"/>
          <w:bCs w:val="1"/>
          <w:color w:val="auto"/>
        </w:rPr>
        <w:t>One Manhattan West</w:t>
      </w:r>
    </w:p>
    <w:p>
      <w:pPr>
        <w:jc w:val="center"/>
        <w:ind w:right="-59"/>
        <w:spacing w:after="0" w:line="231" w:lineRule="auto"/>
        <w:rPr>
          <w:sz w:val="20"/>
          <w:szCs w:val="20"/>
          <w:color w:val="auto"/>
        </w:rPr>
      </w:pPr>
      <w:r>
        <w:rPr>
          <w:rFonts w:ascii="Arial" w:cs="Arial" w:eastAsia="Arial" w:hAnsi="Arial"/>
          <w:sz w:val="22"/>
          <w:szCs w:val="22"/>
          <w:b w:val="1"/>
          <w:bCs w:val="1"/>
          <w:color w:val="auto"/>
        </w:rPr>
        <w:t>New York, New York 10001-8602</w:t>
      </w:r>
    </w:p>
    <w:p>
      <w:pPr>
        <w:jc w:val="center"/>
        <w:ind w:right="-59"/>
        <w:spacing w:after="0"/>
        <w:rPr>
          <w:sz w:val="20"/>
          <w:szCs w:val="20"/>
          <w:color w:val="auto"/>
        </w:rPr>
      </w:pPr>
      <w:r>
        <w:rPr>
          <w:rFonts w:ascii="Arial" w:cs="Arial" w:eastAsia="Arial" w:hAnsi="Arial"/>
          <w:sz w:val="22"/>
          <w:szCs w:val="22"/>
          <w:b w:val="1"/>
          <w:bCs w:val="1"/>
          <w:color w:val="auto"/>
        </w:rPr>
        <w:t>(212) 735-3000</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July 7, 2021</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29" w:lineRule="exact"/>
        <w:rPr>
          <w:sz w:val="24"/>
          <w:szCs w:val="24"/>
          <w:color w:val="auto"/>
        </w:rPr>
      </w:pPr>
    </w:p>
    <w:p>
      <w:pPr>
        <w:ind w:right="12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60"/>
        <w:spacing w:after="0" w:line="256" w:lineRule="auto"/>
        <w:rPr>
          <w:sz w:val="20"/>
          <w:szCs w:val="20"/>
          <w:color w:val="auto"/>
        </w:rPr>
      </w:pPr>
      <w:r>
        <w:rPr>
          <w:rFonts w:ascii="Arial" w:cs="Arial" w:eastAsia="Arial" w:hAnsi="Arial"/>
          <w:sz w:val="22"/>
          <w:szCs w:val="22"/>
          <w:b w:val="1"/>
          <w:bCs w:val="1"/>
          <w:color w:val="auto"/>
        </w:rPr>
        <w:t>Note</w:t>
      </w:r>
      <w:r>
        <w:rPr>
          <w:rFonts w:ascii="Arial" w:cs="Arial" w:eastAsia="Arial" w:hAnsi="Arial"/>
          <w:sz w:val="22"/>
          <w:szCs w:val="22"/>
          <w:color w:val="auto"/>
        </w:rPr>
        <w:t>: Schedules filed in paper format shall include a signed original and five copies of the schedule, including all exhibits.</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See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240.13d-7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60" w:right="22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355"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900" w:type="dxa"/>
            <w:vAlign w:val="bottom"/>
            <w:gridSpan w:val="4"/>
          </w:tcPr>
          <w:p>
            <w:pPr>
              <w:jc w:val="right"/>
              <w:ind w:right="130"/>
              <w:spacing w:after="0"/>
              <w:rPr>
                <w:sz w:val="20"/>
                <w:szCs w:val="20"/>
                <w:color w:val="auto"/>
              </w:rPr>
            </w:pPr>
            <w:r>
              <w:rPr>
                <w:rFonts w:ascii="Arial" w:cs="Arial" w:eastAsia="Arial" w:hAnsi="Arial"/>
                <w:sz w:val="18"/>
                <w:szCs w:val="18"/>
                <w:color w:val="auto"/>
                <w:w w:val="90"/>
              </w:rPr>
              <w:t>CUSIP No. 18914F111</w:t>
            </w:r>
          </w:p>
        </w:tc>
        <w:tc>
          <w:tcPr>
            <w:tcW w:w="9360" w:type="dxa"/>
            <w:vAlign w:val="bottom"/>
          </w:tcPr>
          <w:p>
            <w:pPr>
              <w:ind w:left="8080"/>
              <w:spacing w:after="0"/>
              <w:rPr>
                <w:sz w:val="20"/>
                <w:szCs w:val="20"/>
                <w:color w:val="auto"/>
              </w:rPr>
            </w:pPr>
            <w:r>
              <w:rPr>
                <w:rFonts w:ascii="Arial" w:cs="Arial" w:eastAsia="Arial" w:hAnsi="Arial"/>
                <w:sz w:val="18"/>
                <w:szCs w:val="18"/>
                <w:color w:val="auto"/>
                <w:w w:val="84"/>
              </w:rPr>
              <w:t>Page 2 of 9 pages</w:t>
            </w:r>
          </w:p>
        </w:tc>
        <w:tc>
          <w:tcPr>
            <w:tcW w:w="0" w:type="dxa"/>
            <w:vAlign w:val="bottom"/>
          </w:tcPr>
          <w:p>
            <w:pPr>
              <w:spacing w:after="0"/>
              <w:rPr>
                <w:sz w:val="1"/>
                <w:szCs w:val="1"/>
                <w:color w:val="auto"/>
              </w:rPr>
            </w:pPr>
          </w:p>
        </w:tc>
      </w:tr>
      <w:tr>
        <w:trPr>
          <w:trHeight w:val="364"/>
        </w:trPr>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SCH Sponsor III LLC</w:t>
            </w:r>
          </w:p>
        </w:tc>
        <w:tc>
          <w:tcPr>
            <w:tcW w:w="0" w:type="dxa"/>
            <w:vAlign w:val="bottom"/>
          </w:tcPr>
          <w:p>
            <w:pPr>
              <w:spacing w:after="0"/>
              <w:rPr>
                <w:sz w:val="1"/>
                <w:szCs w:val="1"/>
                <w:color w:val="auto"/>
              </w:rPr>
            </w:pPr>
          </w:p>
        </w:tc>
      </w:tr>
      <w:tr>
        <w:trPr>
          <w:trHeight w:val="163"/>
        </w:trPr>
        <w:tc>
          <w:tcPr>
            <w:tcW w:w="24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14"/>
                <w:szCs w:val="14"/>
                <w:color w:val="auto"/>
              </w:rPr>
            </w:pPr>
          </w:p>
        </w:tc>
        <w:tc>
          <w:tcPr>
            <w:tcW w:w="10620" w:type="dxa"/>
            <w:vAlign w:val="bottom"/>
            <w:tcBorders>
              <w:right w:val="single" w:sz="8" w:color="auto"/>
            </w:tcBorders>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40" w:type="dxa"/>
            <w:vAlign w:val="bottom"/>
          </w:tcPr>
          <w:p>
            <w:pPr>
              <w:ind w:left="140"/>
              <w:spacing w:after="0" w:line="242" w:lineRule="exact"/>
              <w:rPr>
                <w:sz w:val="20"/>
                <w:szCs w:val="20"/>
                <w:color w:val="auto"/>
              </w:rPr>
            </w:pPr>
            <w:r>
              <w:rPr>
                <w:rFonts w:ascii="Arial" w:cs="Arial" w:eastAsia="Arial" w:hAnsi="Arial"/>
                <w:sz w:val="18"/>
                <w:szCs w:val="18"/>
                <w:color w:val="auto"/>
              </w:rPr>
              <w:t xml:space="preserve">(a) </w:t>
            </w:r>
            <w:r>
              <w:rPr>
                <w:rFonts w:ascii="Arial Unicode MS" w:cs="Arial Unicode MS" w:eastAsia="Arial Unicode MS" w:hAnsi="Arial Unicode MS"/>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360" w:type="dxa"/>
            <w:vAlign w:val="bottom"/>
            <w:tcBorders>
              <w:right w:val="single" w:sz="8" w:color="auto"/>
            </w:tcBorders>
          </w:tcPr>
          <w:p>
            <w:pPr>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gridSpan w:val="2"/>
          </w:tcPr>
          <w:p>
            <w:pPr>
              <w:spacing w:after="0"/>
              <w:rPr>
                <w:sz w:val="19"/>
                <w:szCs w:val="19"/>
                <w:color w:val="auto"/>
              </w:rPr>
            </w:pPr>
          </w:p>
        </w:tc>
        <w:tc>
          <w:tcPr>
            <w:tcW w:w="9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w w:val="93"/>
              </w:rPr>
              <w:t>SEC Use Only</w:t>
            </w:r>
          </w:p>
        </w:tc>
        <w:tc>
          <w:tcPr>
            <w:tcW w:w="9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WC</w:t>
            </w:r>
          </w:p>
        </w:tc>
        <w:tc>
          <w:tcPr>
            <w:tcW w:w="52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2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9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63"/>
        </w:trPr>
        <w:tc>
          <w:tcPr>
            <w:tcW w:w="24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2"/>
              </w:rPr>
              <w:t>Number of</w:t>
            </w:r>
          </w:p>
        </w:tc>
        <w:tc>
          <w:tcPr>
            <w:tcW w:w="520" w:type="dxa"/>
            <w:vAlign w:val="bottom"/>
            <w:tcBorders>
              <w:right w:val="single" w:sz="8" w:color="auto"/>
            </w:tcBorders>
          </w:tcPr>
          <w:p>
            <w:pPr>
              <w:spacing w:after="0"/>
              <w:rPr>
                <w:sz w:val="24"/>
                <w:szCs w:val="24"/>
                <w:color w:val="auto"/>
              </w:rPr>
            </w:pPr>
          </w:p>
        </w:tc>
        <w:tc>
          <w:tcPr>
            <w:tcW w:w="93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240" w:type="dxa"/>
            <w:vAlign w:val="bottom"/>
            <w:tcBorders>
              <w:left w:val="single" w:sz="8" w:color="auto"/>
            </w:tcBorders>
          </w:tcPr>
          <w:p>
            <w:pPr>
              <w:spacing w:after="0"/>
              <w:rPr>
                <w:sz w:val="7"/>
                <w:szCs w:val="7"/>
                <w:color w:val="auto"/>
              </w:rPr>
            </w:pPr>
          </w:p>
        </w:tc>
        <w:tc>
          <w:tcPr>
            <w:tcW w:w="11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0"/>
              </w:rPr>
              <w:t>Shares</w:t>
            </w:r>
          </w:p>
        </w:tc>
        <w:tc>
          <w:tcPr>
            <w:tcW w:w="520" w:type="dxa"/>
            <w:vAlign w:val="bottom"/>
            <w:tcBorders>
              <w:bottom w:val="single" w:sz="8" w:color="auto"/>
              <w:right w:val="single" w:sz="8" w:color="auto"/>
            </w:tcBorders>
          </w:tcPr>
          <w:p>
            <w:pPr>
              <w:spacing w:after="0"/>
              <w:rPr>
                <w:sz w:val="7"/>
                <w:szCs w:val="7"/>
                <w:color w:val="auto"/>
              </w:rPr>
            </w:pPr>
          </w:p>
        </w:tc>
        <w:tc>
          <w:tcPr>
            <w:tcW w:w="93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4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5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8.</w:t>
            </w:r>
          </w:p>
        </w:tc>
        <w:tc>
          <w:tcPr>
            <w:tcW w:w="93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24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4"/>
              </w:rPr>
              <w:t>Beneficially</w:t>
            </w:r>
          </w:p>
        </w:tc>
        <w:tc>
          <w:tcPr>
            <w:tcW w:w="520" w:type="dxa"/>
            <w:vAlign w:val="bottom"/>
            <w:tcBorders>
              <w:right w:val="single" w:sz="8" w:color="auto"/>
            </w:tcBorders>
            <w:vMerge w:val="continue"/>
          </w:tcPr>
          <w:p>
            <w:pPr>
              <w:spacing w:after="0"/>
              <w:rPr>
                <w:sz w:val="9"/>
                <w:szCs w:val="9"/>
                <w:color w:val="auto"/>
              </w:rPr>
            </w:pPr>
          </w:p>
        </w:tc>
        <w:tc>
          <w:tcPr>
            <w:tcW w:w="9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4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9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Owned by</w:t>
            </w:r>
          </w:p>
        </w:tc>
        <w:tc>
          <w:tcPr>
            <w:tcW w:w="5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tcPr>
          <w:p>
            <w:pPr>
              <w:spacing w:after="0"/>
              <w:rPr>
                <w:sz w:val="10"/>
                <w:szCs w:val="10"/>
                <w:color w:val="auto"/>
              </w:rPr>
            </w:pPr>
          </w:p>
        </w:tc>
        <w:tc>
          <w:tcPr>
            <w:tcW w:w="11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2"/>
              </w:rPr>
              <w:t>Each</w:t>
            </w:r>
          </w:p>
        </w:tc>
        <w:tc>
          <w:tcPr>
            <w:tcW w:w="520" w:type="dxa"/>
            <w:vAlign w:val="bottom"/>
            <w:tcBorders>
              <w:bottom w:val="single" w:sz="8" w:color="auto"/>
              <w:right w:val="single" w:sz="8" w:color="auto"/>
            </w:tcBorders>
          </w:tcPr>
          <w:p>
            <w:pPr>
              <w:spacing w:after="0"/>
              <w:rPr>
                <w:sz w:val="10"/>
                <w:szCs w:val="10"/>
                <w:color w:val="auto"/>
              </w:rPr>
            </w:pPr>
          </w:p>
        </w:tc>
        <w:tc>
          <w:tcPr>
            <w:tcW w:w="93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40" w:type="dxa"/>
            <w:vAlign w:val="bottom"/>
            <w:tcBorders>
              <w:left w:val="single" w:sz="8" w:color="auto"/>
            </w:tcBorders>
          </w:tcPr>
          <w:p>
            <w:pPr>
              <w:spacing w:after="0"/>
              <w:rPr>
                <w:sz w:val="6"/>
                <w:szCs w:val="6"/>
                <w:color w:val="auto"/>
              </w:rPr>
            </w:pPr>
          </w:p>
        </w:tc>
        <w:tc>
          <w:tcPr>
            <w:tcW w:w="1140" w:type="dxa"/>
            <w:vAlign w:val="bottom"/>
            <w:tcBorders>
              <w:right w:val="single" w:sz="8" w:color="auto"/>
            </w:tcBorders>
            <w:gridSpan w:val="2"/>
            <w:vMerge w:val="continue"/>
          </w:tcPr>
          <w:p>
            <w:pPr>
              <w:spacing w:after="0"/>
              <w:rPr>
                <w:sz w:val="6"/>
                <w:szCs w:val="6"/>
                <w:color w:val="auto"/>
              </w:rPr>
            </w:pPr>
          </w:p>
        </w:tc>
        <w:tc>
          <w:tcPr>
            <w:tcW w:w="5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9.</w:t>
            </w:r>
          </w:p>
        </w:tc>
        <w:tc>
          <w:tcPr>
            <w:tcW w:w="93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40" w:type="dxa"/>
            <w:vAlign w:val="bottom"/>
            <w:tcBorders>
              <w:left w:val="single" w:sz="8" w:color="auto"/>
            </w:tcBorders>
          </w:tcPr>
          <w:p>
            <w:pPr>
              <w:spacing w:after="0"/>
              <w:rPr>
                <w:sz w:val="13"/>
                <w:szCs w:val="13"/>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2"/>
              </w:rPr>
              <w:t>Reporting</w:t>
            </w:r>
          </w:p>
        </w:tc>
        <w:tc>
          <w:tcPr>
            <w:tcW w:w="520" w:type="dxa"/>
            <w:vAlign w:val="bottom"/>
            <w:tcBorders>
              <w:right w:val="single" w:sz="8" w:color="auto"/>
            </w:tcBorders>
            <w:vMerge w:val="continue"/>
          </w:tcPr>
          <w:p>
            <w:pPr>
              <w:spacing w:after="0"/>
              <w:rPr>
                <w:sz w:val="13"/>
                <w:szCs w:val="13"/>
                <w:color w:val="auto"/>
              </w:rPr>
            </w:pPr>
          </w:p>
        </w:tc>
        <w:tc>
          <w:tcPr>
            <w:tcW w:w="93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40" w:type="dxa"/>
            <w:vAlign w:val="bottom"/>
            <w:tcBorders>
              <w:left w:val="single" w:sz="8" w:color="auto"/>
            </w:tcBorders>
          </w:tcPr>
          <w:p>
            <w:pPr>
              <w:spacing w:after="0"/>
              <w:rPr>
                <w:sz w:val="5"/>
                <w:szCs w:val="5"/>
                <w:color w:val="auto"/>
              </w:rPr>
            </w:pPr>
          </w:p>
        </w:tc>
        <w:tc>
          <w:tcPr>
            <w:tcW w:w="1140" w:type="dxa"/>
            <w:vAlign w:val="bottom"/>
            <w:tcBorders>
              <w:right w:val="single" w:sz="8" w:color="auto"/>
            </w:tcBorders>
            <w:gridSpan w:val="2"/>
            <w:vMerge w:val="continue"/>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9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7"/>
              </w:rPr>
              <w:t>Person</w:t>
            </w:r>
          </w:p>
        </w:tc>
        <w:tc>
          <w:tcPr>
            <w:tcW w:w="5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24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4"/>
              </w:rPr>
              <w:t>With</w:t>
            </w:r>
          </w:p>
        </w:tc>
        <w:tc>
          <w:tcPr>
            <w:tcW w:w="520" w:type="dxa"/>
            <w:vAlign w:val="bottom"/>
            <w:tcBorders>
              <w:bottom w:val="single" w:sz="8" w:color="auto"/>
              <w:right w:val="single" w:sz="8" w:color="auto"/>
            </w:tcBorders>
          </w:tcPr>
          <w:p>
            <w:pPr>
              <w:spacing w:after="0"/>
              <w:rPr>
                <w:sz w:val="14"/>
                <w:szCs w:val="14"/>
                <w:color w:val="auto"/>
              </w:rPr>
            </w:pPr>
          </w:p>
        </w:tc>
        <w:tc>
          <w:tcPr>
            <w:tcW w:w="93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10.</w:t>
            </w:r>
          </w:p>
        </w:tc>
        <w:tc>
          <w:tcPr>
            <w:tcW w:w="9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11.</w:t>
            </w:r>
          </w:p>
        </w:tc>
        <w:tc>
          <w:tcPr>
            <w:tcW w:w="40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40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2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40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0.0%</w:t>
            </w:r>
          </w:p>
        </w:tc>
        <w:tc>
          <w:tcPr>
            <w:tcW w:w="52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14.</w:t>
            </w:r>
          </w:p>
        </w:tc>
        <w:tc>
          <w:tcPr>
            <w:tcW w:w="40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OO</w:t>
            </w:r>
          </w:p>
        </w:tc>
        <w:tc>
          <w:tcPr>
            <w:tcW w:w="52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41" w:right="31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80" w:type="dxa"/>
            <w:vAlign w:val="bottom"/>
            <w:gridSpan w:val="5"/>
          </w:tcPr>
          <w:p>
            <w:pPr>
              <w:jc w:val="right"/>
              <w:ind w:right="110"/>
              <w:spacing w:after="0"/>
              <w:rPr>
                <w:sz w:val="20"/>
                <w:szCs w:val="20"/>
                <w:color w:val="auto"/>
              </w:rPr>
            </w:pPr>
            <w:r>
              <w:rPr>
                <w:rFonts w:ascii="Arial" w:cs="Arial" w:eastAsia="Arial" w:hAnsi="Arial"/>
                <w:sz w:val="18"/>
                <w:szCs w:val="18"/>
                <w:color w:val="auto"/>
                <w:w w:val="90"/>
              </w:rPr>
              <w:t>CUSIP No. 18914F111</w:t>
            </w:r>
          </w:p>
        </w:tc>
        <w:tc>
          <w:tcPr>
            <w:tcW w:w="60" w:type="dxa"/>
            <w:vAlign w:val="bottom"/>
          </w:tcPr>
          <w:p>
            <w:pPr>
              <w:spacing w:after="0"/>
              <w:rPr>
                <w:sz w:val="20"/>
                <w:szCs w:val="20"/>
                <w:color w:val="auto"/>
              </w:rPr>
            </w:pPr>
          </w:p>
        </w:tc>
        <w:tc>
          <w:tcPr>
            <w:tcW w:w="9320" w:type="dxa"/>
            <w:vAlign w:val="bottom"/>
          </w:tcPr>
          <w:p>
            <w:pPr>
              <w:ind w:left="8040"/>
              <w:spacing w:after="0"/>
              <w:rPr>
                <w:sz w:val="20"/>
                <w:szCs w:val="20"/>
                <w:color w:val="auto"/>
              </w:rPr>
            </w:pPr>
            <w:r>
              <w:rPr>
                <w:rFonts w:ascii="Arial" w:cs="Arial" w:eastAsia="Arial" w:hAnsi="Arial"/>
                <w:sz w:val="18"/>
                <w:szCs w:val="18"/>
                <w:color w:val="auto"/>
                <w:w w:val="84"/>
              </w:rPr>
              <w:t>Page 3 of 9 pages</w:t>
            </w:r>
          </w:p>
        </w:tc>
        <w:tc>
          <w:tcPr>
            <w:tcW w:w="0" w:type="dxa"/>
            <w:vAlign w:val="bottom"/>
          </w:tcPr>
          <w:p>
            <w:pPr>
              <w:spacing w:after="0"/>
              <w:rPr>
                <w:sz w:val="1"/>
                <w:szCs w:val="1"/>
                <w:color w:val="auto"/>
              </w:rPr>
            </w:pPr>
          </w:p>
        </w:tc>
      </w:tr>
      <w:tr>
        <w:trPr>
          <w:trHeight w:val="365"/>
        </w:trPr>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5"/>
          </w:tcPr>
          <w:p>
            <w:pPr>
              <w:ind w:left="140"/>
              <w:spacing w:after="0"/>
              <w:rPr>
                <w:sz w:val="20"/>
                <w:szCs w:val="20"/>
                <w:color w:val="auto"/>
              </w:rPr>
            </w:pPr>
            <w:r>
              <w:rPr>
                <w:rFonts w:ascii="Arial" w:cs="Arial" w:eastAsia="Arial" w:hAnsi="Arial"/>
                <w:sz w:val="18"/>
                <w:szCs w:val="18"/>
                <w:color w:val="auto"/>
              </w:rPr>
              <w:t>ChaChaCha SPAC C LLC</w:t>
            </w:r>
          </w:p>
        </w:tc>
        <w:tc>
          <w:tcPr>
            <w:tcW w:w="0" w:type="dxa"/>
            <w:vAlign w:val="bottom"/>
          </w:tcPr>
          <w:p>
            <w:pPr>
              <w:spacing w:after="0"/>
              <w:rPr>
                <w:sz w:val="1"/>
                <w:szCs w:val="1"/>
                <w:color w:val="auto"/>
              </w:rPr>
            </w:pPr>
          </w:p>
        </w:tc>
      </w:tr>
      <w:tr>
        <w:trPr>
          <w:trHeight w:val="163"/>
        </w:trPr>
        <w:tc>
          <w:tcPr>
            <w:tcW w:w="26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14"/>
                <w:szCs w:val="14"/>
                <w:color w:val="auto"/>
              </w:rPr>
            </w:pPr>
          </w:p>
        </w:tc>
        <w:tc>
          <w:tcPr>
            <w:tcW w:w="10620" w:type="dxa"/>
            <w:vAlign w:val="bottom"/>
            <w:tcBorders>
              <w:right w:val="single" w:sz="8" w:color="auto"/>
            </w:tcBorders>
            <w:gridSpan w:val="5"/>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20" w:type="dxa"/>
            <w:vAlign w:val="bottom"/>
            <w:gridSpan w:val="2"/>
          </w:tcPr>
          <w:p>
            <w:pPr>
              <w:ind w:left="140"/>
              <w:spacing w:after="0" w:line="242" w:lineRule="exact"/>
              <w:rPr>
                <w:sz w:val="20"/>
                <w:szCs w:val="20"/>
                <w:color w:val="auto"/>
              </w:rPr>
            </w:pPr>
            <w:r>
              <w:rPr>
                <w:rFonts w:ascii="Arial" w:cs="Arial" w:eastAsia="Arial" w:hAnsi="Arial"/>
                <w:sz w:val="18"/>
                <w:szCs w:val="18"/>
                <w:color w:val="auto"/>
              </w:rPr>
              <w:t xml:space="preserve">(a) </w:t>
            </w:r>
            <w:r>
              <w:rPr>
                <w:rFonts w:ascii="Arial Unicode MS" w:cs="Arial Unicode MS" w:eastAsia="Arial Unicode MS" w:hAnsi="Arial Unicode MS"/>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(b)</w:t>
            </w:r>
          </w:p>
        </w:tc>
        <w:tc>
          <w:tcPr>
            <w:tcW w:w="9380" w:type="dxa"/>
            <w:vAlign w:val="bottom"/>
            <w:tcBorders>
              <w:right w:val="single" w:sz="8" w:color="auto"/>
            </w:tcBorders>
            <w:gridSpan w:val="2"/>
          </w:tcPr>
          <w:p>
            <w:pPr>
              <w:ind w:left="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3"/>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19"/>
                <w:szCs w:val="19"/>
                <w:color w:val="auto"/>
              </w:rPr>
            </w:pPr>
          </w:p>
        </w:tc>
        <w:tc>
          <w:tcPr>
            <w:tcW w:w="1240" w:type="dxa"/>
            <w:vAlign w:val="bottom"/>
            <w:gridSpan w:val="3"/>
          </w:tcPr>
          <w:p>
            <w:pPr>
              <w:ind w:left="140"/>
              <w:spacing w:after="0"/>
              <w:rPr>
                <w:sz w:val="20"/>
                <w:szCs w:val="20"/>
                <w:color w:val="auto"/>
              </w:rPr>
            </w:pPr>
            <w:r>
              <w:rPr>
                <w:rFonts w:ascii="Arial" w:cs="Arial" w:eastAsia="Arial" w:hAnsi="Arial"/>
                <w:sz w:val="18"/>
                <w:szCs w:val="18"/>
                <w:color w:val="auto"/>
                <w:w w:val="93"/>
              </w:rPr>
              <w:t>SEC Use Only</w:t>
            </w:r>
          </w:p>
        </w:tc>
        <w:tc>
          <w:tcPr>
            <w:tcW w:w="60" w:type="dxa"/>
            <w:vAlign w:val="bottom"/>
          </w:tcPr>
          <w:p>
            <w:pPr>
              <w:spacing w:after="0"/>
              <w:rPr>
                <w:sz w:val="19"/>
                <w:szCs w:val="19"/>
                <w:color w:val="auto"/>
              </w:rPr>
            </w:pP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WC, BK</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5"/>
          </w:tcPr>
          <w:p>
            <w:pPr>
              <w:ind w:left="14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9"/>
                <w:szCs w:val="19"/>
                <w:color w:val="auto"/>
              </w:rPr>
            </w:pPr>
          </w:p>
        </w:tc>
        <w:tc>
          <w:tcPr>
            <w:tcW w:w="9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63"/>
        </w:trPr>
        <w:tc>
          <w:tcPr>
            <w:tcW w:w="26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28,408,480</w:t>
            </w:r>
          </w:p>
        </w:tc>
        <w:tc>
          <w:tcPr>
            <w:tcW w:w="0" w:type="dxa"/>
            <w:vAlign w:val="bottom"/>
          </w:tcPr>
          <w:p>
            <w:pPr>
              <w:spacing w:after="0"/>
              <w:rPr>
                <w:sz w:val="1"/>
                <w:szCs w:val="1"/>
                <w:color w:val="auto"/>
              </w:rPr>
            </w:pPr>
          </w:p>
        </w:tc>
      </w:tr>
      <w:tr>
        <w:trPr>
          <w:trHeight w:val="82"/>
        </w:trPr>
        <w:tc>
          <w:tcPr>
            <w:tcW w:w="260" w:type="dxa"/>
            <w:vAlign w:val="bottom"/>
            <w:tcBorders>
              <w:left w:val="single" w:sz="8" w:color="auto"/>
            </w:tcBorders>
          </w:tcPr>
          <w:p>
            <w:pPr>
              <w:spacing w:after="0"/>
              <w:rPr>
                <w:sz w:val="7"/>
                <w:szCs w:val="7"/>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93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60" w:type="dxa"/>
            <w:vAlign w:val="bottom"/>
            <w:tcBorders>
              <w:left w:val="single" w:sz="8" w:color="auto"/>
            </w:tcBorders>
          </w:tcPr>
          <w:p>
            <w:pPr>
              <w:spacing w:after="0"/>
              <w:rPr>
                <w:sz w:val="6"/>
                <w:szCs w:val="6"/>
                <w:color w:val="auto"/>
              </w:rPr>
            </w:pPr>
          </w:p>
        </w:tc>
        <w:tc>
          <w:tcPr>
            <w:tcW w:w="114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6"/>
                <w:szCs w:val="6"/>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60" w:type="dxa"/>
            <w:vAlign w:val="bottom"/>
            <w:tcBorders>
              <w:left w:val="single" w:sz="8" w:color="auto"/>
            </w:tcBorders>
          </w:tcPr>
          <w:p>
            <w:pPr>
              <w:spacing w:after="0"/>
              <w:rPr>
                <w:sz w:val="13"/>
                <w:szCs w:val="13"/>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60" w:type="dxa"/>
            <w:vAlign w:val="bottom"/>
            <w:tcBorders>
              <w:left w:val="single" w:sz="8" w:color="auto"/>
            </w:tcBorders>
          </w:tcPr>
          <w:p>
            <w:pPr>
              <w:spacing w:after="0"/>
              <w:rPr>
                <w:sz w:val="5"/>
                <w:szCs w:val="5"/>
                <w:color w:val="auto"/>
              </w:rPr>
            </w:pPr>
          </w:p>
        </w:tc>
        <w:tc>
          <w:tcPr>
            <w:tcW w:w="114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28,408,480</w:t>
            </w:r>
          </w:p>
        </w:tc>
        <w:tc>
          <w:tcPr>
            <w:tcW w:w="0" w:type="dxa"/>
            <w:vAlign w:val="bottom"/>
          </w:tcPr>
          <w:p>
            <w:pPr>
              <w:spacing w:after="0"/>
              <w:rPr>
                <w:sz w:val="1"/>
                <w:szCs w:val="1"/>
                <w:color w:val="auto"/>
              </w:rPr>
            </w:pPr>
          </w:p>
        </w:tc>
      </w:tr>
      <w:tr>
        <w:trPr>
          <w:trHeight w:val="163"/>
        </w:trPr>
        <w:tc>
          <w:tcPr>
            <w:tcW w:w="26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93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95"/>
              </w:rPr>
              <w:t>10.</w:t>
            </w:r>
          </w:p>
        </w:tc>
        <w:tc>
          <w:tcPr>
            <w:tcW w:w="60" w:type="dxa"/>
            <w:vAlign w:val="bottom"/>
            <w:tcBorders>
              <w:right w:val="single" w:sz="8" w:color="auto"/>
            </w:tcBorders>
          </w:tcPr>
          <w:p>
            <w:pPr>
              <w:spacing w:after="0"/>
              <w:rPr>
                <w:sz w:val="19"/>
                <w:szCs w:val="19"/>
                <w:color w:val="auto"/>
              </w:rPr>
            </w:pPr>
          </w:p>
        </w:tc>
        <w:tc>
          <w:tcPr>
            <w:tcW w:w="9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11.</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28,408,480</w:t>
            </w: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14.</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68" w:right="31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80" w:type="dxa"/>
            <w:vAlign w:val="bottom"/>
            <w:gridSpan w:val="5"/>
          </w:tcPr>
          <w:p>
            <w:pPr>
              <w:jc w:val="right"/>
              <w:ind w:right="110"/>
              <w:spacing w:after="0"/>
              <w:rPr>
                <w:sz w:val="20"/>
                <w:szCs w:val="20"/>
                <w:color w:val="auto"/>
              </w:rPr>
            </w:pPr>
            <w:r>
              <w:rPr>
                <w:rFonts w:ascii="Arial" w:cs="Arial" w:eastAsia="Arial" w:hAnsi="Arial"/>
                <w:sz w:val="18"/>
                <w:szCs w:val="18"/>
                <w:color w:val="auto"/>
                <w:w w:val="90"/>
              </w:rPr>
              <w:t>CUSIP No. 18914F111</w:t>
            </w:r>
          </w:p>
        </w:tc>
        <w:tc>
          <w:tcPr>
            <w:tcW w:w="60" w:type="dxa"/>
            <w:vAlign w:val="bottom"/>
          </w:tcPr>
          <w:p>
            <w:pPr>
              <w:spacing w:after="0"/>
              <w:rPr>
                <w:sz w:val="20"/>
                <w:szCs w:val="20"/>
                <w:color w:val="auto"/>
              </w:rPr>
            </w:pPr>
          </w:p>
        </w:tc>
        <w:tc>
          <w:tcPr>
            <w:tcW w:w="9320" w:type="dxa"/>
            <w:vAlign w:val="bottom"/>
          </w:tcPr>
          <w:p>
            <w:pPr>
              <w:ind w:left="8040"/>
              <w:spacing w:after="0"/>
              <w:rPr>
                <w:sz w:val="20"/>
                <w:szCs w:val="20"/>
                <w:color w:val="auto"/>
              </w:rPr>
            </w:pPr>
            <w:r>
              <w:rPr>
                <w:rFonts w:ascii="Arial" w:cs="Arial" w:eastAsia="Arial" w:hAnsi="Arial"/>
                <w:sz w:val="18"/>
                <w:szCs w:val="18"/>
                <w:color w:val="auto"/>
                <w:w w:val="84"/>
              </w:rPr>
              <w:t>Page 4 of 9 pages</w:t>
            </w:r>
          </w:p>
        </w:tc>
        <w:tc>
          <w:tcPr>
            <w:tcW w:w="0" w:type="dxa"/>
            <w:vAlign w:val="bottom"/>
          </w:tcPr>
          <w:p>
            <w:pPr>
              <w:spacing w:after="0"/>
              <w:rPr>
                <w:sz w:val="1"/>
                <w:szCs w:val="1"/>
                <w:color w:val="auto"/>
              </w:rPr>
            </w:pPr>
          </w:p>
        </w:tc>
      </w:tr>
      <w:tr>
        <w:trPr>
          <w:trHeight w:val="364"/>
        </w:trPr>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5"/>
          </w:tcPr>
          <w:p>
            <w:pPr>
              <w:ind w:left="140"/>
              <w:spacing w:after="0"/>
              <w:rPr>
                <w:sz w:val="20"/>
                <w:szCs w:val="20"/>
                <w:color w:val="auto"/>
              </w:rPr>
            </w:pPr>
            <w:r>
              <w:rPr>
                <w:rFonts w:ascii="Arial" w:cs="Arial" w:eastAsia="Arial" w:hAnsi="Arial"/>
                <w:sz w:val="18"/>
                <w:szCs w:val="18"/>
                <w:color w:val="auto"/>
              </w:rPr>
              <w:t>Chamath Palihapitiya</w:t>
            </w:r>
          </w:p>
        </w:tc>
        <w:tc>
          <w:tcPr>
            <w:tcW w:w="0" w:type="dxa"/>
            <w:vAlign w:val="bottom"/>
          </w:tcPr>
          <w:p>
            <w:pPr>
              <w:spacing w:after="0"/>
              <w:rPr>
                <w:sz w:val="1"/>
                <w:szCs w:val="1"/>
                <w:color w:val="auto"/>
              </w:rPr>
            </w:pPr>
          </w:p>
        </w:tc>
      </w:tr>
      <w:tr>
        <w:trPr>
          <w:trHeight w:val="163"/>
        </w:trPr>
        <w:tc>
          <w:tcPr>
            <w:tcW w:w="26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14"/>
                <w:szCs w:val="14"/>
                <w:color w:val="auto"/>
              </w:rPr>
            </w:pPr>
          </w:p>
        </w:tc>
        <w:tc>
          <w:tcPr>
            <w:tcW w:w="10620" w:type="dxa"/>
            <w:vAlign w:val="bottom"/>
            <w:tcBorders>
              <w:right w:val="single" w:sz="8" w:color="auto"/>
            </w:tcBorders>
            <w:gridSpan w:val="5"/>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20" w:type="dxa"/>
            <w:vAlign w:val="bottom"/>
            <w:gridSpan w:val="2"/>
          </w:tcPr>
          <w:p>
            <w:pPr>
              <w:ind w:left="140"/>
              <w:spacing w:after="0" w:line="242" w:lineRule="exact"/>
              <w:rPr>
                <w:sz w:val="20"/>
                <w:szCs w:val="20"/>
                <w:color w:val="auto"/>
              </w:rPr>
            </w:pPr>
            <w:r>
              <w:rPr>
                <w:rFonts w:ascii="Arial" w:cs="Arial" w:eastAsia="Arial" w:hAnsi="Arial"/>
                <w:sz w:val="18"/>
                <w:szCs w:val="18"/>
                <w:color w:val="auto"/>
              </w:rPr>
              <w:t xml:space="preserve">(a) </w:t>
            </w:r>
            <w:r>
              <w:rPr>
                <w:rFonts w:ascii="Arial Unicode MS" w:cs="Arial Unicode MS" w:eastAsia="Arial Unicode MS" w:hAnsi="Arial Unicode MS"/>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(b)</w:t>
            </w:r>
          </w:p>
        </w:tc>
        <w:tc>
          <w:tcPr>
            <w:tcW w:w="9380" w:type="dxa"/>
            <w:vAlign w:val="bottom"/>
            <w:tcBorders>
              <w:right w:val="single" w:sz="8" w:color="auto"/>
            </w:tcBorders>
            <w:gridSpan w:val="2"/>
          </w:tcPr>
          <w:p>
            <w:pPr>
              <w:ind w:left="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3"/>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19"/>
                <w:szCs w:val="19"/>
                <w:color w:val="auto"/>
              </w:rPr>
            </w:pPr>
          </w:p>
        </w:tc>
        <w:tc>
          <w:tcPr>
            <w:tcW w:w="1240" w:type="dxa"/>
            <w:vAlign w:val="bottom"/>
            <w:gridSpan w:val="3"/>
          </w:tcPr>
          <w:p>
            <w:pPr>
              <w:ind w:left="140"/>
              <w:spacing w:after="0"/>
              <w:rPr>
                <w:sz w:val="20"/>
                <w:szCs w:val="20"/>
                <w:color w:val="auto"/>
              </w:rPr>
            </w:pPr>
            <w:r>
              <w:rPr>
                <w:rFonts w:ascii="Arial" w:cs="Arial" w:eastAsia="Arial" w:hAnsi="Arial"/>
                <w:sz w:val="18"/>
                <w:szCs w:val="18"/>
                <w:color w:val="auto"/>
                <w:w w:val="93"/>
              </w:rPr>
              <w:t>SEC Use Only</w:t>
            </w:r>
          </w:p>
        </w:tc>
        <w:tc>
          <w:tcPr>
            <w:tcW w:w="60" w:type="dxa"/>
            <w:vAlign w:val="bottom"/>
          </w:tcPr>
          <w:p>
            <w:pPr>
              <w:spacing w:after="0"/>
              <w:rPr>
                <w:sz w:val="19"/>
                <w:szCs w:val="19"/>
                <w:color w:val="auto"/>
              </w:rPr>
            </w:pP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WC, BK</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w w:val="99"/>
              </w:rPr>
              <w:t>United States</w:t>
            </w: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9"/>
                <w:szCs w:val="19"/>
                <w:color w:val="auto"/>
              </w:rPr>
            </w:pPr>
          </w:p>
        </w:tc>
        <w:tc>
          <w:tcPr>
            <w:tcW w:w="9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63"/>
        </w:trPr>
        <w:tc>
          <w:tcPr>
            <w:tcW w:w="26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30,432,501</w:t>
            </w:r>
          </w:p>
        </w:tc>
        <w:tc>
          <w:tcPr>
            <w:tcW w:w="0" w:type="dxa"/>
            <w:vAlign w:val="bottom"/>
          </w:tcPr>
          <w:p>
            <w:pPr>
              <w:spacing w:after="0"/>
              <w:rPr>
                <w:sz w:val="1"/>
                <w:szCs w:val="1"/>
                <w:color w:val="auto"/>
              </w:rPr>
            </w:pPr>
          </w:p>
        </w:tc>
      </w:tr>
      <w:tr>
        <w:trPr>
          <w:trHeight w:val="82"/>
        </w:trPr>
        <w:tc>
          <w:tcPr>
            <w:tcW w:w="260" w:type="dxa"/>
            <w:vAlign w:val="bottom"/>
            <w:tcBorders>
              <w:left w:val="single" w:sz="8" w:color="auto"/>
            </w:tcBorders>
          </w:tcPr>
          <w:p>
            <w:pPr>
              <w:spacing w:after="0"/>
              <w:rPr>
                <w:sz w:val="7"/>
                <w:szCs w:val="7"/>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93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1"/>
              </w:rPr>
              <w:t>Owned by</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60" w:type="dxa"/>
            <w:vAlign w:val="bottom"/>
            <w:tcBorders>
              <w:left w:val="single" w:sz="8" w:color="auto"/>
            </w:tcBorders>
          </w:tcPr>
          <w:p>
            <w:pPr>
              <w:spacing w:after="0"/>
              <w:rPr>
                <w:sz w:val="6"/>
                <w:szCs w:val="6"/>
                <w:color w:val="auto"/>
              </w:rPr>
            </w:pPr>
          </w:p>
        </w:tc>
        <w:tc>
          <w:tcPr>
            <w:tcW w:w="114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6"/>
                <w:szCs w:val="6"/>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60" w:type="dxa"/>
            <w:vAlign w:val="bottom"/>
            <w:tcBorders>
              <w:left w:val="single" w:sz="8" w:color="auto"/>
            </w:tcBorders>
          </w:tcPr>
          <w:p>
            <w:pPr>
              <w:spacing w:after="0"/>
              <w:rPr>
                <w:sz w:val="13"/>
                <w:szCs w:val="13"/>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60" w:type="dxa"/>
            <w:vAlign w:val="bottom"/>
            <w:tcBorders>
              <w:left w:val="single" w:sz="8" w:color="auto"/>
            </w:tcBorders>
          </w:tcPr>
          <w:p>
            <w:pPr>
              <w:spacing w:after="0"/>
              <w:rPr>
                <w:sz w:val="5"/>
                <w:szCs w:val="5"/>
                <w:color w:val="auto"/>
              </w:rPr>
            </w:pPr>
          </w:p>
        </w:tc>
        <w:tc>
          <w:tcPr>
            <w:tcW w:w="114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30,432,501</w:t>
            </w:r>
          </w:p>
        </w:tc>
        <w:tc>
          <w:tcPr>
            <w:tcW w:w="0" w:type="dxa"/>
            <w:vAlign w:val="bottom"/>
          </w:tcPr>
          <w:p>
            <w:pPr>
              <w:spacing w:after="0"/>
              <w:rPr>
                <w:sz w:val="1"/>
                <w:szCs w:val="1"/>
                <w:color w:val="auto"/>
              </w:rPr>
            </w:pPr>
          </w:p>
        </w:tc>
      </w:tr>
      <w:tr>
        <w:trPr>
          <w:trHeight w:val="163"/>
        </w:trPr>
        <w:tc>
          <w:tcPr>
            <w:tcW w:w="26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93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95"/>
              </w:rPr>
              <w:t>10.</w:t>
            </w:r>
          </w:p>
        </w:tc>
        <w:tc>
          <w:tcPr>
            <w:tcW w:w="60" w:type="dxa"/>
            <w:vAlign w:val="bottom"/>
            <w:tcBorders>
              <w:right w:val="single" w:sz="8" w:color="auto"/>
            </w:tcBorders>
          </w:tcPr>
          <w:p>
            <w:pPr>
              <w:spacing w:after="0"/>
              <w:rPr>
                <w:sz w:val="19"/>
                <w:szCs w:val="19"/>
                <w:color w:val="auto"/>
              </w:rPr>
            </w:pPr>
          </w:p>
        </w:tc>
        <w:tc>
          <w:tcPr>
            <w:tcW w:w="9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11.</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30,432,501</w:t>
            </w: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14.</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27" w:right="31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80" w:type="dxa"/>
            <w:vAlign w:val="bottom"/>
            <w:gridSpan w:val="4"/>
          </w:tcPr>
          <w:p>
            <w:pPr>
              <w:jc w:val="right"/>
              <w:ind w:right="110"/>
              <w:spacing w:after="0"/>
              <w:rPr>
                <w:sz w:val="20"/>
                <w:szCs w:val="20"/>
                <w:color w:val="auto"/>
              </w:rPr>
            </w:pPr>
            <w:r>
              <w:rPr>
                <w:rFonts w:ascii="Arial" w:cs="Arial" w:eastAsia="Arial" w:hAnsi="Arial"/>
                <w:sz w:val="18"/>
                <w:szCs w:val="18"/>
                <w:color w:val="auto"/>
                <w:w w:val="90"/>
              </w:rPr>
              <w:t>CUSIP No. 18914F111</w:t>
            </w:r>
          </w:p>
        </w:tc>
        <w:tc>
          <w:tcPr>
            <w:tcW w:w="60" w:type="dxa"/>
            <w:vAlign w:val="bottom"/>
          </w:tcPr>
          <w:p>
            <w:pPr>
              <w:spacing w:after="0"/>
              <w:rPr>
                <w:sz w:val="20"/>
                <w:szCs w:val="20"/>
                <w:color w:val="auto"/>
              </w:rPr>
            </w:pPr>
          </w:p>
        </w:tc>
        <w:tc>
          <w:tcPr>
            <w:tcW w:w="9320" w:type="dxa"/>
            <w:vAlign w:val="bottom"/>
          </w:tcPr>
          <w:p>
            <w:pPr>
              <w:ind w:left="8040"/>
              <w:spacing w:after="0"/>
              <w:rPr>
                <w:sz w:val="20"/>
                <w:szCs w:val="20"/>
                <w:color w:val="auto"/>
              </w:rPr>
            </w:pPr>
            <w:r>
              <w:rPr>
                <w:rFonts w:ascii="Arial" w:cs="Arial" w:eastAsia="Arial" w:hAnsi="Arial"/>
                <w:sz w:val="18"/>
                <w:szCs w:val="18"/>
                <w:color w:val="auto"/>
                <w:w w:val="84"/>
              </w:rPr>
              <w:t>Page 5 of 9 pages</w:t>
            </w:r>
          </w:p>
        </w:tc>
        <w:tc>
          <w:tcPr>
            <w:tcW w:w="0" w:type="dxa"/>
            <w:vAlign w:val="bottom"/>
          </w:tcPr>
          <w:p>
            <w:pPr>
              <w:spacing w:after="0"/>
              <w:rPr>
                <w:sz w:val="1"/>
                <w:szCs w:val="1"/>
                <w:color w:val="auto"/>
              </w:rPr>
            </w:pPr>
          </w:p>
        </w:tc>
      </w:tr>
      <w:tr>
        <w:trPr>
          <w:trHeight w:val="364"/>
        </w:trPr>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Ian Osborne</w:t>
            </w: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6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14"/>
                <w:szCs w:val="14"/>
                <w:color w:val="auto"/>
              </w:rPr>
            </w:pPr>
          </w:p>
        </w:tc>
        <w:tc>
          <w:tcPr>
            <w:tcW w:w="10620" w:type="dxa"/>
            <w:vAlign w:val="bottom"/>
            <w:tcBorders>
              <w:right w:val="single" w:sz="8" w:color="auto"/>
            </w:tcBorders>
            <w:gridSpan w:val="4"/>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26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60" w:type="dxa"/>
            <w:vAlign w:val="bottom"/>
          </w:tcPr>
          <w:p>
            <w:pPr>
              <w:ind w:left="140"/>
              <w:spacing w:after="0" w:line="242" w:lineRule="exact"/>
              <w:rPr>
                <w:sz w:val="20"/>
                <w:szCs w:val="20"/>
                <w:color w:val="auto"/>
              </w:rPr>
            </w:pPr>
            <w:r>
              <w:rPr>
                <w:rFonts w:ascii="Arial" w:cs="Arial" w:eastAsia="Arial" w:hAnsi="Arial"/>
                <w:sz w:val="18"/>
                <w:szCs w:val="18"/>
                <w:color w:val="auto"/>
              </w:rPr>
              <w:t xml:space="preserve">(a) </w:t>
            </w:r>
            <w:r>
              <w:rPr>
                <w:rFonts w:ascii="Arial Unicode MS" w:cs="Arial Unicode MS" w:eastAsia="Arial Unicode MS" w:hAnsi="Arial Unicode MS"/>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c>
          <w:tcPr>
            <w:tcW w:w="9380" w:type="dxa"/>
            <w:vAlign w:val="bottom"/>
            <w:tcBorders>
              <w:right w:val="single" w:sz="8" w:color="auto"/>
            </w:tcBorders>
            <w:gridSpan w:val="2"/>
          </w:tcPr>
          <w:p>
            <w:pPr>
              <w:ind w:left="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23"/>
        </w:trPr>
        <w:tc>
          <w:tcPr>
            <w:tcW w:w="26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w w:val="93"/>
              </w:rPr>
              <w:t>SEC Use Only</w:t>
            </w:r>
          </w:p>
        </w:tc>
        <w:tc>
          <w:tcPr>
            <w:tcW w:w="60" w:type="dxa"/>
            <w:vAlign w:val="bottom"/>
          </w:tcPr>
          <w:p>
            <w:pPr>
              <w:spacing w:after="0"/>
              <w:rPr>
                <w:sz w:val="19"/>
                <w:szCs w:val="19"/>
                <w:color w:val="auto"/>
              </w:rPr>
            </w:pP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0620" w:type="dxa"/>
            <w:vAlign w:val="bottom"/>
            <w:tcBorders>
              <w:bottom w:val="single" w:sz="8" w:color="auto"/>
              <w:right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WC</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9"/>
                <w:szCs w:val="19"/>
                <w:color w:val="auto"/>
              </w:rPr>
            </w:pPr>
          </w:p>
        </w:tc>
        <w:tc>
          <w:tcPr>
            <w:tcW w:w="9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63"/>
        </w:trPr>
        <w:tc>
          <w:tcPr>
            <w:tcW w:w="260" w:type="dxa"/>
            <w:vAlign w:val="bottom"/>
            <w:tcBorders>
              <w:left w:val="single" w:sz="8" w:color="auto"/>
            </w:tcBorders>
          </w:tcPr>
          <w:p>
            <w:pPr>
              <w:spacing w:after="0"/>
              <w:rPr>
                <w:sz w:val="24"/>
                <w:szCs w:val="24"/>
                <w:color w:val="auto"/>
              </w:rPr>
            </w:pPr>
          </w:p>
        </w:tc>
        <w:tc>
          <w:tcPr>
            <w:tcW w:w="11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4,063,919</w:t>
            </w:r>
          </w:p>
        </w:tc>
        <w:tc>
          <w:tcPr>
            <w:tcW w:w="0" w:type="dxa"/>
            <w:vAlign w:val="bottom"/>
          </w:tcPr>
          <w:p>
            <w:pPr>
              <w:spacing w:after="0"/>
              <w:rPr>
                <w:sz w:val="1"/>
                <w:szCs w:val="1"/>
                <w:color w:val="auto"/>
              </w:rPr>
            </w:pPr>
          </w:p>
        </w:tc>
      </w:tr>
      <w:tr>
        <w:trPr>
          <w:trHeight w:val="82"/>
        </w:trPr>
        <w:tc>
          <w:tcPr>
            <w:tcW w:w="260" w:type="dxa"/>
            <w:vAlign w:val="bottom"/>
            <w:tcBorders>
              <w:left w:val="single" w:sz="8" w:color="auto"/>
            </w:tcBorders>
          </w:tcPr>
          <w:p>
            <w:pPr>
              <w:spacing w:after="0"/>
              <w:rPr>
                <w:sz w:val="7"/>
                <w:szCs w:val="7"/>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c>
          <w:tcPr>
            <w:tcW w:w="93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tcBorders>
          </w:tcPr>
          <w:p>
            <w:pPr>
              <w:spacing w:after="0"/>
              <w:rPr>
                <w:sz w:val="9"/>
                <w:szCs w:val="9"/>
                <w:color w:val="auto"/>
              </w:rPr>
            </w:pPr>
          </w:p>
        </w:tc>
        <w:tc>
          <w:tcPr>
            <w:tcW w:w="1140" w:type="dxa"/>
            <w:vAlign w:val="bottom"/>
            <w:tcBorders>
              <w:right w:val="single" w:sz="8" w:color="auto"/>
            </w:tcBorders>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60" w:type="dxa"/>
            <w:vAlign w:val="bottom"/>
            <w:tcBorders>
              <w:left w:val="single" w:sz="8" w:color="auto"/>
            </w:tcBorders>
          </w:tcPr>
          <w:p>
            <w:pPr>
              <w:spacing w:after="0"/>
              <w:rPr>
                <w:sz w:val="6"/>
                <w:szCs w:val="6"/>
                <w:color w:val="auto"/>
              </w:rPr>
            </w:pPr>
          </w:p>
        </w:tc>
        <w:tc>
          <w:tcPr>
            <w:tcW w:w="1140" w:type="dxa"/>
            <w:vAlign w:val="bottom"/>
            <w:tcBorders>
              <w:right w:val="single" w:sz="8" w:color="auto"/>
            </w:tcBorders>
            <w:gridSpan w:val="2"/>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6"/>
                <w:szCs w:val="6"/>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60" w:type="dxa"/>
            <w:vAlign w:val="bottom"/>
            <w:tcBorders>
              <w:left w:val="single" w:sz="8" w:color="auto"/>
            </w:tcBorders>
          </w:tcPr>
          <w:p>
            <w:pPr>
              <w:spacing w:after="0"/>
              <w:rPr>
                <w:sz w:val="13"/>
                <w:szCs w:val="13"/>
                <w:color w:val="auto"/>
              </w:rPr>
            </w:pPr>
          </w:p>
        </w:tc>
        <w:tc>
          <w:tcPr>
            <w:tcW w:w="11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60" w:type="dxa"/>
            <w:vAlign w:val="bottom"/>
            <w:tcBorders>
              <w:left w:val="single" w:sz="8" w:color="auto"/>
            </w:tcBorders>
          </w:tcPr>
          <w:p>
            <w:pPr>
              <w:spacing w:after="0"/>
              <w:rPr>
                <w:sz w:val="5"/>
                <w:szCs w:val="5"/>
                <w:color w:val="auto"/>
              </w:rPr>
            </w:pPr>
          </w:p>
        </w:tc>
        <w:tc>
          <w:tcPr>
            <w:tcW w:w="1140" w:type="dxa"/>
            <w:vAlign w:val="bottom"/>
            <w:tcBorders>
              <w:right w:val="single" w:sz="8" w:color="auto"/>
            </w:tcBorders>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4,063,919</w:t>
            </w:r>
          </w:p>
        </w:tc>
        <w:tc>
          <w:tcPr>
            <w:tcW w:w="0" w:type="dxa"/>
            <w:vAlign w:val="bottom"/>
          </w:tcPr>
          <w:p>
            <w:pPr>
              <w:spacing w:after="0"/>
              <w:rPr>
                <w:sz w:val="1"/>
                <w:szCs w:val="1"/>
                <w:color w:val="auto"/>
              </w:rPr>
            </w:pPr>
          </w:p>
        </w:tc>
      </w:tr>
      <w:tr>
        <w:trPr>
          <w:trHeight w:val="163"/>
        </w:trPr>
        <w:tc>
          <w:tcPr>
            <w:tcW w:w="26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9"/>
              </w:rPr>
              <w:t>With</w:t>
            </w: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right w:val="single" w:sz="8" w:color="auto"/>
            </w:tcBorders>
          </w:tcPr>
          <w:p>
            <w:pPr>
              <w:spacing w:after="0"/>
              <w:rPr>
                <w:sz w:val="14"/>
                <w:szCs w:val="14"/>
                <w:color w:val="auto"/>
              </w:rPr>
            </w:pPr>
          </w:p>
        </w:tc>
        <w:tc>
          <w:tcPr>
            <w:tcW w:w="93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9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11.</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4,063,919</w:t>
            </w: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w w:val="87"/>
              </w:rPr>
              <w:t>14.</w:t>
            </w:r>
          </w:p>
        </w:tc>
        <w:tc>
          <w:tcPr>
            <w:tcW w:w="38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5"/>
        </w:trPr>
        <w:tc>
          <w:tcPr>
            <w:tcW w:w="26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27"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Security and Issuer</w:t>
      </w:r>
    </w:p>
    <w:p>
      <w:pPr>
        <w:spacing w:after="0" w:line="212"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This Amendment No. 1 to Schedule 13D amends and supplements the Schedule 13D filed with the United States Securities and Exchange Commission on January 15, 2021 (the “Schedule 13D”) relating to the Class A common stock, par value $0.0001 per share (the “Class A Common Stock”), of Clover Health Investments, Corp., a Delaware corporation (the “Issuer”), whose principal executive offices are located at 3401 Mallory Lane, Suite 210, Franklin, Tennessee 37067.</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Identity and Background</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Item 2 of the Schedule 13D is hereby amended and restated as follows:</w:t>
      </w:r>
    </w:p>
    <w:p>
      <w:pPr>
        <w:spacing w:after="0" w:line="341" w:lineRule="exact"/>
        <w:rPr>
          <w:sz w:val="20"/>
          <w:szCs w:val="20"/>
          <w:color w:val="auto"/>
        </w:rPr>
      </w:pPr>
    </w:p>
    <w:p>
      <w:pPr>
        <w:ind w:right="440" w:firstLine="648"/>
        <w:spacing w:after="0" w:line="257" w:lineRule="auto"/>
        <w:rPr>
          <w:sz w:val="20"/>
          <w:szCs w:val="20"/>
          <w:color w:val="auto"/>
        </w:rPr>
      </w:pPr>
      <w:r>
        <w:rPr>
          <w:rFonts w:ascii="Arial" w:cs="Arial" w:eastAsia="Arial" w:hAnsi="Arial"/>
          <w:sz w:val="21"/>
          <w:szCs w:val="21"/>
          <w:color w:val="auto"/>
        </w:rPr>
        <w:t>SCH Sponsor III LLC, a Cayman Islands limited liability company (the “Sponsor”), ChaChaCha SPAC C LLC, a Delaware limited liability company ("ChaChaCha"), Chamath Palihapitiya, a citizen of the United States, and Ian Osborne, a citizen of the United Kingdom (each, a “Reporting Person” and, collectively, the “Reporting Persons”).</w:t>
      </w:r>
    </w:p>
    <w:p>
      <w:pPr>
        <w:spacing w:after="0" w:line="200" w:lineRule="exact"/>
        <w:rPr>
          <w:sz w:val="20"/>
          <w:szCs w:val="20"/>
          <w:color w:val="auto"/>
        </w:rPr>
      </w:pPr>
    </w:p>
    <w:p>
      <w:pPr>
        <w:spacing w:after="0" w:line="212"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The principal business address of each of SCH Sponsor III LLC, ChaChaCha and Mr. Palihapitiya is 317 University Avenue, Suite 200, Palo Alto, California 94301. The principal business address of Mr. Osborne is Roseneath, The Grange, St. Peter Port, Guernsey GY1 2QJ.</w:t>
      </w:r>
    </w:p>
    <w:p>
      <w:pPr>
        <w:spacing w:after="0" w:line="186"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During the last five years, none of the Reporting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Source and Amount of Funds or Other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Item 3 of the Schedule 13D is hereby amended and supplemented by the following:</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information set forth in Item 5(c) of the Schedule 13D is incorporated herein by reference.</w:t>
      </w:r>
    </w:p>
    <w:p>
      <w:pPr>
        <w:spacing w:after="0" w:line="233"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On January 7, 2021, an affiliate of Mr. Palihapitiya initially received 284,891 shares of Class B common stock, $0.0001 per share (the “Class B Common Stock”), of the Issuer in connection with the closing of the Business Combination. The Class B Common Stock has ten votes per share and is convertible into shares of Class A Common Stock on a one-for-one basis.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Interest in Securities of the Issuer</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Item 5 of the Schedule 13D is hereby amended and restated as follows: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 – (b)</w:t>
      </w:r>
    </w:p>
    <w:p>
      <w:pPr>
        <w:spacing w:after="0" w:line="206" w:lineRule="exact"/>
        <w:rPr>
          <w:sz w:val="20"/>
          <w:szCs w:val="20"/>
          <w:color w:val="auto"/>
        </w:rPr>
      </w:pPr>
    </w:p>
    <w:p>
      <w:pPr>
        <w:ind w:right="140" w:firstLine="648"/>
        <w:spacing w:after="0" w:line="248" w:lineRule="auto"/>
        <w:rPr>
          <w:sz w:val="20"/>
          <w:szCs w:val="20"/>
          <w:color w:val="auto"/>
        </w:rPr>
      </w:pPr>
      <w:r>
        <w:rPr>
          <w:rFonts w:ascii="Arial" w:cs="Arial" w:eastAsia="Arial" w:hAnsi="Arial"/>
          <w:sz w:val="21"/>
          <w:szCs w:val="21"/>
          <w:color w:val="auto"/>
        </w:rPr>
        <w:t>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330,482,877 shares of Class A Common Stock outstanding after the closing of the Offering (as defined below) on 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Sole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Shared</w:t>
            </w: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Sole power</w:t>
            </w: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power to</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power to</w:t>
            </w: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to dispose or</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vote or to</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vote or to</w:t>
            </w: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to direct</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dispose or to</w:t>
            </w:r>
          </w:p>
        </w:tc>
        <w:tc>
          <w:tcPr>
            <w:tcW w:w="0" w:type="dxa"/>
            <w:vAlign w:val="bottom"/>
          </w:tcPr>
          <w:p>
            <w:pPr>
              <w:spacing w:after="0"/>
              <w:rPr>
                <w:sz w:val="1"/>
                <w:szCs w:val="1"/>
                <w:color w:val="auto"/>
              </w:rPr>
            </w:pPr>
          </w:p>
        </w:tc>
      </w:tr>
      <w:tr>
        <w:trPr>
          <w:trHeight w:val="148"/>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r>
              <w:rPr>
                <w:rFonts w:ascii="Arial" w:cs="Arial" w:eastAsia="Arial" w:hAnsi="Arial"/>
                <w:sz w:val="12"/>
                <w:szCs w:val="12"/>
                <w:b w:val="1"/>
                <w:bCs w:val="1"/>
                <w:color w:val="auto"/>
              </w:rPr>
              <w:t>(1)</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06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direct the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direct the</w:t>
            </w: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the</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direct the</w:t>
            </w:r>
          </w:p>
        </w:tc>
        <w:tc>
          <w:tcPr>
            <w:tcW w:w="0" w:type="dxa"/>
            <w:vAlign w:val="bottom"/>
          </w:tcPr>
          <w:p>
            <w:pPr>
              <w:spacing w:after="0"/>
              <w:rPr>
                <w:sz w:val="1"/>
                <w:szCs w:val="1"/>
                <w:color w:val="auto"/>
              </w:rPr>
            </w:pPr>
          </w:p>
        </w:tc>
      </w:tr>
      <w:tr>
        <w:trPr>
          <w:trHeight w:val="171"/>
        </w:trPr>
        <w:tc>
          <w:tcPr>
            <w:tcW w:w="348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of class</w:t>
            </w:r>
          </w:p>
        </w:tc>
        <w:tc>
          <w:tcPr>
            <w:tcW w:w="3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w:t>
            </w:r>
          </w:p>
        </w:tc>
        <w:tc>
          <w:tcPr>
            <w:tcW w:w="1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disposition</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disposition</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SCH Sponsor III LLC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ChaChaCha SPAC C LLC</w:t>
            </w:r>
          </w:p>
        </w:tc>
        <w:tc>
          <w:tcPr>
            <w:tcW w:w="14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28,408,480</w:t>
            </w:r>
          </w:p>
        </w:tc>
        <w:tc>
          <w:tcPr>
            <w:tcW w:w="10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8.6%</w:t>
            </w:r>
          </w:p>
        </w:tc>
        <w:tc>
          <w:tcPr>
            <w:tcW w:w="14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28,408,480</w:t>
            </w:r>
          </w:p>
        </w:tc>
        <w:tc>
          <w:tcPr>
            <w:tcW w:w="10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28,408,480</w:t>
            </w:r>
          </w:p>
        </w:tc>
        <w:tc>
          <w:tcPr>
            <w:tcW w:w="12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Chamath Palihapitiya(1)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30,432,501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30,432,501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30,432,501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Ian Osborne</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4,063,919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4,063,919</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4,063,919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380" w:firstLine="8"/>
        <w:spacing w:after="0"/>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color w:val="auto"/>
        </w:rPr>
        <w:t>Mr. Palihapitiya may be deemed to beneficially own the Issuer securities held by ChaChaCha and other affiliates. This amount includes 284,891 shares of Class B Common Stock held by an affiliate of Mr. Palihapitiya, which are convertible into shares of Class A Common Stock on a one-for-one basis.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Item 5(c) of the Schedule 13D is hereby amended and supplemented by the following:</w:t>
      </w:r>
    </w:p>
    <w:p>
      <w:pPr>
        <w:spacing w:after="0" w:line="98"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Except as set forth below, none of the Reporting Persons has effected any transactions in the Class A Common Stock since May 8, 2021.</w:t>
      </w:r>
    </w:p>
    <w:p>
      <w:pPr>
        <w:spacing w:after="0" w:line="67"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On June 25, 2021, an affiliate of Mr. Osborne sold 1,342,099 shares of Class A Common Stock in the open market at a weighted average price of $13.0849 per share.</w:t>
      </w:r>
    </w:p>
    <w:p>
      <w:pPr>
        <w:spacing w:after="0" w:line="67"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On June 28, 2021, an affiliate of Mr. Osborne sold 2,909,616 shares of Class A Common Stock in the open market at a weighted average price of $12.8225 per share.</w:t>
      </w:r>
    </w:p>
    <w:p>
      <w:pPr>
        <w:spacing w:after="0" w:line="67" w:lineRule="exact"/>
        <w:rPr>
          <w:sz w:val="20"/>
          <w:szCs w:val="20"/>
          <w:color w:val="auto"/>
        </w:rPr>
      </w:pPr>
    </w:p>
    <w:p>
      <w:pPr>
        <w:ind w:right="480" w:firstLine="648"/>
        <w:spacing w:after="0" w:line="250" w:lineRule="auto"/>
        <w:rPr>
          <w:sz w:val="20"/>
          <w:szCs w:val="20"/>
          <w:color w:val="auto"/>
        </w:rPr>
      </w:pPr>
      <w:r>
        <w:rPr>
          <w:rFonts w:ascii="Arial" w:cs="Arial" w:eastAsia="Arial" w:hAnsi="Arial"/>
          <w:sz w:val="22"/>
          <w:szCs w:val="22"/>
          <w:color w:val="auto"/>
        </w:rPr>
        <w:t>On June 29, 2021, an affiliate of Mr. Osborne sold 748,285 shares of Class A Common Stock in the open market at a weighted average price of $13.3925 per share.</w:t>
      </w:r>
    </w:p>
    <w:p>
      <w:pPr>
        <w:spacing w:after="0" w:line="67"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On July 7, 2021, the Sponsor distributed its 20,500,000 shares of Class A Common Stock and 10,933,333 warrants to purchase Class A Common Stock to its members on a pro rata basis, including 16,912,500 shares and 9,020,000 warrants distributed to ChaChaCha, and 3,587,500 shares and 1,913,333 warrants distributed to an entity affiliated with Mr. Osborne. The warrants had an exercise price of $11.50 per share.</w:t>
      </w:r>
    </w:p>
    <w:p>
      <w:pPr>
        <w:spacing w:after="0" w:line="77"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On August 16, 2021, ChaChaCha exercised all of its warrants in a "Make-Whole Exercise" prior to a redemption of such warrants by the Issuer. Pursuant to the terms of the warrants relating to a Make-Whole Exercise, the warrants held by ChaChaCha were exercised for 2,245,980 shares of Class A Common Stock.</w:t>
      </w:r>
    </w:p>
    <w:p>
      <w:pPr>
        <w:spacing w:after="0" w:line="78" w:lineRule="exact"/>
        <w:rPr>
          <w:sz w:val="20"/>
          <w:szCs w:val="20"/>
          <w:color w:val="auto"/>
        </w:rPr>
      </w:pPr>
    </w:p>
    <w:p>
      <w:pPr>
        <w:jc w:val="both"/>
        <w:ind w:right="420" w:firstLine="648"/>
        <w:spacing w:after="0"/>
        <w:rPr>
          <w:sz w:val="20"/>
          <w:szCs w:val="20"/>
          <w:color w:val="auto"/>
        </w:rPr>
      </w:pPr>
      <w:r>
        <w:rPr>
          <w:rFonts w:ascii="Arial" w:cs="Arial" w:eastAsia="Arial" w:hAnsi="Arial"/>
          <w:sz w:val="22"/>
          <w:szCs w:val="22"/>
          <w:color w:val="auto"/>
        </w:rPr>
        <w:t>On August 20, 2021, an entity affiliated with Mr. Osborne exercised all of its warrants in the "Make-Whole Exercise" described above. Pursuant to the terms of the warrants relating to a Make-Whole Exercise, these warrants were exercised for 476,419 shares of Class A Common Stock.</w:t>
      </w:r>
    </w:p>
    <w:p>
      <w:pPr>
        <w:spacing w:after="0" w:line="78"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On August 20, 2021, each of ChaChaCha and an entity affiliated with Mr. Osborne distributed 750,000 and 250,000 shares of Class A Common Stock, respectively, for no value.</w:t>
      </w:r>
    </w:p>
    <w:p>
      <w:pPr>
        <w:spacing w:after="0" w:line="67" w:lineRule="exact"/>
        <w:rPr>
          <w:sz w:val="20"/>
          <w:szCs w:val="20"/>
          <w:color w:val="auto"/>
        </w:rPr>
      </w:pPr>
    </w:p>
    <w:p>
      <w:pPr>
        <w:jc w:val="both"/>
        <w:ind w:right="280" w:firstLine="648"/>
        <w:spacing w:after="0"/>
        <w:rPr>
          <w:sz w:val="20"/>
          <w:szCs w:val="20"/>
          <w:color w:val="auto"/>
        </w:rPr>
      </w:pPr>
      <w:r>
        <w:rPr>
          <w:rFonts w:ascii="Arial" w:cs="Arial" w:eastAsia="Arial" w:hAnsi="Arial"/>
          <w:sz w:val="22"/>
          <w:szCs w:val="22"/>
          <w:color w:val="auto"/>
        </w:rPr>
        <w:t>On November 22, 2021, SC Master Holdings, LLC ("SC Master"), an entity affiliated with Mr. Palihapitiya, purchased 1,739,130 shares of Class A Common Stock at a price of $5.75 per share in a registered offering by the Issuer (the "Offering"). The funds used to purchase such shares came from SC Master's working capital.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Item 5(e) of the Schedule 13D is hereby amended and supplemented by the following:</w:t>
      </w:r>
    </w:p>
    <w:p>
      <w:pPr>
        <w:spacing w:after="0" w:line="233"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As of July 7, 2021, the Sponsor ceased to beneficially own more than five percent of the outstanding shares of Class A Common Stock.</w:t>
      </w:r>
    </w:p>
    <w:p>
      <w:pPr>
        <w:spacing w:after="0" w:line="20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As of August 6, 2021, Mr. Osborne ceased to beneficially own more than five percent of the outstanding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Item 7. Material to be Filed as Exhibits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Item 7 of the Schedule 13D is hereby amended and supplemented by the following:</w:t>
      </w: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color w:val="auto"/>
        </w:rPr>
        <w:t>Joint Filing Agreement, dated as of January 14, 2022,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Arial" w:cs="Arial" w:eastAsia="Arial" w:hAnsi="Arial"/>
                <w:sz w:val="18"/>
                <w:szCs w:val="18"/>
                <w:color w:val="auto"/>
              </w:rPr>
              <w:t>Date: January 14, 2022</w:t>
            </w:r>
          </w:p>
        </w:tc>
        <w:tc>
          <w:tcPr>
            <w:tcW w:w="6920" w:type="dxa"/>
            <w:vAlign w:val="bottom"/>
            <w:gridSpan w:val="2"/>
          </w:tcPr>
          <w:p>
            <w:pPr>
              <w:ind w:left="2640"/>
              <w:spacing w:after="0"/>
              <w:rPr>
                <w:sz w:val="20"/>
                <w:szCs w:val="20"/>
                <w:color w:val="auto"/>
              </w:rPr>
            </w:pPr>
            <w:r>
              <w:rPr>
                <w:rFonts w:ascii="Arial" w:cs="Arial" w:eastAsia="Arial" w:hAnsi="Arial"/>
                <w:sz w:val="18"/>
                <w:szCs w:val="18"/>
                <w:b w:val="1"/>
                <w:bCs w:val="1"/>
                <w:color w:val="auto"/>
              </w:rPr>
              <w:t>SCH SPONSOR III LLC</w:t>
            </w:r>
          </w:p>
        </w:tc>
      </w:tr>
      <w:tr>
        <w:trPr>
          <w:trHeight w:val="432"/>
        </w:trPr>
        <w:tc>
          <w:tcPr>
            <w:tcW w:w="4320" w:type="dxa"/>
            <w:vAlign w:val="bottom"/>
          </w:tcPr>
          <w:p>
            <w:pPr>
              <w:spacing w:after="0"/>
              <w:rPr>
                <w:sz w:val="24"/>
                <w:szCs w:val="24"/>
                <w:color w:val="auto"/>
              </w:rPr>
            </w:pPr>
          </w:p>
        </w:tc>
        <w:tc>
          <w:tcPr>
            <w:tcW w:w="3220" w:type="dxa"/>
            <w:vAlign w:val="bottom"/>
          </w:tcPr>
          <w:p>
            <w:pPr>
              <w:ind w:left="264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Chamath Palihapitiya</w:t>
            </w:r>
          </w:p>
        </w:tc>
      </w:tr>
      <w:tr>
        <w:trPr>
          <w:trHeight w:val="195"/>
        </w:trPr>
        <w:tc>
          <w:tcPr>
            <w:tcW w:w="4320" w:type="dxa"/>
            <w:vAlign w:val="bottom"/>
          </w:tcPr>
          <w:p>
            <w:pPr>
              <w:spacing w:after="0"/>
              <w:rPr>
                <w:sz w:val="16"/>
                <w:szCs w:val="16"/>
                <w:color w:val="auto"/>
              </w:rPr>
            </w:pPr>
          </w:p>
        </w:tc>
        <w:tc>
          <w:tcPr>
            <w:tcW w:w="3220" w:type="dxa"/>
            <w:vAlign w:val="bottom"/>
          </w:tcPr>
          <w:p>
            <w:pPr>
              <w:ind w:left="2640"/>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Chamath Palihapitiya</w:t>
            </w:r>
          </w:p>
        </w:tc>
      </w:tr>
      <w:tr>
        <w:trPr>
          <w:trHeight w:val="230"/>
        </w:trPr>
        <w:tc>
          <w:tcPr>
            <w:tcW w:w="4320" w:type="dxa"/>
            <w:vAlign w:val="bottom"/>
          </w:tcPr>
          <w:p>
            <w:pPr>
              <w:spacing w:after="0"/>
              <w:rPr>
                <w:sz w:val="20"/>
                <w:szCs w:val="20"/>
                <w:color w:val="auto"/>
              </w:rPr>
            </w:pPr>
          </w:p>
        </w:tc>
        <w:tc>
          <w:tcPr>
            <w:tcW w:w="3220" w:type="dxa"/>
            <w:vAlign w:val="bottom"/>
          </w:tcPr>
          <w:p>
            <w:pPr>
              <w:ind w:left="264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ChaChaCha SPAC C LLC</w:t>
      </w:r>
    </w:p>
    <w:p>
      <w:pPr>
        <w:spacing w:after="0" w:line="229" w:lineRule="exact"/>
        <w:rPr>
          <w:sz w:val="20"/>
          <w:szCs w:val="20"/>
          <w:color w:val="auto"/>
        </w:rPr>
      </w:pPr>
    </w:p>
    <w:tbl>
      <w:tblPr>
        <w:tblLayout w:type="fixed"/>
        <w:tblInd w:w="69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Chamath Palihapitiya</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40"/>
              <w:spacing w:after="0" w:line="195" w:lineRule="exact"/>
              <w:rPr>
                <w:sz w:val="20"/>
                <w:szCs w:val="20"/>
                <w:color w:val="auto"/>
              </w:rPr>
            </w:pPr>
            <w:r>
              <w:rPr>
                <w:rFonts w:ascii="Arial" w:cs="Arial" w:eastAsia="Arial" w:hAnsi="Arial"/>
                <w:sz w:val="18"/>
                <w:szCs w:val="18"/>
                <w:color w:val="auto"/>
              </w:rPr>
              <w:t>Chamath Palihapitiya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40"/>
              <w:spacing w:after="0"/>
              <w:rPr>
                <w:sz w:val="20"/>
                <w:szCs w:val="20"/>
                <w:color w:val="auto"/>
              </w:rPr>
            </w:pPr>
            <w:r>
              <w:rPr>
                <w:rFonts w:ascii="Arial" w:cs="Arial" w:eastAsia="Arial" w:hAnsi="Arial"/>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Chamath Palihapitiya</w:t>
      </w:r>
    </w:p>
    <w:p>
      <w:pPr>
        <w:spacing w:after="0" w:line="22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14605</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15"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Ian Osborne</w:t>
      </w:r>
    </w:p>
    <w:p>
      <w:pPr>
        <w:spacing w:after="0" w:line="22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Ian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14605</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6</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00" w:lineRule="exact"/>
        <w:rPr>
          <w:sz w:val="20"/>
          <w:szCs w:val="20"/>
          <w:color w:val="auto"/>
        </w:rPr>
      </w:pPr>
    </w:p>
    <w:p>
      <w:pPr>
        <w:spacing w:after="0" w:line="255" w:lineRule="exact"/>
        <w:rPr>
          <w:sz w:val="20"/>
          <w:szCs w:val="20"/>
          <w:color w:val="auto"/>
        </w:rPr>
      </w:pPr>
    </w:p>
    <w:p>
      <w:pPr>
        <w:ind w:right="100" w:firstLine="441"/>
        <w:spacing w:after="0" w:line="279" w:lineRule="auto"/>
        <w:rPr>
          <w:sz w:val="20"/>
          <w:szCs w:val="20"/>
          <w:color w:val="auto"/>
        </w:rPr>
      </w:pPr>
      <w:r>
        <w:rPr>
          <w:rFonts w:ascii="Arial" w:cs="Arial" w:eastAsia="Arial" w:hAnsi="Arial"/>
          <w:sz w:val="19"/>
          <w:szCs w:val="19"/>
          <w:color w:val="auto"/>
        </w:rPr>
        <w:t>In accordance with Rule 13d-1(k)(1) promulgated under the Securities Exchange Act of 1934, as amended, the undersigned hereby agree that they are jointly filing this statement on Schedule 13D relating to the Class A common stock, par value $0.0001 per share, of Clover Health Investments, Corp., a Delaware corporation.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undersigned hereby execute this Joint Filing Agreement as of the 14</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day of January, 2022.</w:t>
      </w:r>
    </w:p>
    <w:p>
      <w:pPr>
        <w:spacing w:after="0" w:line="151"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SCH SPONSOR III LLC</w:t>
      </w:r>
    </w:p>
    <w:p>
      <w:pPr>
        <w:spacing w:after="0" w:line="229" w:lineRule="exact"/>
        <w:rPr>
          <w:sz w:val="20"/>
          <w:szCs w:val="20"/>
          <w:color w:val="auto"/>
        </w:rPr>
      </w:pPr>
    </w:p>
    <w:tbl>
      <w:tblPr>
        <w:tblLayout w:type="fixed"/>
        <w:tblInd w:w="69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Chamath Palihapitiya</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Chamath Palihapitiya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ChaChaCha SPAC C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Chamath Palihapitiya</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40"/>
              <w:spacing w:after="0" w:line="195" w:lineRule="exact"/>
              <w:rPr>
                <w:sz w:val="20"/>
                <w:szCs w:val="20"/>
                <w:color w:val="auto"/>
              </w:rPr>
            </w:pPr>
            <w:r>
              <w:rPr>
                <w:rFonts w:ascii="Arial" w:cs="Arial" w:eastAsia="Arial" w:hAnsi="Arial"/>
                <w:sz w:val="18"/>
                <w:szCs w:val="18"/>
                <w:color w:val="auto"/>
              </w:rPr>
              <w:t>Chamath Palihapitiya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40"/>
              <w:spacing w:after="0"/>
              <w:rPr>
                <w:sz w:val="20"/>
                <w:szCs w:val="20"/>
                <w:color w:val="auto"/>
              </w:rPr>
            </w:pPr>
            <w:r>
              <w:rPr>
                <w:rFonts w:ascii="Arial" w:cs="Arial" w:eastAsia="Arial" w:hAnsi="Arial"/>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Chamath Palihapitiya</w:t>
      </w:r>
    </w:p>
    <w:p>
      <w:pPr>
        <w:spacing w:after="0" w:line="22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Chamath Palihapitiya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14605</wp:posOffset>
            </wp:positionV>
            <wp:extent cx="2717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15"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Ian Osborne</w:t>
      </w:r>
    </w:p>
    <w:p>
      <w:pPr>
        <w:spacing w:after="0" w:line="22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Ian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14605</wp:posOffset>
            </wp:positionV>
            <wp:extent cx="2717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2022-01-14T15:33:57Z</dcterms:created>
  <dcterms:modified xsi:type="dcterms:W3CDTF">2022-01-14T15:33:57Z</dcterms:modified>
</cp:coreProperties>
</file>