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03898.xml.htm"/>
      <w:bookmarkStart w:id="1" w:name="kswkform4_17870038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THORNTON JOSEPH CLAY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17,775</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4.39</w:t>
            </w:r>
            <w:r>
              <w:rPr>
                <w:rFonts w:ascii="Times;serif" w:hAnsi="Times;serif"/>
                <w:color w:val="008000"/>
                <w:position w:val="7"/>
                <w:sz w:val="16"/>
                <w:sz w:val="20"/>
                <w:shd w:fill="FFFFFF" w:val="clear"/>
              </w:rPr>
              <w:t>(2)</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1,249,526</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(the "RSUs") on August 16, 2026. The RSUs were originally granted to the Reporting Person on February 16, 2024. The remaining RSUs vest quarterly in equal installments of 6.25%, with the final vesting date occurring on February 16,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$4.29 to $4.39,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Rivas as attorney-in-fact for Joseph Clay Thornton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8794"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785</Words>
  <Characters>4204</Characters>
  <CharactersWithSpaces>4920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