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01005.xml.htm"/>
      <w:bookmarkStart w:id="1" w:name="kswkform4_17864010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Toy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87,798</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4.65</w:t>
            </w:r>
            <w:r>
              <w:rPr>
                <w:rFonts w:ascii="Times;serif" w:hAnsi="Times;serif"/>
                <w:color w:val="008000"/>
                <w:position w:val="7"/>
                <w:sz w:val="16"/>
                <w:sz w:val="20"/>
                <w:shd w:fill="FFFFFF" w:val="clear"/>
              </w:rPr>
              <w:t>(2)</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9,459,316</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Class A Common Stock required to be sold by the Reporting Person to cover tax withholding obligations in connection with the final vesting on August 8, 2026 of 6.25% of restricted stock units originally granted to the Reporting Person on August 8, 2022.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$4.61 to $4.65, inclusive. The Reporting Person undertakes to provide to the Issuer, any securityholder of the Issuer, or the staff of the Securities and Exchange Commission (the "SEC"), upon request,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/s/Peter J. Rivas as attorney-in-fact for Andrew Toy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8733"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747</Words>
  <Characters>4012</Characters>
  <CharactersWithSpaces>4689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